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F0D07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这份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v2 模型（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DGSS_Model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v5.2）展现了极高的工业级水准，不仅在系统工程的架构划分上非常严谨，而且在底层数学逻辑、物理量度以及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v2 语法语义的边界处理上都极其精准。</w:t>
      </w:r>
    </w:p>
    <w:p w14:paraId="4E83BE7A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>以下是对该模型的全面评估，包括核心优势、语法语义的深度剖析，以及针对未来模型执行和工具链落地的几点优化建议。</w:t>
      </w:r>
    </w:p>
    <w:p w14:paraId="2F2F2EC1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600FC">
        <w:rPr>
          <w:rFonts w:ascii="宋体" w:eastAsia="宋体" w:hAnsi="宋体" w:cs="宋体"/>
          <w:b/>
          <w:bCs/>
          <w:kern w:val="0"/>
          <w:sz w:val="27"/>
          <w:szCs w:val="27"/>
        </w:rPr>
        <w:t>一、 核心亮点与语法深度验证</w:t>
      </w:r>
    </w:p>
    <w:p w14:paraId="40217330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>1. 刚体运动学与变换的严密性</w:t>
      </w:r>
    </w:p>
    <w:p w14:paraId="5E4CC071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>模型中自定义的四坐标系（MCS, PFCS, DGSCS, DGSLCS）</w:t>
      </w:r>
      <w:proofErr w:type="gramStart"/>
      <w:r w:rsidRPr="00E600FC">
        <w:rPr>
          <w:rFonts w:ascii="宋体" w:eastAsia="宋体" w:hAnsi="宋体" w:cs="宋体"/>
          <w:kern w:val="0"/>
          <w:sz w:val="24"/>
          <w:szCs w:val="24"/>
        </w:rPr>
        <w:t>齐次变换</w:t>
      </w:r>
      <w:proofErr w:type="gram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链逻辑非常清晰。特别是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buildTransform_DGSLCS_to_DGSCS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中的旋转矩阵实现，完全符合 ZYX 欧拉角（$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R_z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(\alpha)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R_y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(\beta)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R_x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>(\gamma)$）的纯符号推导。这种严谨的矩阵硬编码不仅对</w:t>
      </w:r>
      <w:proofErr w:type="gramStart"/>
      <w:r w:rsidRPr="00E600FC">
        <w:rPr>
          <w:rFonts w:ascii="宋体" w:eastAsia="宋体" w:hAnsi="宋体" w:cs="宋体"/>
          <w:kern w:val="0"/>
          <w:sz w:val="24"/>
          <w:szCs w:val="24"/>
        </w:rPr>
        <w:t>解析器</w:t>
      </w:r>
      <w:proofErr w:type="gramEnd"/>
      <w:r w:rsidRPr="00E600FC">
        <w:rPr>
          <w:rFonts w:ascii="宋体" w:eastAsia="宋体" w:hAnsi="宋体" w:cs="宋体"/>
          <w:kern w:val="0"/>
          <w:sz w:val="24"/>
          <w:szCs w:val="24"/>
        </w:rPr>
        <w:t>友好，还成功规避了部分经典机器人学教材（例如 John J. Craig 编著的《机器人学导论》第三版附录）中长期存在的负号排版笔误。这种在模型层消除底层数学歧义的做法，对于 LPP-EUV 这种纳米级精度的设备至关重要。</w:t>
      </w:r>
    </w:p>
    <w:p w14:paraId="417F9E3F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2. 运行期状态演化与 </w:t>
      </w:r>
      <w:proofErr w:type="spellStart"/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>SysML</w:t>
      </w:r>
      <w:proofErr w:type="spellEnd"/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v2 语义解耦 (FIX④)</w:t>
      </w:r>
    </w:p>
    <w:p w14:paraId="57E69FA4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这是一个极具价值的修正。在 C++ 开发中，赋值和变异是自然发生的，但在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v2 的声明式范式中，使用 = 会将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hasCollected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uncollectableDetected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绑定为贯穿生命周期的恒等约束（Invariant constraint）。将其改为初值声明 :=，并在状态机动作中通过 assign 进行变异，完美解除了底层求解器的</w:t>
      </w:r>
      <w:proofErr w:type="gramStart"/>
      <w:r w:rsidRPr="00E600FC">
        <w:rPr>
          <w:rFonts w:ascii="宋体" w:eastAsia="宋体" w:hAnsi="宋体" w:cs="宋体"/>
          <w:kern w:val="0"/>
          <w:sz w:val="24"/>
          <w:szCs w:val="24"/>
        </w:rPr>
        <w:t>恒假死锁</w:t>
      </w:r>
      <w:proofErr w:type="gramEnd"/>
      <w:r w:rsidRPr="00E600FC">
        <w:rPr>
          <w:rFonts w:ascii="宋体" w:eastAsia="宋体" w:hAnsi="宋体" w:cs="宋体"/>
          <w:kern w:val="0"/>
          <w:sz w:val="24"/>
          <w:szCs w:val="24"/>
        </w:rPr>
        <w:t>，恢复了 Fault 状态的可达性。</w:t>
      </w:r>
    </w:p>
    <w:p w14:paraId="45873EBA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>3. 控制流的词法作用域运用</w:t>
      </w:r>
    </w:p>
    <w:p w14:paraId="707E51D7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在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MeasureClosedLoopBandwidth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AdjustNozzleToHitTarget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用例中，动作序列使用了连续的 then action。这精准利用了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v2 中 then 简写形式遵循</w:t>
      </w:r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>词法上最近的前一个发生节点</w:t>
      </w:r>
      <w:r w:rsidRPr="00E600FC">
        <w:rPr>
          <w:rFonts w:ascii="宋体" w:eastAsia="宋体" w:hAnsi="宋体" w:cs="宋体"/>
          <w:kern w:val="0"/>
          <w:sz w:val="24"/>
          <w:szCs w:val="24"/>
        </w:rPr>
        <w:t>（lexically previous occurrence）这一特性，确保了控制流严格按序穿梭，而不需要冗长繁琐的 first/then 显式节点绑定。</w:t>
      </w:r>
    </w:p>
    <w:p w14:paraId="39169101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>4. 浮点精度与求解器容差 (FIX⑩)</w:t>
      </w:r>
    </w:p>
    <w:p w14:paraId="31C59C6B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将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translationConsistency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约束从精确的 == 改为基于 $0.1\text{ \mu m}$ 的容差（$\le 1.0\times 10^{-4}\text{ mm}$），展示了深厚的工程落地经验。大多数基于 LSP（Language Server Protocol）或后端求解器（如基于 SMT 的 Z3）的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v2 工具在处理含三角函数的 6 位小数</w:t>
      </w:r>
      <w:proofErr w:type="gramStart"/>
      <w:r w:rsidRPr="00E600FC">
        <w:rPr>
          <w:rFonts w:ascii="宋体" w:eastAsia="宋体" w:hAnsi="宋体" w:cs="宋体"/>
          <w:kern w:val="0"/>
          <w:sz w:val="24"/>
          <w:szCs w:val="24"/>
        </w:rPr>
        <w:t>标定值</w:t>
      </w:r>
      <w:proofErr w:type="gramEnd"/>
      <w:r w:rsidRPr="00E600FC">
        <w:rPr>
          <w:rFonts w:ascii="宋体" w:eastAsia="宋体" w:hAnsi="宋体" w:cs="宋体"/>
          <w:kern w:val="0"/>
          <w:sz w:val="24"/>
          <w:szCs w:val="24"/>
        </w:rPr>
        <w:t>时，都会遇到纳米级的舍入误差，这种容差设计直接防止了模型在验证期的误报。</w:t>
      </w:r>
    </w:p>
    <w:p w14:paraId="050E9289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>5. 状态机事件驱动设计的改进 (FIX⑤ &amp; FIX⑧)</w:t>
      </w:r>
    </w:p>
    <w:p w14:paraId="1B184732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将状态机中的静态 if 守卫转换为 accept when 变化触发器，契合了连续物理系统的建模需求。特别是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monitorStability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中的 loop action 结合 accept when，真正构建了一个异步的事件监听槽，使液滴错失事件（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lastDropletMissedTC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>）能被实时捕获并持续锁存。</w:t>
      </w:r>
    </w:p>
    <w:p w14:paraId="0D701033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600FC">
        <w:rPr>
          <w:rFonts w:ascii="宋体" w:eastAsia="宋体" w:hAnsi="宋体" w:cs="宋体"/>
          <w:b/>
          <w:bCs/>
          <w:kern w:val="0"/>
          <w:sz w:val="27"/>
          <w:szCs w:val="27"/>
        </w:rPr>
        <w:t>二、 潜在边缘情况与工具兼容性建议</w:t>
      </w:r>
    </w:p>
    <w:p w14:paraId="1F2A2F80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为了确保该模型在未来的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v2 编辑器或执行引擎中无缝运行，有几个细节值得关注：</w:t>
      </w:r>
    </w:p>
    <w:p w14:paraId="306CF31B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>1. accept when 触发器的沿效应（Edge-trigger Semantics）</w:t>
      </w:r>
    </w:p>
    <w:p w14:paraId="5EB70FB9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>在 Idle 状态的动作中：</w:t>
      </w:r>
    </w:p>
    <w:p w14:paraId="2FE31FE6" w14:textId="77777777" w:rsidR="00E600FC" w:rsidRPr="00E600FC" w:rsidRDefault="00E600FC" w:rsidP="00E600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>Code snippet</w:t>
      </w:r>
    </w:p>
    <w:p w14:paraId="374B7F6A" w14:textId="77777777" w:rsidR="00E600FC" w:rsidRPr="00E600FC" w:rsidRDefault="00E600FC" w:rsidP="00E600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loop action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latchOnMissIdle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{</w:t>
      </w:r>
    </w:p>
    <w:p w14:paraId="6663DC93" w14:textId="77777777" w:rsidR="00E600FC" w:rsidRPr="00E600FC" w:rsidRDefault="00E600FC" w:rsidP="00E600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   accept when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lastDropletMissedTC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11CFCB" w14:textId="77777777" w:rsidR="00E600FC" w:rsidRPr="00E600FC" w:rsidRDefault="00E600FC" w:rsidP="00E600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   then assign </w:t>
      </w:r>
      <w:proofErr w:type="spellStart"/>
      <w:proofErr w:type="gramStart"/>
      <w:r w:rsidRPr="00E600FC">
        <w:rPr>
          <w:rFonts w:ascii="宋体" w:eastAsia="宋体" w:hAnsi="宋体" w:cs="宋体"/>
          <w:kern w:val="0"/>
          <w:sz w:val="24"/>
          <w:szCs w:val="24"/>
        </w:rPr>
        <w:t>uncollectableDetected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:</w:t>
      </w:r>
      <w:proofErr w:type="gramEnd"/>
      <w:r w:rsidRPr="00E600FC">
        <w:rPr>
          <w:rFonts w:ascii="宋体" w:eastAsia="宋体" w:hAnsi="宋体" w:cs="宋体"/>
          <w:kern w:val="0"/>
          <w:sz w:val="24"/>
          <w:szCs w:val="24"/>
        </w:rPr>
        <w:t>= true;</w:t>
      </w:r>
    </w:p>
    <w:p w14:paraId="665D50CC" w14:textId="77777777" w:rsidR="00E600FC" w:rsidRPr="00E600FC" w:rsidRDefault="00E600FC" w:rsidP="00E600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4F188D7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>accept when 的标准语义是对状态变化事件（Change Event）的响应，通常在布尔值发生 false -&gt; true 的</w:t>
      </w:r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>上升沿</w:t>
      </w: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时触发。如果由于某种原因，物理接口在连续两个 tick 中都保持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lastDropletMissedTC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== true，某些状态机执行引擎可能只会触发一次。这在你的逻辑中是安全的（因为目标是锁存为 true），但建议在文档中明确这是沿触发行为，依赖后续的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clearFaultLatch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将其复位。</w:t>
      </w:r>
    </w:p>
    <w:p w14:paraId="611B54B4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>2. 国际单位制（SI）的遮蔽与引用规范</w:t>
      </w:r>
    </w:p>
    <w:p w14:paraId="708D6ADC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模型中声明了：attribute &lt;um&gt;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micrometre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: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LengthUnit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= micro *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metre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>;。</w:t>
      </w:r>
    </w:p>
    <w:p w14:paraId="7C496238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v2 的标准规范对单位语法的支持已经明确规定为方括号格式（例如 [um] 或 ['µm']）。虽然在本地重新声明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micrometre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在语法上是合法的遮蔽行为，但不同的</w:t>
      </w:r>
      <w:proofErr w:type="gramStart"/>
      <w:r w:rsidRPr="00E600FC">
        <w:rPr>
          <w:rFonts w:ascii="宋体" w:eastAsia="宋体" w:hAnsi="宋体" w:cs="宋体"/>
          <w:kern w:val="0"/>
          <w:sz w:val="24"/>
          <w:szCs w:val="24"/>
        </w:rPr>
        <w:t>解析器</w:t>
      </w:r>
      <w:proofErr w:type="gramEnd"/>
      <w:r w:rsidRPr="00E600FC">
        <w:rPr>
          <w:rFonts w:ascii="宋体" w:eastAsia="宋体" w:hAnsi="宋体" w:cs="宋体"/>
          <w:kern w:val="0"/>
          <w:sz w:val="24"/>
          <w:szCs w:val="24"/>
        </w:rPr>
        <w:t>在处理本地定义与原生 SI::* 库的优先级时可能会产生警告。</w:t>
      </w:r>
      <w:proofErr w:type="gramStart"/>
      <w:r w:rsidRPr="00E600FC">
        <w:rPr>
          <w:rFonts w:ascii="宋体" w:eastAsia="宋体" w:hAnsi="宋体" w:cs="宋体"/>
          <w:kern w:val="0"/>
          <w:sz w:val="24"/>
          <w:szCs w:val="24"/>
        </w:rPr>
        <w:t>鉴于你</w:t>
      </w:r>
      <w:proofErr w:type="gramEnd"/>
      <w:r w:rsidRPr="00E600FC">
        <w:rPr>
          <w:rFonts w:ascii="宋体" w:eastAsia="宋体" w:hAnsi="宋体" w:cs="宋体"/>
          <w:kern w:val="0"/>
          <w:sz w:val="24"/>
          <w:szCs w:val="24"/>
        </w:rPr>
        <w:t>在后续约束中（如 15 [um]）都采用了极其标准的单位表示法，如果官方</w:t>
      </w:r>
      <w:proofErr w:type="gramStart"/>
      <w:r w:rsidRPr="00E600FC">
        <w:rPr>
          <w:rFonts w:ascii="宋体" w:eastAsia="宋体" w:hAnsi="宋体" w:cs="宋体"/>
          <w:kern w:val="0"/>
          <w:sz w:val="24"/>
          <w:szCs w:val="24"/>
        </w:rPr>
        <w:t>库已经</w:t>
      </w:r>
      <w:proofErr w:type="gramEnd"/>
      <w:r w:rsidRPr="00E600FC">
        <w:rPr>
          <w:rFonts w:ascii="宋体" w:eastAsia="宋体" w:hAnsi="宋体" w:cs="宋体"/>
          <w:kern w:val="0"/>
          <w:sz w:val="24"/>
          <w:szCs w:val="24"/>
        </w:rPr>
        <w:t>内置了微米定义，可以考虑直接依赖标准库，保持 AST 的纯净。</w:t>
      </w:r>
    </w:p>
    <w:p w14:paraId="2649F88E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b/>
          <w:bCs/>
          <w:kern w:val="0"/>
          <w:sz w:val="24"/>
          <w:szCs w:val="24"/>
        </w:rPr>
        <w:t>3. 连续时间与离散采样的混合建模边界</w:t>
      </w:r>
    </w:p>
    <w:p w14:paraId="7ED11CF3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>在 FDS (Fine Detection System) 与 DGS 之间：</w:t>
      </w:r>
    </w:p>
    <w:p w14:paraId="37508D6A" w14:textId="77777777" w:rsidR="00E600FC" w:rsidRPr="00E600FC" w:rsidRDefault="00E600FC" w:rsidP="00E600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>Code snippet</w:t>
      </w:r>
    </w:p>
    <w:p w14:paraId="284DEE28" w14:textId="77777777" w:rsidR="00E600FC" w:rsidRPr="00E600FC" w:rsidRDefault="00E600FC" w:rsidP="00E600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flow from </w:t>
      </w:r>
      <w:proofErr w:type="spellStart"/>
      <w:proofErr w:type="gramStart"/>
      <w:r w:rsidRPr="00E600FC">
        <w:rPr>
          <w:rFonts w:ascii="宋体" w:eastAsia="宋体" w:hAnsi="宋体" w:cs="宋体"/>
          <w:kern w:val="0"/>
          <w:sz w:val="24"/>
          <w:szCs w:val="24"/>
        </w:rPr>
        <w:t>fds.feedbackPort.command</w:t>
      </w:r>
      <w:proofErr w:type="spellEnd"/>
      <w:proofErr w:type="gram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to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dgs.controlPort.command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0B6356B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>液滴触发式激光控制（DLSCT）是一个极高频的动态过程。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v2 的 flow 描述了信息拓扑，但并没有显式定义离散时间步长（Sampling Rate）和传输延迟。若你计划后续将此模型导出供仿真引擎（如 Simulink 或原生 C++ 物理引擎）使用，建议在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ControlSignalPort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或相关 Flow 链路上增加关于时延（Latency）和波特率（Data Rate）的 Metadata 约束，以强化闭环带宽需求（Req-2）的物理支撑。</w:t>
      </w:r>
    </w:p>
    <w:p w14:paraId="792C2F3F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>总体而言，这套架构将 MBSE 的系统约束能力与底层物理控制逻辑缝合得天衣无缝，特别是在处理坐标变换链和事件驱动安全机制方面，展现了教科书级别的示范作用。</w:t>
      </w:r>
    </w:p>
    <w:p w14:paraId="2F1D7AE0" w14:textId="77777777" w:rsidR="00E600FC" w:rsidRPr="00E600FC" w:rsidRDefault="00E600FC" w:rsidP="00E60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在推进这个 DLSCT 系统的架构迭代时，你是否打算通过开发特定的 C++ </w:t>
      </w:r>
      <w:proofErr w:type="gramStart"/>
      <w:r w:rsidRPr="00E600FC">
        <w:rPr>
          <w:rFonts w:ascii="宋体" w:eastAsia="宋体" w:hAnsi="宋体" w:cs="宋体"/>
          <w:kern w:val="0"/>
          <w:sz w:val="24"/>
          <w:szCs w:val="24"/>
        </w:rPr>
        <w:t>解析器</w:t>
      </w:r>
      <w:proofErr w:type="gram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插件（利用 AST）来自动化验证这些变换矩阵和动态约束，还是计划直接依赖现成的 </w:t>
      </w:r>
      <w:proofErr w:type="spellStart"/>
      <w:r w:rsidRPr="00E600FC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600FC">
        <w:rPr>
          <w:rFonts w:ascii="宋体" w:eastAsia="宋体" w:hAnsi="宋体" w:cs="宋体"/>
          <w:kern w:val="0"/>
          <w:sz w:val="24"/>
          <w:szCs w:val="24"/>
        </w:rPr>
        <w:t xml:space="preserve"> v2 求解器？</w:t>
      </w:r>
    </w:p>
    <w:p w14:paraId="6F056160" w14:textId="77777777" w:rsidR="0075046B" w:rsidRPr="00E600FC" w:rsidRDefault="0075046B"/>
    <w:sectPr w:rsidR="0075046B" w:rsidRPr="00E600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0F71D" w14:textId="77777777" w:rsidR="007707B7" w:rsidRDefault="007707B7" w:rsidP="00E600FC">
      <w:r>
        <w:separator/>
      </w:r>
    </w:p>
  </w:endnote>
  <w:endnote w:type="continuationSeparator" w:id="0">
    <w:p w14:paraId="3DF20A13" w14:textId="77777777" w:rsidR="007707B7" w:rsidRDefault="007707B7" w:rsidP="00E60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0E373" w14:textId="77777777" w:rsidR="007707B7" w:rsidRDefault="007707B7" w:rsidP="00E600FC">
      <w:r>
        <w:separator/>
      </w:r>
    </w:p>
  </w:footnote>
  <w:footnote w:type="continuationSeparator" w:id="0">
    <w:p w14:paraId="58B87D45" w14:textId="77777777" w:rsidR="007707B7" w:rsidRDefault="007707B7" w:rsidP="00E60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6B"/>
    <w:rsid w:val="0075046B"/>
    <w:rsid w:val="007707B7"/>
    <w:rsid w:val="00E6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F327A5D-963B-4AD2-A64D-1FE198DA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E600F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00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600F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600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600FC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E600FC"/>
    <w:rPr>
      <w:rFonts w:ascii="宋体" w:eastAsia="宋体" w:hAnsi="宋体" w:cs="宋体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00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600FC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DefaultParagraphFont"/>
    <w:rsid w:val="00E600FC"/>
  </w:style>
  <w:style w:type="character" w:customStyle="1" w:styleId="ng-tns-c3343149547-18">
    <w:name w:val="ng-tns-c3343149547-18"/>
    <w:basedOn w:val="DefaultParagraphFont"/>
    <w:rsid w:val="00E600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0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0FC"/>
    <w:rPr>
      <w:rFonts w:ascii="宋体" w:eastAsia="宋体" w:hAnsi="宋体" w:cs="宋体"/>
      <w:kern w:val="0"/>
      <w:sz w:val="24"/>
      <w:szCs w:val="24"/>
    </w:rPr>
  </w:style>
  <w:style w:type="character" w:customStyle="1" w:styleId="ng-tns-c3343149547-19">
    <w:name w:val="ng-tns-c3343149547-19"/>
    <w:basedOn w:val="DefaultParagraphFont"/>
    <w:rsid w:val="00E60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4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3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2026-06-10T00:59:00Z</dcterms:created>
  <dcterms:modified xsi:type="dcterms:W3CDTF">2026-06-10T00:59:00Z</dcterms:modified>
</cp:coreProperties>
</file>