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EA14B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kern w:val="0"/>
          <w:sz w:val="24"/>
          <w:szCs w:val="24"/>
        </w:rPr>
        <w:t>这份模型在物理约束、几何抽象和闭环控制的静态表达上已经达到了非常高的水准。如果我们要精益求精，将其打造成工业级落地标准（或者作为具有学术与教学指导意义的高阶范例），还可以从</w:t>
      </w: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动态行为、接口深度、故障隔离以及联合仿真</w:t>
      </w:r>
      <w:r w:rsidRPr="00112A52">
        <w:rPr>
          <w:rFonts w:ascii="宋体" w:eastAsia="宋体" w:hAnsi="宋体" w:cs="宋体"/>
          <w:kern w:val="0"/>
          <w:sz w:val="24"/>
          <w:szCs w:val="24"/>
        </w:rPr>
        <w:t>这四个维度进行优化。</w:t>
      </w:r>
    </w:p>
    <w:p w14:paraId="218E92E3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kern w:val="0"/>
          <w:sz w:val="24"/>
          <w:szCs w:val="24"/>
        </w:rPr>
        <w:t>以下是几个建议改进的方向：</w:t>
      </w:r>
    </w:p>
    <w:p w14:paraId="75A5E3BB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12A52">
        <w:rPr>
          <w:rFonts w:ascii="宋体" w:eastAsia="宋体" w:hAnsi="宋体" w:cs="宋体"/>
          <w:b/>
          <w:bCs/>
          <w:kern w:val="0"/>
          <w:sz w:val="27"/>
          <w:szCs w:val="27"/>
        </w:rPr>
        <w:t>1. 补充状态机与动态行为抽象 (State Machine &amp; Dynamic Behavior)</w:t>
      </w:r>
    </w:p>
    <w:p w14:paraId="781E71E5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kern w:val="0"/>
          <w:sz w:val="24"/>
          <w:szCs w:val="24"/>
        </w:rPr>
        <w:t>目前的模型主要侧重于结构（Part/Item）、属性（Attribute）和动作/计算（Action/Calc）的静态声明，但缺少对系统生命周期的描述。</w:t>
      </w:r>
    </w:p>
    <w:p w14:paraId="43044CDC" w14:textId="77777777" w:rsidR="00112A52" w:rsidRPr="00112A52" w:rsidRDefault="00112A52" w:rsidP="00112A5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优化建议：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引入 state def 来描述 DGSS 的运行状态。例如，定义 Initialization（系统复位与寻零）、Calibration（标定阶段）、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ContinuousFiring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>（连续喷射阶段）以及 Fault（故障停机）。</w:t>
      </w:r>
    </w:p>
    <w:p w14:paraId="170578B4" w14:textId="77777777" w:rsidR="00112A52" w:rsidRPr="00112A52" w:rsidRDefault="00112A52" w:rsidP="00112A5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价值：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高频液滴系统不仅需要“打得准”，还需要“状态稳”。将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AdjustNozzleToHitTarget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等动作绑定到特定的状态转换（Transitions）中，能更清晰地展示系统在何种条件下触发闭环控制。</w:t>
      </w:r>
    </w:p>
    <w:p w14:paraId="47F450A1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12A52">
        <w:rPr>
          <w:rFonts w:ascii="宋体" w:eastAsia="宋体" w:hAnsi="宋体" w:cs="宋体"/>
          <w:b/>
          <w:bCs/>
          <w:kern w:val="0"/>
          <w:sz w:val="27"/>
          <w:szCs w:val="27"/>
        </w:rPr>
        <w:t>2. 细化接口协议与软硬件边界 (Interface Protocols &amp; HW/SW Boundaries)</w:t>
      </w:r>
    </w:p>
    <w:p w14:paraId="02C61605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模型中的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ControlSignalPort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DGSCommand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抽象得非常好，但在实际的高精度控制系统中，信息流往往伴随着特定的协议和延迟。</w:t>
      </w:r>
    </w:p>
    <w:p w14:paraId="04477604" w14:textId="77777777" w:rsidR="00112A52" w:rsidRPr="00112A52" w:rsidRDefault="00112A52" w:rsidP="00112A5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优化建议：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将抽象的控制信号进一步细化。例如，为位移台（DGS）增加反馈端口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SensorFeedbackPort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>。在实际工程中，指令下发和位置反馈（如共焦传感器数据）是双向的。可以定义总线延迟、采样率（如 $10\text{ kHz}$）等非功能性属性。</w:t>
      </w:r>
    </w:p>
    <w:p w14:paraId="448733C6" w14:textId="77777777" w:rsidR="00112A52" w:rsidRPr="00112A52" w:rsidRDefault="00112A52" w:rsidP="00112A5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价值：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这为后续下位机软件团队（例如使用 C++ 编写控制算法的团队）提供了明确的软硬件接口（ICD）契约，确保模型能直接指导代码框架的生成。</w:t>
      </w:r>
    </w:p>
    <w:p w14:paraId="11DA05DE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12A52">
        <w:rPr>
          <w:rFonts w:ascii="宋体" w:eastAsia="宋体" w:hAnsi="宋体" w:cs="宋体"/>
          <w:b/>
          <w:bCs/>
          <w:kern w:val="0"/>
          <w:sz w:val="27"/>
          <w:szCs w:val="27"/>
        </w:rPr>
        <w:t>3. 增强外部仿真引擎的联合能力 (Co-Simulation Integration)</w:t>
      </w:r>
    </w:p>
    <w:p w14:paraId="741FE31F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模型中的 calc def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computeBallisticTrajectory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用来计算名义弹道与散布，但在实际研发中，这类复杂的带扰动飞行轨迹（包含重力、气流脉动，甚至空心环状液滴分布等约束）通常由外部专业脚本完成。</w:t>
      </w:r>
    </w:p>
    <w:p w14:paraId="0659156D" w14:textId="77777777" w:rsidR="00112A52" w:rsidRPr="00112A52" w:rsidRDefault="00112A52" w:rsidP="00112A5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优化建议：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在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v2 中，可以通过外部调用机制或定义 FMI/FMU 接口，将这个 calc 显式声明为外部计算资源的代理（Proxy）。这意味着系统模型只定义输入（喷嘴位姿、环境参数）和输出（落点坐标），而具体的动力学解算留给专业的仿真代码。</w:t>
      </w:r>
    </w:p>
    <w:p w14:paraId="22979F23" w14:textId="77777777" w:rsidR="00112A52" w:rsidRPr="00112A52" w:rsidRDefault="00112A52" w:rsidP="00112A5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价值：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这种架构能够完美连接基于模型的系统工程（MBSE）与底层代码物理仿真，实现真正的数字孪生。</w:t>
      </w:r>
    </w:p>
    <w:p w14:paraId="2DC0BF75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12A52">
        <w:rPr>
          <w:rFonts w:ascii="宋体" w:eastAsia="宋体" w:hAnsi="宋体" w:cs="宋体"/>
          <w:b/>
          <w:bCs/>
          <w:kern w:val="0"/>
          <w:sz w:val="27"/>
          <w:szCs w:val="27"/>
        </w:rPr>
        <w:t>4. 引入异常处理与防污隔离约束 (Fault Tolerance &amp; Contamination Modeling)</w:t>
      </w:r>
    </w:p>
    <w:p w14:paraId="567DB8C1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EUV 光源的核心痛点之一是锡液滴飞溅对收集镜的污染。目前的模型定义了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DropletCollectedByTC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的成功判定，但未充分考虑“未捕获”情况下的系统响应。</w:t>
      </w:r>
    </w:p>
    <w:p w14:paraId="3025A85E" w14:textId="77777777" w:rsidR="00112A52" w:rsidRPr="00112A52" w:rsidRDefault="00112A52" w:rsidP="00112A5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优化建议：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增加异常流（Exception Flows）和相关的安全需求。例如，在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IdealGoal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FallbackGoal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之外，增加一个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SafetyConstraint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>：当液滴落点偏离 TC 复合孔径中心超过一定阈值（且持续 $N$ 毫秒）时，触发激光</w:t>
      </w:r>
      <w:proofErr w:type="gramStart"/>
      <w:r w:rsidRPr="00112A52">
        <w:rPr>
          <w:rFonts w:ascii="宋体" w:eastAsia="宋体" w:hAnsi="宋体" w:cs="宋体"/>
          <w:kern w:val="0"/>
          <w:sz w:val="24"/>
          <w:szCs w:val="24"/>
        </w:rPr>
        <w:t>光</w:t>
      </w:r>
      <w:proofErr w:type="gramEnd"/>
      <w:r w:rsidRPr="00112A52">
        <w:rPr>
          <w:rFonts w:ascii="宋体" w:eastAsia="宋体" w:hAnsi="宋体" w:cs="宋体"/>
          <w:kern w:val="0"/>
          <w:sz w:val="24"/>
          <w:szCs w:val="24"/>
        </w:rPr>
        <w:t>闸关闭或中止喷射。</w:t>
      </w:r>
    </w:p>
    <w:p w14:paraId="2FB8F956" w14:textId="77777777" w:rsidR="00112A52" w:rsidRPr="00112A52" w:rsidRDefault="00112A52" w:rsidP="00112A5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价值：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这不仅完善了逻辑，也极大提升了模型在分析高危精密设备时的工程严谨度。</w:t>
      </w:r>
    </w:p>
    <w:p w14:paraId="66423441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12A52">
        <w:rPr>
          <w:rFonts w:ascii="宋体" w:eastAsia="宋体" w:hAnsi="宋体" w:cs="宋体"/>
          <w:b/>
          <w:bCs/>
          <w:kern w:val="0"/>
          <w:sz w:val="27"/>
          <w:szCs w:val="27"/>
        </w:rPr>
        <w:t>5. 参数的变体与配置管理 (Variant Modeling)</w:t>
      </w:r>
    </w:p>
    <w:p w14:paraId="14DB7D8E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kern w:val="0"/>
          <w:sz w:val="24"/>
          <w:szCs w:val="24"/>
        </w:rPr>
        <w:t>当前模型中的许多参数（如喷嘴名义位置 $x = 410.453510\text{ mm}$，TC 半圆半径 $33\text{ mm}$）是硬编码的。</w:t>
      </w:r>
    </w:p>
    <w:p w14:paraId="436C5F31" w14:textId="77777777" w:rsidR="00112A52" w:rsidRPr="00112A52" w:rsidRDefault="00112A52" w:rsidP="00112A5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优化建议：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如果系统有多个版本，可以利用 </w:t>
      </w:r>
      <w:proofErr w:type="spellStart"/>
      <w:r w:rsidRPr="00112A52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v2 的变体机制（Variation）或剥离出一个独立的配置文件。将这些几何尺寸抽离为 Configuration 模块。</w:t>
      </w:r>
    </w:p>
    <w:p w14:paraId="2F8CB3E4" w14:textId="77777777" w:rsidR="00112A52" w:rsidRPr="00112A52" w:rsidRDefault="00112A52" w:rsidP="00112A5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b/>
          <w:bCs/>
          <w:kern w:val="0"/>
          <w:sz w:val="24"/>
          <w:szCs w:val="24"/>
        </w:rPr>
        <w:t>价值：</w:t>
      </w:r>
      <w:r w:rsidRPr="00112A52">
        <w:rPr>
          <w:rFonts w:ascii="宋体" w:eastAsia="宋体" w:hAnsi="宋体" w:cs="宋体"/>
          <w:kern w:val="0"/>
          <w:sz w:val="24"/>
          <w:szCs w:val="24"/>
        </w:rPr>
        <w:t xml:space="preserve"> 这提高了模型的复用率，当硬件参数在不同世代的机器迭代时，只需要更换参数包，而无需修改底层逻辑。</w:t>
      </w:r>
    </w:p>
    <w:p w14:paraId="43DE0A8B" w14:textId="77777777" w:rsidR="00112A52" w:rsidRPr="00112A52" w:rsidRDefault="00112A52" w:rsidP="00112A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12A52">
        <w:rPr>
          <w:rFonts w:ascii="宋体" w:eastAsia="宋体" w:hAnsi="宋体" w:cs="宋体"/>
          <w:kern w:val="0"/>
          <w:sz w:val="24"/>
          <w:szCs w:val="24"/>
        </w:rPr>
        <w:t>总的来说，现有的结构已经足够支撑起一篇高质量的架构解析或设计指南。为了进一步推动这个模型落地，您目前最希望将其推向哪个方向？是希望它能直接与外部计算脚本进行</w:t>
      </w:r>
      <w:proofErr w:type="gramStart"/>
      <w:r w:rsidRPr="00112A52">
        <w:rPr>
          <w:rFonts w:ascii="宋体" w:eastAsia="宋体" w:hAnsi="宋体" w:cs="宋体"/>
          <w:kern w:val="0"/>
          <w:sz w:val="24"/>
          <w:szCs w:val="24"/>
        </w:rPr>
        <w:t>参数级</w:t>
      </w:r>
      <w:proofErr w:type="gramEnd"/>
      <w:r w:rsidRPr="00112A52">
        <w:rPr>
          <w:rFonts w:ascii="宋体" w:eastAsia="宋体" w:hAnsi="宋体" w:cs="宋体"/>
          <w:kern w:val="0"/>
          <w:sz w:val="24"/>
          <w:szCs w:val="24"/>
        </w:rPr>
        <w:t>的联合仿真，还是更偏向于丰富它的状态机逻辑以完善系统行为描述？</w:t>
      </w:r>
    </w:p>
    <w:p w14:paraId="78652BAF" w14:textId="77777777" w:rsidR="00491798" w:rsidRPr="00112A52" w:rsidRDefault="00491798"/>
    <w:sectPr w:rsidR="00491798" w:rsidRPr="00112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4D1"/>
    <w:multiLevelType w:val="multilevel"/>
    <w:tmpl w:val="379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7A38"/>
    <w:multiLevelType w:val="multilevel"/>
    <w:tmpl w:val="35E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10F"/>
    <w:multiLevelType w:val="multilevel"/>
    <w:tmpl w:val="206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A43EC"/>
    <w:multiLevelType w:val="multilevel"/>
    <w:tmpl w:val="F6B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85E79"/>
    <w:multiLevelType w:val="multilevel"/>
    <w:tmpl w:val="119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98"/>
    <w:rsid w:val="00112A52"/>
    <w:rsid w:val="0049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4D397-5A6B-46F7-8D2F-6315DE1E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112A5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2A52"/>
    <w:rPr>
      <w:rFonts w:ascii="宋体" w:eastAsia="宋体" w:hAnsi="宋体" w:cs="宋体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2A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2A52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DefaultParagraphFont"/>
    <w:rsid w:val="00112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2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2026-05-27T07:26:00Z</dcterms:created>
  <dcterms:modified xsi:type="dcterms:W3CDTF">2026-05-27T07:27:00Z</dcterms:modified>
</cp:coreProperties>
</file>