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FCCE2" w14:textId="77777777" w:rsidR="0096528C" w:rsidRPr="0096528C" w:rsidRDefault="0096528C" w:rsidP="0096528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这份模型在系统架构和几何传递上已经非常完善，但如果将其定位为可用于驱动仿真验证、甚至是向后对接数字孪生（Digital Twin）的“工业级”可执行模型，在以下几个维</w:t>
      </w:r>
      <w:proofErr w:type="gramStart"/>
      <w:r w:rsidRPr="0096528C">
        <w:rPr>
          <w:rFonts w:ascii="宋体" w:eastAsia="宋体" w:hAnsi="宋体" w:cs="宋体"/>
          <w:kern w:val="0"/>
          <w:sz w:val="24"/>
          <w:szCs w:val="24"/>
        </w:rPr>
        <w:t>度还有</w:t>
      </w:r>
      <w:proofErr w:type="gramEnd"/>
      <w:r w:rsidRPr="0096528C">
        <w:rPr>
          <w:rFonts w:ascii="宋体" w:eastAsia="宋体" w:hAnsi="宋体" w:cs="宋体"/>
          <w:kern w:val="0"/>
          <w:sz w:val="24"/>
          <w:szCs w:val="24"/>
        </w:rPr>
        <w:t>进一步的优化空间：</w:t>
      </w:r>
    </w:p>
    <w:p w14:paraId="1263A62A" w14:textId="77777777" w:rsidR="0096528C" w:rsidRPr="0096528C" w:rsidRDefault="0096528C" w:rsidP="0096528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6528C">
        <w:rPr>
          <w:rFonts w:ascii="宋体" w:eastAsia="宋体" w:hAnsi="宋体" w:cs="宋体"/>
          <w:b/>
          <w:bCs/>
          <w:kern w:val="0"/>
          <w:sz w:val="27"/>
          <w:szCs w:val="27"/>
        </w:rPr>
        <w:t>1. 行为数据流与接口的显式绑定 (Explicit Data Flows)</w:t>
      </w:r>
    </w:p>
    <w:p w14:paraId="13EA453E" w14:textId="77777777" w:rsidR="0096528C" w:rsidRPr="0096528C" w:rsidRDefault="0096528C" w:rsidP="0096528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目前模型中定义了精确的装配结构（part）和端口（port），状态机中也提到了 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trackReference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等行为，但在组件级别，数据流并没有明确跑通。</w:t>
      </w:r>
    </w:p>
    <w:p w14:paraId="1D6F26E7" w14:textId="77777777" w:rsidR="0096528C" w:rsidRPr="0096528C" w:rsidRDefault="0096528C" w:rsidP="009652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b/>
          <w:bCs/>
          <w:kern w:val="0"/>
          <w:sz w:val="24"/>
          <w:szCs w:val="24"/>
        </w:rPr>
        <w:t>优化点：</w:t>
      </w:r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显</w:t>
      </w:r>
      <w:proofErr w:type="gramStart"/>
      <w:r w:rsidRPr="0096528C">
        <w:rPr>
          <w:rFonts w:ascii="宋体" w:eastAsia="宋体" w:hAnsi="宋体" w:cs="宋体"/>
          <w:kern w:val="0"/>
          <w:sz w:val="24"/>
          <w:szCs w:val="24"/>
        </w:rPr>
        <w:t>式建立</w:t>
      </w:r>
      <w:proofErr w:type="gram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FDS 反馈端口到 DGS 控制端口之间的内部连接（connection）与信息流（item flow）。</w:t>
      </w:r>
    </w:p>
    <w:p w14:paraId="4C343B6B" w14:textId="77777777" w:rsidR="0096528C" w:rsidRPr="0096528C" w:rsidRDefault="0096528C" w:rsidP="009652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b/>
          <w:bCs/>
          <w:kern w:val="0"/>
          <w:sz w:val="24"/>
          <w:szCs w:val="24"/>
        </w:rPr>
        <w:t>实现建议：</w:t>
      </w:r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在 DGSS 内部增加绑定关系，说明 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fds.measuredStability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或原始偏差数据是如何传递给 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dgs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的控制算法的。</w:t>
      </w:r>
    </w:p>
    <w:p w14:paraId="0AD84700" w14:textId="77777777" w:rsidR="0096528C" w:rsidRPr="0096528C" w:rsidRDefault="0096528C" w:rsidP="0096528C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Code snippet</w:t>
      </w:r>
    </w:p>
    <w:p w14:paraId="26287749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part def DGSS {</w:t>
      </w:r>
    </w:p>
    <w:p w14:paraId="7974EC67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   // ... 原有部件定义 ...</w:t>
      </w:r>
    </w:p>
    <w:p w14:paraId="159E372A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   connection 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feedbackLoop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connect </w:t>
      </w:r>
      <w:proofErr w:type="spellStart"/>
      <w:proofErr w:type="gramStart"/>
      <w:r w:rsidRPr="0096528C">
        <w:rPr>
          <w:rFonts w:ascii="宋体" w:eastAsia="宋体" w:hAnsi="宋体" w:cs="宋体"/>
          <w:kern w:val="0"/>
          <w:sz w:val="24"/>
          <w:szCs w:val="24"/>
        </w:rPr>
        <w:t>fds.feedbackPort</w:t>
      </w:r>
      <w:proofErr w:type="spellEnd"/>
      <w:proofErr w:type="gram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to 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dgs.controlPort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14:paraId="71B6F097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       flow </w:t>
      </w:r>
      <w:proofErr w:type="spellStart"/>
      <w:proofErr w:type="gramStart"/>
      <w:r w:rsidRPr="0096528C">
        <w:rPr>
          <w:rFonts w:ascii="宋体" w:eastAsia="宋体" w:hAnsi="宋体" w:cs="宋体"/>
          <w:kern w:val="0"/>
          <w:sz w:val="24"/>
          <w:szCs w:val="24"/>
        </w:rPr>
        <w:t>fds.measuredStability</w:t>
      </w:r>
      <w:proofErr w:type="spellEnd"/>
      <w:proofErr w:type="gram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from 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fds.feedbackPort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to 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dgs.controlPort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238C2C0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2693F6D3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570C38A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0A322B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### 2. 时序建模与多速率并发控制 (Timing &amp; Multi-rate Execution)</w:t>
      </w:r>
    </w:p>
    <w:p w14:paraId="7C335576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EUV 液滴生成是极高频的物理过程（通常在 50 kHz - 100 kHz 量级），而 FDS 的采样率以及 DGS 的闭环控制带宽（Req-2 中定义为 ≥ 5 Hz）处于完全不同的时间尺度。</w:t>
      </w:r>
    </w:p>
    <w:p w14:paraId="586298C3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*   **优化点：** 引入时序约束，明确系统中的慢动态（DGS 机械响应）与快动态（液滴生成与光学触发）之间的执行率（Execution Rate）差异。</w:t>
      </w:r>
    </w:p>
    <w:p w14:paraId="598B4548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*   **实现建议：** 在 `action` 或 `state` 中显式添加时间语义。例如，明确 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trackReference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 的控制周期，以及 FDS 提取 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isTransverseStable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 时的滑动时间窗口计算频率，这对于后续利用 Python/C++ 编写的控制器代码生成至关重要。</w:t>
      </w:r>
    </w:p>
    <w:p w14:paraId="4EEDD032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58DD5E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### 3. 公差与标定不确定性的参数化 (Tolerance &amp; Uncertainty Modeling)</w:t>
      </w:r>
    </w:p>
    <w:p w14:paraId="30311267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模型中 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DGSInstallationCalibration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 的参数（如 $\alpha = 28^\circ$, $\beta = 78^\circ$）目前被硬编码为绝对的理想标量。在精密工程中，标定误差和安装公差对液滴落点散布有决定性影响。</w:t>
      </w:r>
    </w:p>
    <w:p w14:paraId="659BB62F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*   **优化点：** 为安装角和位移向量引入不确定性区间或统计分布。</w:t>
      </w:r>
    </w:p>
    <w:p w14:paraId="21A90ED4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*   **实现建议：** 可以使用区间类型或利用 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v2 的扩展机制为</w:t>
      </w:r>
      <w:proofErr w:type="gramStart"/>
      <w:r w:rsidRPr="0096528C">
        <w:rPr>
          <w:rFonts w:ascii="宋体" w:eastAsia="宋体" w:hAnsi="宋体" w:cs="宋体"/>
          <w:kern w:val="0"/>
          <w:sz w:val="24"/>
          <w:szCs w:val="24"/>
        </w:rPr>
        <w:t>标定值</w:t>
      </w:r>
      <w:proofErr w:type="gramEnd"/>
      <w:r w:rsidRPr="0096528C">
        <w:rPr>
          <w:rFonts w:ascii="宋体" w:eastAsia="宋体" w:hAnsi="宋体" w:cs="宋体"/>
          <w:kern w:val="0"/>
          <w:sz w:val="24"/>
          <w:szCs w:val="24"/>
        </w:rPr>
        <w:t>增加公差属性（如 `+/- 0.05°`）。这样在进行弹道偏差预算</w:t>
      </w:r>
      <w:r w:rsidRPr="0096528C">
        <w:rPr>
          <w:rFonts w:ascii="宋体" w:eastAsia="宋体" w:hAnsi="宋体" w:cs="宋体"/>
          <w:kern w:val="0"/>
          <w:sz w:val="24"/>
          <w:szCs w:val="24"/>
        </w:rPr>
        <w:lastRenderedPageBreak/>
        <w:t>（`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DropletBallisticBudget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`）时，可以直接驱动蒙特卡洛（Monte Carlo）分析，验证极端公差累积下系统是否依然满足 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DropletCollectedByTC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 需求。</w:t>
      </w:r>
    </w:p>
    <w:p w14:paraId="6DAAA81D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005D37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### 4. 物理装配约束的语义深化 (Mechanical/Spatial Constraints)</w:t>
      </w:r>
    </w:p>
    <w:p w14:paraId="7404EA68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MechanicalMountPort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 目前是一个空的端口定义。在将系统工程模型向三维空间过渡时，接口不仅仅是信息传递，更代表着刚体约束。</w:t>
      </w:r>
    </w:p>
    <w:p w14:paraId="7BA19967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*   **优化点：** 赋予机械端口具体的空间运动学自由度（DOF）约束语义。</w:t>
      </w:r>
    </w:p>
    <w:p w14:paraId="01870DEA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*   **实现建议：** 明确 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nozzleMount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 和 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stageMount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` 是法兰连接、运动副还是具有特定刚度矩阵的柔性连接。在向后对接可编程 CAD 工具（例如利用 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CadQuery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自动生成靶</w:t>
      </w:r>
      <w:proofErr w:type="gramStart"/>
      <w:r w:rsidRPr="0096528C">
        <w:rPr>
          <w:rFonts w:ascii="宋体" w:eastAsia="宋体" w:hAnsi="宋体" w:cs="宋体"/>
          <w:kern w:val="0"/>
          <w:sz w:val="24"/>
          <w:szCs w:val="24"/>
        </w:rPr>
        <w:t>向舱或</w:t>
      </w:r>
      <w:proofErr w:type="gramEnd"/>
      <w:r w:rsidRPr="0096528C">
        <w:rPr>
          <w:rFonts w:ascii="宋体" w:eastAsia="宋体" w:hAnsi="宋体" w:cs="宋体"/>
          <w:kern w:val="0"/>
          <w:sz w:val="24"/>
          <w:szCs w:val="24"/>
        </w:rPr>
        <w:t>测试台架的参数化外壳）时，这些显式的接口物理约束能够直接转换为 CAD 装配代码。</w:t>
      </w:r>
    </w:p>
    <w:p w14:paraId="352D8979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FFBB07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### 5. 异常状态的具体触发逻辑 (Fault Triggering Mechanisms)</w:t>
      </w:r>
    </w:p>
    <w:p w14:paraId="23B6D93E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在 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DGSSStateMachine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 中，任何状态都在监控 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 跳转到 `Fault` 状态，但 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 被置位的具体内部逻辑缺乏行为层次的描述。</w:t>
      </w:r>
    </w:p>
    <w:p w14:paraId="38B8EB9D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*   **优化点：** 建立传感器数据到故障标志位的判断链路。</w:t>
      </w:r>
    </w:p>
    <w:p w14:paraId="2933BE31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*   **实现建议：** 在 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SafetyConstraint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` 中定义的检测机制（如 "FDS loss-of-droplet"）应该被实例化为系统监控模块中的具体判定动作（`action def 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EvaluateFaults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`），并将判定结果持续写入 `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>`，使系统具备真正的可仿真性。</w:t>
      </w:r>
    </w:p>
    <w:p w14:paraId="411418FF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0FB525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---</w:t>
      </w:r>
    </w:p>
    <w:p w14:paraId="64A5235B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4A4EE0" w14:textId="77777777" w:rsidR="0096528C" w:rsidRPr="0096528C" w:rsidRDefault="0096528C" w:rsidP="009652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528C">
        <w:rPr>
          <w:rFonts w:ascii="宋体" w:eastAsia="宋体" w:hAnsi="宋体" w:cs="宋体"/>
          <w:kern w:val="0"/>
          <w:sz w:val="24"/>
          <w:szCs w:val="24"/>
        </w:rPr>
        <w:t>将这些领域细化后，</w:t>
      </w:r>
      <w:proofErr w:type="spellStart"/>
      <w:r w:rsidRPr="0096528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96528C">
        <w:rPr>
          <w:rFonts w:ascii="宋体" w:eastAsia="宋体" w:hAnsi="宋体" w:cs="宋体"/>
          <w:kern w:val="0"/>
          <w:sz w:val="24"/>
          <w:szCs w:val="24"/>
        </w:rPr>
        <w:t xml:space="preserve"> v2 模型就能从“设计规范文档”真正转变为“工程计算引擎”。在梳理从 FDS 成像系统提取偏差，并将其转换为 D</w:t>
      </w:r>
    </w:p>
    <w:p w14:paraId="5846C7A6" w14:textId="77777777" w:rsidR="00651BA9" w:rsidRPr="0096528C" w:rsidRDefault="00651BA9"/>
    <w:sectPr w:rsidR="00651BA9" w:rsidRPr="00965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23930"/>
    <w:multiLevelType w:val="multilevel"/>
    <w:tmpl w:val="38A4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A9"/>
    <w:rsid w:val="00651BA9"/>
    <w:rsid w:val="0096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06110-6997-4C44-9944-F346A604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96528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528C"/>
    <w:rPr>
      <w:rFonts w:ascii="宋体" w:eastAsia="宋体" w:hAnsi="宋体" w:cs="宋体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52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528C"/>
    <w:rPr>
      <w:rFonts w:ascii="宋体" w:eastAsia="宋体" w:hAnsi="宋体" w:cs="宋体"/>
      <w:sz w:val="24"/>
      <w:szCs w:val="24"/>
    </w:rPr>
  </w:style>
  <w:style w:type="character" w:customStyle="1" w:styleId="ng-tns-c766581630-124">
    <w:name w:val="ng-tns-c766581630-124"/>
    <w:basedOn w:val="DefaultParagraphFont"/>
    <w:rsid w:val="009652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2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28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0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8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4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2026-05-28T08:53:00Z</dcterms:created>
  <dcterms:modified xsi:type="dcterms:W3CDTF">2026-05-28T08:54:00Z</dcterms:modified>
</cp:coreProperties>
</file>