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9A2CD" w14:textId="1C4F9183" w:rsidR="0091202D" w:rsidRPr="0091202D" w:rsidRDefault="0091202D" w:rsidP="009B08D6">
      <w:pPr>
        <w:autoSpaceDE w:val="0"/>
        <w:autoSpaceDN w:val="0"/>
        <w:adjustRightInd w:val="0"/>
        <w:ind w:firstLine="720"/>
      </w:pPr>
      <w:r>
        <w:t>Here</w:t>
      </w:r>
      <w:r>
        <w:rPr>
          <w:rFonts w:hint="eastAsia"/>
        </w:rPr>
        <w:t xml:space="preserve"> </w:t>
      </w:r>
      <w:r w:rsidR="009B08D6">
        <w:t>Honyu Chen</w:t>
      </w:r>
      <w:r>
        <w:t xml:space="preserve">, Xiangyu Liu and Qihui Li use F0AM to explore the </w:t>
      </w:r>
      <w:r w:rsidRPr="0091202D">
        <w:t>OVOC( Formaldehyde, Formic Acid and Glyoxal ) yield from VOCs(Isoprene, Alpha-pinene and Limonene)</w:t>
      </w:r>
      <w:r w:rsidR="009B08D6">
        <w:t xml:space="preserve"> respectively</w:t>
      </w:r>
      <w:r w:rsidRPr="0091202D">
        <w:t>: chemical mechanism</w:t>
      </w:r>
      <w:r>
        <w:t>(MCM.331v and Geos-Chem)</w:t>
      </w:r>
      <w:r w:rsidRPr="0091202D">
        <w:t>, constraints from Constraints are taken from observations at the Centerville, AL site of the 2013 SOAS field campaign.</w:t>
      </w:r>
    </w:p>
    <w:p w14:paraId="7A40D144" w14:textId="23A9190A" w:rsidR="009B08D6" w:rsidRDefault="009B08D6" w:rsidP="009B08D6">
      <w:pPr>
        <w:pStyle w:val="NormalWeb"/>
        <w:rPr>
          <w:rFonts w:ascii="NimbusRomNo9L" w:hAnsi="NimbusRomNo9L"/>
          <w:sz w:val="20"/>
          <w:szCs w:val="20"/>
        </w:rPr>
      </w:pPr>
      <w:r>
        <w:rPr>
          <w:rFonts w:asciiTheme="minorHAnsi" w:eastAsiaTheme="minorEastAsia" w:hAnsiTheme="minorHAnsi" w:cstheme="minorBidi"/>
        </w:rPr>
        <w:tab/>
      </w:r>
      <w:r>
        <w:rPr>
          <w:rFonts w:ascii="NimbusRomNo9L" w:hAnsi="NimbusRomNo9L"/>
          <w:sz w:val="20"/>
          <w:szCs w:val="20"/>
        </w:rPr>
        <w:t>Each simulations are initiated at 09:00 LT with 1 ppbv of one kind of VOCs, 40 ppbv O</w:t>
      </w:r>
      <w:proofErr w:type="gramStart"/>
      <w:r>
        <w:rPr>
          <w:rFonts w:ascii="NimbusRomNo9L" w:hAnsi="NimbusRomNo9L"/>
          <w:position w:val="-2"/>
          <w:sz w:val="16"/>
          <w:szCs w:val="16"/>
        </w:rPr>
        <w:t xml:space="preserve">3 </w:t>
      </w:r>
      <w:r>
        <w:rPr>
          <w:rFonts w:ascii="NimbusRomNo9L" w:hAnsi="NimbusRomNo9L"/>
          <w:sz w:val="20"/>
          <w:szCs w:val="20"/>
        </w:rPr>
        <w:t>,</w:t>
      </w:r>
      <w:proofErr w:type="gramEnd"/>
      <w:r>
        <w:rPr>
          <w:rFonts w:ascii="NimbusRomNo9L" w:hAnsi="NimbusRomNo9L"/>
          <w:sz w:val="20"/>
          <w:szCs w:val="20"/>
        </w:rPr>
        <w:t xml:space="preserve"> and 100 ppbv CO. The initial OH concentration is 4 </w:t>
      </w:r>
      <w:r>
        <w:rPr>
          <w:rFonts w:ascii="MTSYN" w:hAnsi="MTSYN"/>
          <w:sz w:val="20"/>
          <w:szCs w:val="20"/>
        </w:rPr>
        <w:t xml:space="preserve">× </w:t>
      </w:r>
      <w:r>
        <w:rPr>
          <w:rFonts w:ascii="NimbusRomNo9L" w:hAnsi="NimbusRomNo9L"/>
          <w:sz w:val="20"/>
          <w:szCs w:val="20"/>
        </w:rPr>
        <w:t>10</w:t>
      </w:r>
      <w:r>
        <w:rPr>
          <w:rFonts w:ascii="NimbusRomNo9L" w:hAnsi="NimbusRomNo9L"/>
          <w:position w:val="8"/>
          <w:sz w:val="16"/>
          <w:szCs w:val="16"/>
        </w:rPr>
        <w:t xml:space="preserve">6 </w:t>
      </w:r>
      <w:r>
        <w:rPr>
          <w:rFonts w:ascii="NimbusRomNo9L" w:hAnsi="NimbusRomNo9L"/>
          <w:sz w:val="20"/>
          <w:szCs w:val="20"/>
        </w:rPr>
        <w:t>molecules cm</w:t>
      </w:r>
      <w:r>
        <w:rPr>
          <w:rFonts w:ascii="MTSYN" w:hAnsi="MTSYN"/>
          <w:position w:val="8"/>
          <w:sz w:val="16"/>
          <w:szCs w:val="16"/>
        </w:rPr>
        <w:t>−</w:t>
      </w:r>
      <w:proofErr w:type="gramStart"/>
      <w:r>
        <w:rPr>
          <w:rFonts w:ascii="NimbusRomNo9L" w:hAnsi="NimbusRomNo9L"/>
          <w:position w:val="8"/>
          <w:sz w:val="16"/>
          <w:szCs w:val="16"/>
        </w:rPr>
        <w:t xml:space="preserve">3 </w:t>
      </w:r>
      <w:r>
        <w:t>,</w:t>
      </w:r>
      <w:proofErr w:type="gramEnd"/>
      <w:r>
        <w:t xml:space="preserve"> which is not fixed for the model. </w:t>
      </w:r>
      <w:r>
        <w:rPr>
          <w:rFonts w:ascii="NimbusRomNo9L" w:hAnsi="NimbusRomNo9L"/>
          <w:sz w:val="20"/>
          <w:szCs w:val="20"/>
        </w:rPr>
        <w:t>NO</w:t>
      </w:r>
      <w:r>
        <w:rPr>
          <w:rFonts w:ascii="MTMI" w:hAnsi="MTMI"/>
          <w:position w:val="-2"/>
          <w:sz w:val="16"/>
          <w:szCs w:val="16"/>
        </w:rPr>
        <w:t xml:space="preserve">x </w:t>
      </w:r>
      <w:r>
        <w:rPr>
          <w:rFonts w:ascii="NimbusRomNo9L" w:hAnsi="NimbusRomNo9L"/>
          <w:sz w:val="20"/>
          <w:szCs w:val="20"/>
        </w:rPr>
        <w:t xml:space="preserve">concentrations are held at fixed </w:t>
      </w:r>
      <w:proofErr w:type="gramStart"/>
      <w:r>
        <w:rPr>
          <w:rFonts w:ascii="NimbusRomNo9L" w:hAnsi="NimbusRomNo9L"/>
          <w:sz w:val="20"/>
          <w:szCs w:val="20"/>
        </w:rPr>
        <w:t>values[</w:t>
      </w:r>
      <w:proofErr w:type="gramEnd"/>
      <w:r>
        <w:rPr>
          <w:rFonts w:ascii="NimbusRomNo9L" w:hAnsi="NimbusRomNo9L"/>
          <w:sz w:val="20"/>
          <w:szCs w:val="20"/>
        </w:rPr>
        <w:t xml:space="preserve">0.01,0.1,1]. </w:t>
      </w:r>
    </w:p>
    <w:p w14:paraId="4BFD168A" w14:textId="77777777" w:rsidR="00D5059A" w:rsidRPr="00D5059A" w:rsidRDefault="009B08D6" w:rsidP="00D5059A">
      <w:pPr>
        <w:pStyle w:val="NormalWeb"/>
      </w:pPr>
      <w:r>
        <w:rPr>
          <w:rFonts w:ascii="NimbusRomNo9L" w:hAnsi="NimbusRomNo9L"/>
          <w:sz w:val="20"/>
          <w:szCs w:val="20"/>
        </w:rPr>
        <w:tab/>
        <w:t xml:space="preserve">Here we can see from the Graphs that for HCHO, the MCM and Geos-Chem have a very similar trend but have a very different trend for other OVOCs, just as the result of </w:t>
      </w:r>
      <w:r w:rsidRPr="009B08D6">
        <w:rPr>
          <w:rFonts w:ascii="NimbusRomNo9L" w:hAnsi="NimbusRomNo9L"/>
          <w:sz w:val="20"/>
          <w:szCs w:val="20"/>
        </w:rPr>
        <w:t xml:space="preserve">Christopher Chan Miller. </w:t>
      </w:r>
      <w:r>
        <w:rPr>
          <w:rFonts w:ascii="NimbusRomNo9L" w:hAnsi="NimbusRomNo9L"/>
          <w:sz w:val="20"/>
          <w:szCs w:val="20"/>
        </w:rPr>
        <w:t>etc</w:t>
      </w:r>
      <w:r w:rsidRPr="009B08D6">
        <w:rPr>
          <w:rFonts w:ascii="NimbusRomNo9L" w:hAnsi="NimbusRomNo9L"/>
          <w:sz w:val="20"/>
          <w:szCs w:val="20"/>
        </w:rPr>
        <w:t>.</w:t>
      </w:r>
      <w:r>
        <w:rPr>
          <w:rFonts w:ascii="NimbusRomNo9L" w:hAnsi="NimbusRomNo9L"/>
          <w:sz w:val="20"/>
          <w:szCs w:val="20"/>
        </w:rPr>
        <w:t xml:space="preserve"> </w:t>
      </w:r>
      <w:r w:rsidRPr="009B08D6">
        <w:rPr>
          <w:rFonts w:ascii="NimbusRomNo9L" w:hAnsi="NimbusRomNo9L"/>
          <w:sz w:val="20"/>
          <w:szCs w:val="20"/>
        </w:rPr>
        <w:t>This may due to the reason that MCM.331v have more reaction than the Geos-Chem.</w:t>
      </w:r>
      <w:r w:rsidR="00D5059A">
        <w:rPr>
          <w:rFonts w:ascii="NimbusRomNo9L" w:hAnsi="NimbusRomNo9L"/>
          <w:sz w:val="20"/>
          <w:szCs w:val="20"/>
        </w:rPr>
        <w:t xml:space="preserve"> </w:t>
      </w:r>
      <w:r w:rsidR="00D5059A" w:rsidRPr="00D5059A">
        <w:rPr>
          <w:rFonts w:ascii="NimbusRomNo9L" w:hAnsi="NimbusRomNo9L"/>
          <w:sz w:val="20"/>
          <w:szCs w:val="20"/>
        </w:rPr>
        <w:t>There is far more disagreement between the two mech- anisms for CHOCHO yields. Under high-NO</w:t>
      </w:r>
      <w:r w:rsidR="00D5059A" w:rsidRPr="00D5059A">
        <w:rPr>
          <w:rFonts w:ascii="MTMI" w:hAnsi="MTMI"/>
          <w:position w:val="-2"/>
          <w:sz w:val="16"/>
          <w:szCs w:val="16"/>
        </w:rPr>
        <w:t xml:space="preserve">x </w:t>
      </w:r>
      <w:r w:rsidR="00D5059A" w:rsidRPr="00D5059A">
        <w:rPr>
          <w:rFonts w:ascii="NimbusRomNo9L" w:hAnsi="NimbusRomNo9L"/>
          <w:sz w:val="20"/>
          <w:szCs w:val="20"/>
        </w:rPr>
        <w:t xml:space="preserve">conditions, GEOS-Chem produces CHOCHO rapidly in the first 2 h due to its higher </w:t>
      </w:r>
      <w:r w:rsidR="00D5059A" w:rsidRPr="00D5059A">
        <w:rPr>
          <w:rFonts w:ascii="MTMI" w:hAnsi="MTMI"/>
          <w:sz w:val="20"/>
          <w:szCs w:val="20"/>
        </w:rPr>
        <w:t>δ</w:t>
      </w:r>
      <w:r w:rsidR="00D5059A" w:rsidRPr="00D5059A">
        <w:rPr>
          <w:rFonts w:ascii="NimbusRomNo9L" w:hAnsi="NimbusRomNo9L"/>
          <w:sz w:val="20"/>
          <w:szCs w:val="20"/>
        </w:rPr>
        <w:t>-ISOPO</w:t>
      </w:r>
      <w:r w:rsidR="00D5059A" w:rsidRPr="00D5059A">
        <w:rPr>
          <w:rFonts w:ascii="NimbusRomNo9L" w:hAnsi="NimbusRomNo9L"/>
          <w:position w:val="-2"/>
          <w:sz w:val="16"/>
          <w:szCs w:val="16"/>
        </w:rPr>
        <w:t xml:space="preserve">2 </w:t>
      </w:r>
      <w:r w:rsidR="00D5059A" w:rsidRPr="00D5059A">
        <w:rPr>
          <w:rFonts w:ascii="MTSYN" w:hAnsi="MTSYN"/>
          <w:sz w:val="20"/>
          <w:szCs w:val="20"/>
        </w:rPr>
        <w:t>+</w:t>
      </w:r>
      <w:r w:rsidR="00D5059A" w:rsidRPr="00D5059A">
        <w:rPr>
          <w:rFonts w:ascii="NimbusRomNo9L" w:hAnsi="NimbusRomNo9L"/>
          <w:sz w:val="20"/>
          <w:szCs w:val="20"/>
        </w:rPr>
        <w:t>NO branching ratio (10 % in GEOS- Chem vs. 3.4% in MCMv3.3.1). This is compensated at longer OH exposure times by higher GLYC yields from iso- prene in MCMv3.3.1. GEOS-Chem produces higher ultimate yields of CHOCHO under low-NO</w:t>
      </w:r>
      <w:r w:rsidR="00D5059A" w:rsidRPr="00D5059A">
        <w:rPr>
          <w:rFonts w:ascii="MTMI" w:hAnsi="MTMI"/>
          <w:position w:val="-2"/>
          <w:sz w:val="16"/>
          <w:szCs w:val="16"/>
        </w:rPr>
        <w:t xml:space="preserve">x </w:t>
      </w:r>
      <w:r w:rsidR="00D5059A" w:rsidRPr="00D5059A">
        <w:rPr>
          <w:rFonts w:ascii="NimbusRomNo9L" w:hAnsi="NimbusRomNo9L"/>
          <w:sz w:val="20"/>
          <w:szCs w:val="20"/>
        </w:rPr>
        <w:t>conditions mainly due to DHDC formation and subsequent photolysis, neither of which are included in MCMv3.3.1. The NO</w:t>
      </w:r>
      <w:r w:rsidR="00D5059A" w:rsidRPr="00D5059A">
        <w:rPr>
          <w:rFonts w:ascii="MTMI" w:hAnsi="MTMI"/>
          <w:position w:val="-2"/>
          <w:sz w:val="16"/>
          <w:szCs w:val="16"/>
        </w:rPr>
        <w:t>x</w:t>
      </w:r>
      <w:r w:rsidR="00D5059A" w:rsidRPr="00D5059A">
        <w:rPr>
          <w:rFonts w:ascii="NimbusRomNo9L" w:hAnsi="NimbusRomNo9L"/>
          <w:sz w:val="20"/>
          <w:szCs w:val="20"/>
        </w:rPr>
        <w:t xml:space="preserve">-dependence of the CHOCHO yield in MCMv3.3.1 is similar to that of HCHO, implying that CHOCHO and HCHO observations would provide redundant information on isoprene emissions. </w:t>
      </w:r>
    </w:p>
    <w:p w14:paraId="14E9E696" w14:textId="710BA7CB" w:rsidR="009B08D6" w:rsidRDefault="00D5059A" w:rsidP="009B08D6">
      <w:pPr>
        <w:pStyle w:val="NormalWeb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 Reference:</w:t>
      </w:r>
    </w:p>
    <w:p w14:paraId="6731135A" w14:textId="6066D1E0" w:rsidR="00D5059A" w:rsidRPr="00EC02E3" w:rsidRDefault="00D5059A" w:rsidP="00D5059A">
      <w:pPr>
        <w:pStyle w:val="NormalWeb"/>
        <w:numPr>
          <w:ilvl w:val="0"/>
          <w:numId w:val="1"/>
        </w:numPr>
        <w:rPr>
          <w:rFonts w:ascii="NimbusRomNo9L" w:hAnsi="NimbusRomNo9L"/>
          <w:sz w:val="20"/>
          <w:szCs w:val="20"/>
        </w:rPr>
      </w:pPr>
      <w:r w:rsidRPr="00D5059A">
        <w:rPr>
          <w:rFonts w:ascii="NimbusRomNo9L" w:hAnsi="NimbusRomNo9L"/>
          <w:sz w:val="20"/>
          <w:szCs w:val="20"/>
        </w:rPr>
        <w:t>Miller, Christopher &amp; Jacob, Daniel &amp; Marais, Eloise &amp; Yu, Karen &amp; Travis, Katherine &amp; Kim, Patrick &amp; Fisher, Jenny &amp; Zhu, Lei &amp; Wolfe, Glenn &amp; Hanisco, Thomas &amp; Keutsch, Frank &amp; Kaiser, J. &amp; Min, Kyung-Eun &amp; Brown, Steven &amp; Washenfelder, Rebecca &amp; Gonzalez Abad, Gonzalo &amp; Chance, Kelly. (2017). Glyoxal yield from isoprene oxidation and relation to formaldehyde: Chemical mechanism, constraints from SENEX aircraft observations, and interpretation of OMI satellite data. Atmospheric Chemistry and Physics. 17. 8725-8738. 10.5194/acp-17-8725-2017.</w:t>
      </w:r>
    </w:p>
    <w:p w14:paraId="323CE6CF" w14:textId="6C3FBEBD" w:rsidR="0091202D" w:rsidRPr="0091202D" w:rsidRDefault="0091202D" w:rsidP="0091202D">
      <w:pPr>
        <w:pStyle w:val="NormalWeb"/>
        <w:rPr>
          <w:rFonts w:asciiTheme="minorHAnsi" w:eastAsiaTheme="minorEastAsia" w:hAnsiTheme="minorHAnsi" w:cstheme="minorBidi"/>
        </w:rPr>
      </w:pPr>
    </w:p>
    <w:p w14:paraId="0DC92D79" w14:textId="656F6B50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MTSYN">
    <w:altName w:val="Cambria"/>
    <w:panose1 w:val="020B0604020202020204"/>
    <w:charset w:val="00"/>
    <w:family w:val="roman"/>
    <w:notTrueType/>
    <w:pitch w:val="default"/>
  </w:font>
  <w:font w:name="MTM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2A66"/>
    <w:multiLevelType w:val="hybridMultilevel"/>
    <w:tmpl w:val="46E6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91202D"/>
    <w:rsid w:val="009B08D6"/>
    <w:rsid w:val="00A944C6"/>
    <w:rsid w:val="00D5059A"/>
    <w:rsid w:val="00E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0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7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Chen, Hongyu</cp:lastModifiedBy>
  <cp:revision>3</cp:revision>
  <dcterms:created xsi:type="dcterms:W3CDTF">2016-11-19T00:45:00Z</dcterms:created>
  <dcterms:modified xsi:type="dcterms:W3CDTF">2020-04-20T00:34:00Z</dcterms:modified>
</cp:coreProperties>
</file>