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 Vehicles</w:t>
      </w:r>
    </w:p>
    <w:p>
      <w:r>
        <w:t>A typical electric vehicle battery is warranted for 8 years or 160,000 kilometres, whichever comes first.</w:t>
      </w:r>
    </w:p>
    <w:p>
      <w:r>
        <w:t>The Tesla Model 3 became the best-selling electric car in the world in 2020, passing one million units sold in 2021.</w:t>
      </w:r>
    </w:p>
    <w:p>
      <w:r>
        <w:t>Charging an EV at home on a standard wall box takes about 8 hours for a full charge, while a rapid charger can reach 80 percent in about 30 minutes.</w:t>
      </w:r>
    </w:p>
    <w:p>
      <w:r>
        <w:t>Norway leads the world in EV adoption: over 80 percent of new cars sold there in 2022 were fully electric.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