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Policy</w:t>
      </w:r>
    </w:p>
    <w:p>
      <w:r>
        <w:t>Meals while travelling are reimbursed up to 25 euros per day. Alcohol is never reimbursable, even when served with a business meal.</w:t>
      </w:r>
    </w:p>
    <w:p>
      <w:r>
        <w:t>Taxi receipts are required for any fare above 15 euros. Rideshare receipts must show the date, route, and total amount.</w:t>
      </w:r>
    </w:p>
    <w:p>
      <w:r>
        <w:t>Expense claims must be submitted within 30 days of the expense. Claims older than 90 days are rejected automatically by the system.</w:t>
      </w:r>
    </w:p>
    <w:p>
      <w:r>
        <w:t>Flights must be booked at least 14 days in advance and in economy class. Business class requires written approval from a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