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0167" w:rsidRDefault="00500B92">
      <w:pPr>
        <w:spacing w:after="160" w:line="276" w:lineRule="auto"/>
        <w:jc w:val="center"/>
        <w:rPr>
          <w:rFonts w:ascii="Times New Roman" w:eastAsia="Times New Roman" w:hAnsi="Times New Roman" w:cs="Times New Roman"/>
          <w:sz w:val="24"/>
          <w:szCs w:val="24"/>
        </w:rPr>
      </w:pPr>
      <w:bookmarkStart w:id="0" w:name="_heading=h.qh7r7pxjzusg" w:colFirst="0" w:colLast="0"/>
      <w:bookmarkEnd w:id="0"/>
      <w:r>
        <w:rPr>
          <w:rFonts w:ascii="Times New Roman" w:eastAsia="Times New Roman" w:hAnsi="Times New Roman" w:cs="Times New Roman"/>
          <w:b/>
          <w:bCs/>
          <w:sz w:val="24"/>
          <w:szCs w:val="24"/>
        </w:rPr>
        <w:t>KETAKSAAN MAKNA PADA UNDANG-UNDANG DASAR NEGARA REPUBLIK INDONESIA 1945 SEBELUM AMANDEMEN</w:t>
      </w:r>
    </w:p>
    <w:p w:rsidR="00610167" w:rsidRPr="002B7D48" w:rsidRDefault="00500B92">
      <w:pPr>
        <w:spacing w:after="160" w:line="276"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Athorida Faidana Syamsiyati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Anindita Yunina Azahro</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Erik Nafansyah Cahya Risqi Ramadani</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Nafiisah Rindy Farah</w:t>
      </w:r>
      <w:r>
        <w:rPr>
          <w:rFonts w:ascii="Times New Roman" w:eastAsia="Times New Roman" w:hAnsi="Times New Roman" w:cs="Times New Roman"/>
          <w:sz w:val="24"/>
          <w:szCs w:val="24"/>
          <w:vertAlign w:val="superscript"/>
        </w:rPr>
        <w:t>4</w:t>
      </w:r>
      <w:r w:rsidR="002B7D48">
        <w:rPr>
          <w:rFonts w:ascii="Times New Roman" w:eastAsia="Times New Roman" w:hAnsi="Times New Roman" w:cs="Times New Roman"/>
          <w:sz w:val="24"/>
          <w:szCs w:val="24"/>
        </w:rPr>
        <w:t>, Yoga Yolanda</w:t>
      </w:r>
      <w:r w:rsidR="002B7D48">
        <w:rPr>
          <w:rFonts w:ascii="Times New Roman" w:eastAsia="Times New Roman" w:hAnsi="Times New Roman" w:cs="Times New Roman"/>
          <w:sz w:val="24"/>
          <w:szCs w:val="24"/>
          <w:vertAlign w:val="superscript"/>
        </w:rPr>
        <w:t>5</w:t>
      </w:r>
    </w:p>
    <w:p w:rsidR="00610167" w:rsidRDefault="00500B9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Pendidikan Bahasa dan Sastra Indonesia, </w:t>
      </w:r>
    </w:p>
    <w:p w:rsidR="00610167" w:rsidRDefault="00500B92">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Fakultas Keguruan dan Ilmu Pendidikan, Universitas Jember</w:t>
      </w:r>
    </w:p>
    <w:p w:rsidR="00610167" w:rsidRDefault="00B36F47">
      <w:pPr>
        <w:spacing w:after="160" w:line="276" w:lineRule="auto"/>
        <w:jc w:val="center"/>
        <w:rPr>
          <w:rFonts w:ascii="Times New Roman" w:eastAsia="Times New Roman" w:hAnsi="Times New Roman" w:cs="Times New Roman"/>
          <w:sz w:val="24"/>
          <w:szCs w:val="24"/>
        </w:rPr>
      </w:pPr>
      <w:hyperlink r:id="rId9" w:history="1">
        <w:r w:rsidRPr="00453178">
          <w:rPr>
            <w:rStyle w:val="Hyperlink"/>
            <w:rFonts w:ascii="Times New Roman" w:eastAsia="Times New Roman" w:hAnsi="Times New Roman" w:cs="Times New Roman"/>
            <w:sz w:val="24"/>
            <w:szCs w:val="24"/>
          </w:rPr>
          <w:t>240210402001@mail.unej.ac.id</w:t>
        </w:r>
      </w:hyperlink>
      <w:proofErr w:type="gramStart"/>
      <w:r>
        <w:rPr>
          <w:rFonts w:ascii="Times New Roman" w:eastAsia="Times New Roman" w:hAnsi="Times New Roman" w:cs="Times New Roman"/>
          <w:sz w:val="24"/>
          <w:szCs w:val="24"/>
        </w:rPr>
        <w:t xml:space="preserve">, </w:t>
      </w:r>
      <w:r w:rsidR="00500B92">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color w:val="1155CC"/>
          <w:sz w:val="24"/>
          <w:szCs w:val="24"/>
          <w:u w:val="single"/>
        </w:rPr>
        <w:fldChar w:fldCharType="begin"/>
      </w:r>
      <w:r>
        <w:rPr>
          <w:rFonts w:ascii="Times New Roman" w:eastAsia="Times New Roman" w:hAnsi="Times New Roman" w:cs="Times New Roman"/>
          <w:color w:val="1155CC"/>
          <w:sz w:val="24"/>
          <w:szCs w:val="24"/>
          <w:u w:val="single"/>
        </w:rPr>
        <w:instrText xml:space="preserve"> HYPERLINK "mailto:240210402009@mail.unej.ac.id" </w:instrText>
      </w:r>
      <w:r>
        <w:rPr>
          <w:rFonts w:ascii="Times New Roman" w:eastAsia="Times New Roman" w:hAnsi="Times New Roman" w:cs="Times New Roman"/>
          <w:color w:val="1155CC"/>
          <w:sz w:val="24"/>
          <w:szCs w:val="24"/>
          <w:u w:val="single"/>
        </w:rPr>
        <w:fldChar w:fldCharType="separate"/>
      </w:r>
      <w:r w:rsidRPr="00453178">
        <w:rPr>
          <w:rStyle w:val="Hyperlink"/>
          <w:rFonts w:ascii="Times New Roman" w:eastAsia="Times New Roman" w:hAnsi="Times New Roman" w:cs="Times New Roman"/>
          <w:sz w:val="24"/>
          <w:szCs w:val="24"/>
        </w:rPr>
        <w:t>240210402009@mail.unej.ac.id</w:t>
      </w:r>
      <w:r>
        <w:rPr>
          <w:rFonts w:ascii="Times New Roman" w:eastAsia="Times New Roman" w:hAnsi="Times New Roman" w:cs="Times New Roman"/>
          <w:color w:val="1155CC"/>
          <w:sz w:val="24"/>
          <w:szCs w:val="24"/>
          <w:u w:val="single"/>
        </w:rPr>
        <w:fldChar w:fldCharType="end"/>
      </w:r>
      <w:r>
        <w:rPr>
          <w:rFonts w:ascii="Times New Roman" w:eastAsia="Times New Roman" w:hAnsi="Times New Roman" w:cs="Times New Roman"/>
          <w:sz w:val="24"/>
          <w:szCs w:val="24"/>
        </w:rPr>
        <w:t>,</w:t>
      </w:r>
      <w:bookmarkStart w:id="1" w:name="_GoBack"/>
      <w:bookmarkEnd w:id="1"/>
      <w:r>
        <w:rPr>
          <w:rFonts w:ascii="Times New Roman" w:eastAsia="Times New Roman" w:hAnsi="Times New Roman" w:cs="Times New Roman"/>
          <w:color w:val="1155CC"/>
          <w:sz w:val="24"/>
          <w:szCs w:val="24"/>
          <w:u w:val="single"/>
        </w:rPr>
        <w:t xml:space="preserve"> </w:t>
      </w:r>
      <w:r w:rsidR="00500B92">
        <w:rPr>
          <w:rFonts w:ascii="Times New Roman" w:eastAsia="Times New Roman" w:hAnsi="Times New Roman" w:cs="Times New Roman"/>
          <w:sz w:val="24"/>
          <w:szCs w:val="24"/>
        </w:rPr>
        <w:t xml:space="preserve"> </w:t>
      </w:r>
      <w:hyperlink r:id="rId10" w:history="1">
        <w:r w:rsidRPr="00453178">
          <w:rPr>
            <w:rStyle w:val="Hyperlink"/>
            <w:rFonts w:ascii="Times New Roman" w:eastAsia="Times New Roman" w:hAnsi="Times New Roman" w:cs="Times New Roman"/>
            <w:sz w:val="24"/>
            <w:szCs w:val="24"/>
          </w:rPr>
          <w:t>240210402034@mail.unej.ac.id</w:t>
        </w:r>
      </w:hyperlink>
      <w:r>
        <w:rPr>
          <w:rFonts w:ascii="Times New Roman" w:eastAsia="Times New Roman" w:hAnsi="Times New Roman" w:cs="Times New Roman"/>
          <w:sz w:val="24"/>
          <w:szCs w:val="24"/>
        </w:rPr>
        <w:t>,</w:t>
      </w:r>
      <w:r>
        <w:rPr>
          <w:rFonts w:ascii="Times New Roman" w:eastAsia="Times New Roman" w:hAnsi="Times New Roman" w:cs="Times New Roman"/>
          <w:color w:val="1155CC"/>
          <w:sz w:val="24"/>
          <w:szCs w:val="24"/>
        </w:rPr>
        <w:t xml:space="preserve"> </w:t>
      </w:r>
      <w:r w:rsidR="00500B92">
        <w:rPr>
          <w:rFonts w:ascii="Times New Roman" w:eastAsia="Times New Roman" w:hAnsi="Times New Roman" w:cs="Times New Roman"/>
          <w:sz w:val="24"/>
          <w:szCs w:val="24"/>
        </w:rPr>
        <w:t xml:space="preserve"> </w:t>
      </w:r>
      <w:hyperlink r:id="rId11" w:history="1">
        <w:r w:rsidR="002B7D48" w:rsidRPr="00DA1A67">
          <w:rPr>
            <w:rStyle w:val="Hyperlink"/>
            <w:rFonts w:ascii="Times New Roman" w:eastAsia="Times New Roman" w:hAnsi="Times New Roman" w:cs="Times New Roman"/>
            <w:sz w:val="24"/>
            <w:szCs w:val="24"/>
          </w:rPr>
          <w:t>240210402104@mail.unej.ac.id</w:t>
        </w:r>
      </w:hyperlink>
      <w:r w:rsidR="002B7D48">
        <w:rPr>
          <w:rFonts w:ascii="Times New Roman" w:eastAsia="Times New Roman" w:hAnsi="Times New Roman" w:cs="Times New Roman"/>
          <w:sz w:val="24"/>
          <w:szCs w:val="24"/>
        </w:rPr>
        <w:t xml:space="preserve">, </w:t>
      </w:r>
      <w:hyperlink r:id="rId12" w:history="1">
        <w:r w:rsidR="002B7D48" w:rsidRPr="00DA1A67">
          <w:rPr>
            <w:rStyle w:val="Hyperlink"/>
            <w:rFonts w:ascii="Times New Roman" w:eastAsia="Times New Roman" w:hAnsi="Times New Roman" w:cs="Times New Roman"/>
            <w:sz w:val="24"/>
            <w:szCs w:val="24"/>
          </w:rPr>
          <w:t>yoga@unej.ac.id</w:t>
        </w:r>
      </w:hyperlink>
      <w:r w:rsidR="002B7D48">
        <w:rPr>
          <w:rFonts w:ascii="Times New Roman" w:eastAsia="Times New Roman" w:hAnsi="Times New Roman" w:cs="Times New Roman"/>
          <w:sz w:val="24"/>
          <w:szCs w:val="24"/>
        </w:rPr>
        <w:t xml:space="preserve"> </w:t>
      </w:r>
    </w:p>
    <w:p w:rsidR="00610167" w:rsidRDefault="00610167">
      <w:pPr>
        <w:ind w:left="567"/>
        <w:rPr>
          <w:rFonts w:ascii="Times New Roman" w:eastAsia="Times New Roman" w:hAnsi="Times New Roman" w:cs="Times New Roman"/>
          <w:sz w:val="24"/>
          <w:szCs w:val="24"/>
        </w:rPr>
      </w:pPr>
    </w:p>
    <w:p w:rsidR="00610167" w:rsidRDefault="00500B92">
      <w:pPr>
        <w:ind w:left="567" w:right="850"/>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ABSTRAK: </w:t>
      </w:r>
      <w:r>
        <w:rPr>
          <w:rFonts w:ascii="Times New Roman" w:eastAsia="Times New Roman" w:hAnsi="Times New Roman" w:cs="Times New Roman"/>
        </w:rPr>
        <w:t xml:space="preserve">Ketaksaan makna dalam teks konstitusi dapat menimbulkan berbagai penafsiran yang berpengaruh terhadap pelaksanaan ketatanegaraan dan kepastian hukum. </w:t>
      </w:r>
      <w:proofErr w:type="gramStart"/>
      <w:r>
        <w:rPr>
          <w:rFonts w:ascii="Times New Roman" w:eastAsia="Times New Roman" w:hAnsi="Times New Roman" w:cs="Times New Roman"/>
        </w:rPr>
        <w:t>Penelitian ini bertujuan untuk mendeskripsikan bentuk-bentuk ketaksaan makna yang terdapat dalam Undang-Undang Dasar Negara Republik Indonesia Tahun 1945 sebelum amandemen berdasarkan kajian semantik.</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Penelitian menggunakan pendekatan kualitatif dengan metode deskriptif.</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Sumber data berupa naskah UUD 1945 sebelum amandemen, sedangkan data penelitian berupa kata, frasa, klausa, dan kalimat yang mengandung ketaksaan makna.</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Pengumpulan data dilakukan melalui teknik dokumentasi dengan tahapan membaca, mengidentifikasi, mencatat, dan mengklasifikasikan data.</w:t>
      </w:r>
      <w:proofErr w:type="gramEnd"/>
      <w:r>
        <w:rPr>
          <w:rFonts w:ascii="Times New Roman" w:eastAsia="Times New Roman" w:hAnsi="Times New Roman" w:cs="Times New Roman"/>
        </w:rPr>
        <w:t xml:space="preserve"> Hasil penelitian menunjukkan adanya 44 data ketaksaan makna yang terdiri atas 25 ketaksaan leksikal, 17 ketaksaan referensial, dan 2 ketaksaan temporal. </w:t>
      </w:r>
      <w:proofErr w:type="gramStart"/>
      <w:r>
        <w:rPr>
          <w:rFonts w:ascii="Times New Roman" w:eastAsia="Times New Roman" w:hAnsi="Times New Roman" w:cs="Times New Roman"/>
        </w:rPr>
        <w:t>Temuan ini menunjukkan bahwa redaksi UUD 1945 sebelum amandemen masih membuka ruang multitafsir sehingga berpotensi memengaruhi kepastian hukum.</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Oleh karena itu, kejelasan bahasa dalam konstitusi menjadi aspek penting dalam mewujudkan sistem hukum yang efektif dan demokratis.</w:t>
      </w:r>
      <w:proofErr w:type="gramEnd"/>
    </w:p>
    <w:p w:rsidR="00610167" w:rsidRDefault="00610167">
      <w:pPr>
        <w:ind w:left="567" w:right="850"/>
        <w:jc w:val="both"/>
        <w:rPr>
          <w:rFonts w:ascii="Times New Roman" w:eastAsia="Times New Roman" w:hAnsi="Times New Roman" w:cs="Times New Roman"/>
          <w:sz w:val="24"/>
          <w:szCs w:val="24"/>
        </w:rPr>
      </w:pPr>
    </w:p>
    <w:p w:rsidR="00610167" w:rsidRDefault="00500B92">
      <w:pPr>
        <w:ind w:left="567" w:right="85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Kata Kunci</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Ketaksaan Makna; Semantik; UUD 1945; Konstitusi</w:t>
      </w:r>
    </w:p>
    <w:p w:rsidR="00610167" w:rsidRDefault="00610167">
      <w:pPr>
        <w:ind w:left="567" w:right="567"/>
        <w:rPr>
          <w:rFonts w:ascii="Times New Roman" w:eastAsia="Times New Roman" w:hAnsi="Times New Roman" w:cs="Times New Roman"/>
          <w:sz w:val="24"/>
          <w:szCs w:val="24"/>
        </w:rPr>
      </w:pPr>
    </w:p>
    <w:p w:rsidR="00610167" w:rsidRDefault="00500B92">
      <w:pPr>
        <w:rPr>
          <w:rFonts w:ascii="Times New Roman" w:eastAsia="Times New Roman" w:hAnsi="Times New Roman" w:cs="Times New Roman"/>
          <w:color w:val="FF0000"/>
          <w:sz w:val="24"/>
          <w:szCs w:val="24"/>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76200</wp:posOffset>
                </wp:positionV>
                <wp:extent cx="5467350" cy="28575"/>
                <wp:effectExtent l="0" t="0" r="0" b="0"/>
                <wp:wrapNone/>
                <wp:docPr id="4" name="Group 4"/>
                <wp:cNvGraphicFramePr/>
                <a:graphic xmlns:a="http://schemas.openxmlformats.org/drawingml/2006/main">
                  <a:graphicData uri="http://schemas.microsoft.com/office/word/2010/wordprocessingGroup">
                    <wpg:wgp>
                      <wpg:cNvGrpSpPr/>
                      <wpg:grpSpPr>
                        <a:xfrm>
                          <a:off x="0" y="0"/>
                          <a:ext cx="5467350" cy="28575"/>
                          <a:chOff x="2612325" y="3762525"/>
                          <a:chExt cx="5467350" cy="33350"/>
                        </a:xfrm>
                      </wpg:grpSpPr>
                      <wpg:grpSp>
                        <wpg:cNvPr id="1" name="Group 1"/>
                        <wpg:cNvGrpSpPr/>
                        <wpg:grpSpPr>
                          <a:xfrm>
                            <a:off x="2612325" y="3765713"/>
                            <a:ext cx="5467350" cy="28575"/>
                            <a:chOff x="2612325" y="3756175"/>
                            <a:chExt cx="5467350" cy="42900"/>
                          </a:xfrm>
                        </wpg:grpSpPr>
                        <wps:wsp>
                          <wps:cNvPr id="2" name="Rectangle 2"/>
                          <wps:cNvSpPr/>
                          <wps:spPr>
                            <a:xfrm>
                              <a:off x="2612325" y="3756175"/>
                              <a:ext cx="5467350" cy="42900"/>
                            </a:xfrm>
                            <a:prstGeom prst="rect">
                              <a:avLst/>
                            </a:prstGeom>
                            <a:noFill/>
                            <a:ln>
                              <a:noFill/>
                            </a:ln>
                          </wps:spPr>
                          <wps:txbx>
                            <w:txbxContent>
                              <w:p w:rsidR="00610167" w:rsidRDefault="00610167">
                                <w:pPr>
                                  <w:textDirection w:val="btLr"/>
                                </w:pPr>
                              </w:p>
                            </w:txbxContent>
                          </wps:txbx>
                          <wps:bodyPr spcFirstLastPara="1" wrap="square" lIns="91425" tIns="91425" rIns="91425" bIns="91425" anchor="ctr" anchorCtr="0">
                            <a:noAutofit/>
                          </wps:bodyPr>
                        </wps:wsp>
                        <wpg:grpSp>
                          <wpg:cNvPr id="3" name="Group 3"/>
                          <wpg:cNvGrpSpPr/>
                          <wpg:grpSpPr>
                            <a:xfrm>
                              <a:off x="2612325" y="3765713"/>
                              <a:ext cx="5467350" cy="28575"/>
                              <a:chOff x="0" y="0"/>
                              <a:chExt cx="5467350" cy="28575"/>
                            </a:xfrm>
                          </wpg:grpSpPr>
                          <wps:wsp>
                            <wps:cNvPr id="5" name="Rectangle 5"/>
                            <wps:cNvSpPr/>
                            <wps:spPr>
                              <a:xfrm>
                                <a:off x="0" y="0"/>
                                <a:ext cx="5467350" cy="28575"/>
                              </a:xfrm>
                              <a:prstGeom prst="rect">
                                <a:avLst/>
                              </a:prstGeom>
                              <a:noFill/>
                              <a:ln>
                                <a:noFill/>
                              </a:ln>
                            </wps:spPr>
                            <wps:txbx>
                              <w:txbxContent>
                                <w:p w:rsidR="00610167" w:rsidRDefault="00610167">
                                  <w:pPr>
                                    <w:textDirection w:val="btLr"/>
                                  </w:pPr>
                                </w:p>
                              </w:txbxContent>
                            </wps:txbx>
                            <wps:bodyPr spcFirstLastPara="1" wrap="square" lIns="91425" tIns="91425" rIns="91425" bIns="91425" anchor="ctr" anchorCtr="0">
                              <a:noAutofit/>
                            </wps:bodyPr>
                          </wps:wsp>
                          <wps:wsp>
                            <wps:cNvPr id="6" name="Straight Arrow Connector 6"/>
                            <wps:cNvCnPr/>
                            <wps:spPr>
                              <a:xfrm>
                                <a:off x="0" y="0"/>
                                <a:ext cx="5467350" cy="0"/>
                              </a:xfrm>
                              <a:prstGeom prst="straightConnector1">
                                <a:avLst/>
                              </a:prstGeom>
                              <a:noFill/>
                              <a:ln w="19050" cap="flat" cmpd="sng">
                                <a:solidFill>
                                  <a:srgbClr val="000000"/>
                                </a:solidFill>
                                <a:prstDash val="solid"/>
                                <a:miter lim="8000"/>
                                <a:headEnd type="none" w="sm" len="sm"/>
                                <a:tailEnd type="none" w="sm" len="sm"/>
                              </a:ln>
                            </wps:spPr>
                            <wps:bodyPr/>
                          </wps:wsp>
                          <wps:wsp>
                            <wps:cNvPr id="7" name="Straight Arrow Connector 7"/>
                            <wps:cNvCnPr/>
                            <wps:spPr>
                              <a:xfrm>
                                <a:off x="0" y="28575"/>
                                <a:ext cx="5467350" cy="0"/>
                              </a:xfrm>
                              <a:prstGeom prst="straightConnector1">
                                <a:avLst/>
                              </a:prstGeom>
                              <a:noFill/>
                              <a:ln w="9525" cap="flat" cmpd="sng">
                                <a:solidFill>
                                  <a:srgbClr val="000000"/>
                                </a:solidFill>
                                <a:prstDash val="solid"/>
                                <a:miter lim="8000"/>
                                <a:headEnd type="none" w="sm" len="sm"/>
                                <a:tailEnd type="none" w="sm" len="sm"/>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5467350" cy="28575"/>
                <wp:effectExtent b="0" l="0" r="0" t="0"/>
                <wp:wrapNone/>
                <wp:docPr id="4"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5467350" cy="28575"/>
                        </a:xfrm>
                        <a:prstGeom prst="rect"/>
                        <a:ln/>
                      </pic:spPr>
                    </pic:pic>
                  </a:graphicData>
                </a:graphic>
              </wp:anchor>
            </w:drawing>
          </mc:Fallback>
        </mc:AlternateContent>
      </w:r>
    </w:p>
    <w:p w:rsidR="00610167" w:rsidRDefault="00610167">
      <w:pPr>
        <w:ind w:firstLine="567"/>
        <w:rPr>
          <w:rFonts w:ascii="Times New Roman" w:eastAsia="Times New Roman" w:hAnsi="Times New Roman" w:cs="Times New Roman"/>
          <w:sz w:val="24"/>
          <w:szCs w:val="24"/>
        </w:rPr>
      </w:pPr>
    </w:p>
    <w:p w:rsidR="00610167" w:rsidRDefault="00500B92">
      <w:pPr>
        <w:ind w:left="425" w:right="723"/>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INACCURACY IN THE 1945 BASIC LAW OF THE REPUBLIC OF INDONESIA BEFORE THE AMENDMENTS</w:t>
      </w:r>
    </w:p>
    <w:p w:rsidR="00610167" w:rsidRDefault="00610167">
      <w:pPr>
        <w:rPr>
          <w:rFonts w:ascii="Times New Roman" w:eastAsia="Times New Roman" w:hAnsi="Times New Roman" w:cs="Times New Roman"/>
          <w:sz w:val="24"/>
          <w:szCs w:val="24"/>
        </w:rPr>
      </w:pPr>
    </w:p>
    <w:p w:rsidR="00610167" w:rsidRDefault="00500B92">
      <w:pPr>
        <w:ind w:left="567" w:right="850"/>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ABSTRACT: </w:t>
      </w:r>
      <w:r>
        <w:rPr>
          <w:rFonts w:ascii="Times New Roman" w:eastAsia="Times New Roman" w:hAnsi="Times New Roman" w:cs="Times New Roman"/>
        </w:rPr>
        <w:t xml:space="preserve">Ambiguity of meaning in the constitutional text can give rise to various interpretations that impact the implementation of state administration and legal certainty. This study aims to describe the forms of ambiguity of meaning contained in the 1945 Constitution of the Republic of Indonesia before the amendments based on semantic analysis. The study employed a qualitative approach with descriptive methods. The data source was the text of the 1945 Constitution before the amendments, while the research data consisted of words, phrases, clauses, and sentences containing ambiguities of meaning. Data collection was conducted through documentation techniques, including reading, identifying, recording, and classifying the data. The results revealed 44 instances of ambiguity of meaning, consisting of 25 lexical ambiguities, 17 referential ambiguities, and 2 temporal ambiguities. These findings indicate that the wording of the 1945 </w:t>
      </w:r>
      <w:r>
        <w:rPr>
          <w:rFonts w:ascii="Times New Roman" w:eastAsia="Times New Roman" w:hAnsi="Times New Roman" w:cs="Times New Roman"/>
        </w:rPr>
        <w:lastRenderedPageBreak/>
        <w:t>Constitution before the amendments still opened up room for multiple interpretations, potentially impacting legal certainty. Therefore, clarity of language in the constitution is a crucial aspect in realizing an effective and democratic legal system.</w:t>
      </w:r>
    </w:p>
    <w:p w:rsidR="00610167" w:rsidRDefault="00610167">
      <w:pPr>
        <w:ind w:left="567" w:right="850"/>
        <w:jc w:val="both"/>
        <w:rPr>
          <w:rFonts w:ascii="Times New Roman" w:eastAsia="Times New Roman" w:hAnsi="Times New Roman" w:cs="Times New Roman"/>
          <w:sz w:val="24"/>
          <w:szCs w:val="24"/>
        </w:rPr>
      </w:pPr>
    </w:p>
    <w:p w:rsidR="00610167" w:rsidRDefault="00500B92">
      <w:pPr>
        <w:ind w:left="567" w:right="85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Ambiguity of Meaning; Semantics; 1945 Constitution; Constitution</w:t>
      </w:r>
    </w:p>
    <w:p w:rsidR="00610167" w:rsidRDefault="00610167">
      <w:pPr>
        <w:rPr>
          <w:rFonts w:ascii="Times New Roman" w:eastAsia="Times New Roman" w:hAnsi="Times New Roman" w:cs="Times New Roman"/>
          <w:sz w:val="24"/>
          <w:szCs w:val="24"/>
        </w:rPr>
      </w:pPr>
    </w:p>
    <w:p w:rsidR="00610167" w:rsidRDefault="00500B92">
      <w:pPr>
        <w:pBdr>
          <w:top w:val="none" w:sz="0" w:space="0" w:color="000000"/>
          <w:left w:val="none" w:sz="0" w:space="0" w:color="000000"/>
          <w:bottom w:val="none" w:sz="0" w:space="0" w:color="000000"/>
          <w:right w:val="none" w:sz="0" w:space="0" w:color="000000"/>
          <w:between w:val="none" w:sz="0" w:space="0" w:color="000000"/>
        </w:pBdr>
        <w:ind w:firstLine="567"/>
        <w:jc w:val="both"/>
        <w:rPr>
          <w:rFonts w:ascii="Times New Roman" w:eastAsia="Times New Roman" w:hAnsi="Times New Roman" w:cs="Times New Roman"/>
          <w:color w:val="000000"/>
          <w:sz w:val="24"/>
          <w:szCs w:val="24"/>
        </w:rPr>
        <w:sectPr w:rsidR="00610167">
          <w:headerReference w:type="even" r:id="rId15"/>
          <w:headerReference w:type="default" r:id="rId16"/>
          <w:pgSz w:w="11906" w:h="16838"/>
          <w:pgMar w:top="1701" w:right="1701" w:bottom="1701" w:left="1985" w:header="1134" w:footer="709" w:gutter="0"/>
          <w:pgNumType w:start="1"/>
          <w:cols w:space="720"/>
        </w:sectPr>
      </w:pPr>
      <w:r>
        <w:rPr>
          <w:noProof/>
        </w:rPr>
        <mc:AlternateContent>
          <mc:Choice Requires="wpg">
            <w:drawing>
              <wp:anchor distT="0" distB="0" distL="114300" distR="114300" simplePos="0" relativeHeight="251659264" behindDoc="0" locked="0" layoutInCell="1" hidden="0" allowOverlap="1">
                <wp:simplePos x="0" y="0"/>
                <wp:positionH relativeFrom="column">
                  <wp:posOffset>-634</wp:posOffset>
                </wp:positionH>
                <wp:positionV relativeFrom="paragraph">
                  <wp:posOffset>72390</wp:posOffset>
                </wp:positionV>
                <wp:extent cx="5467350" cy="28575"/>
                <wp:effectExtent l="0" t="0" r="0" b="0"/>
                <wp:wrapNone/>
                <wp:docPr id="8" name="Group 8"/>
                <wp:cNvGraphicFramePr/>
                <a:graphic xmlns:a="http://schemas.openxmlformats.org/drawingml/2006/main">
                  <a:graphicData uri="http://schemas.microsoft.com/office/word/2010/wordprocessingGroup">
                    <wpg:wgp>
                      <wpg:cNvGrpSpPr/>
                      <wpg:grpSpPr>
                        <a:xfrm>
                          <a:off x="0" y="0"/>
                          <a:ext cx="5467350" cy="28575"/>
                          <a:chOff x="2612325" y="3762525"/>
                          <a:chExt cx="5467350" cy="33350"/>
                        </a:xfrm>
                      </wpg:grpSpPr>
                      <wpg:grpSp>
                        <wpg:cNvPr id="11" name="Group 9"/>
                        <wpg:cNvGrpSpPr/>
                        <wpg:grpSpPr>
                          <a:xfrm>
                            <a:off x="2612325" y="3765713"/>
                            <a:ext cx="5467350" cy="28575"/>
                            <a:chOff x="2612325" y="3756175"/>
                            <a:chExt cx="5467350" cy="42900"/>
                          </a:xfrm>
                        </wpg:grpSpPr>
                        <wps:wsp>
                          <wps:cNvPr id="12" name="Rectangle 10"/>
                          <wps:cNvSpPr/>
                          <wps:spPr>
                            <a:xfrm>
                              <a:off x="2612325" y="3756175"/>
                              <a:ext cx="5467350" cy="42900"/>
                            </a:xfrm>
                            <a:prstGeom prst="rect">
                              <a:avLst/>
                            </a:prstGeom>
                            <a:noFill/>
                            <a:ln>
                              <a:noFill/>
                            </a:ln>
                          </wps:spPr>
                          <wps:txbx>
                            <w:txbxContent>
                              <w:p w:rsidR="00610167" w:rsidRDefault="00610167">
                                <w:pPr>
                                  <w:textDirection w:val="btLr"/>
                                </w:pPr>
                              </w:p>
                            </w:txbxContent>
                          </wps:txbx>
                          <wps:bodyPr spcFirstLastPara="1" wrap="square" lIns="91425" tIns="91425" rIns="91425" bIns="91425" anchor="ctr" anchorCtr="0">
                            <a:noAutofit/>
                          </wps:bodyPr>
                        </wps:wsp>
                        <wpg:grpSp>
                          <wpg:cNvPr id="13" name="Group 11"/>
                          <wpg:cNvGrpSpPr/>
                          <wpg:grpSpPr>
                            <a:xfrm>
                              <a:off x="2612325" y="3765713"/>
                              <a:ext cx="5467350" cy="28575"/>
                              <a:chOff x="0" y="0"/>
                              <a:chExt cx="5467350" cy="28575"/>
                            </a:xfrm>
                          </wpg:grpSpPr>
                          <wps:wsp>
                            <wps:cNvPr id="14" name="Rectangle 12"/>
                            <wps:cNvSpPr/>
                            <wps:spPr>
                              <a:xfrm>
                                <a:off x="0" y="0"/>
                                <a:ext cx="5467350" cy="28575"/>
                              </a:xfrm>
                              <a:prstGeom prst="rect">
                                <a:avLst/>
                              </a:prstGeom>
                              <a:noFill/>
                              <a:ln>
                                <a:noFill/>
                              </a:ln>
                            </wps:spPr>
                            <wps:txbx>
                              <w:txbxContent>
                                <w:p w:rsidR="00610167" w:rsidRDefault="00610167">
                                  <w:pPr>
                                    <w:textDirection w:val="btLr"/>
                                  </w:pPr>
                                </w:p>
                              </w:txbxContent>
                            </wps:txbx>
                            <wps:bodyPr spcFirstLastPara="1" wrap="square" lIns="91425" tIns="91425" rIns="91425" bIns="91425" anchor="ctr" anchorCtr="0">
                              <a:noAutofit/>
                            </wps:bodyPr>
                          </wps:wsp>
                          <wps:wsp>
                            <wps:cNvPr id="15" name="Straight Arrow Connector 13"/>
                            <wps:cNvCnPr/>
                            <wps:spPr>
                              <a:xfrm>
                                <a:off x="0" y="0"/>
                                <a:ext cx="5467350" cy="0"/>
                              </a:xfrm>
                              <a:prstGeom prst="straightConnector1">
                                <a:avLst/>
                              </a:prstGeom>
                              <a:noFill/>
                              <a:ln w="19050" cap="flat" cmpd="sng">
                                <a:solidFill>
                                  <a:srgbClr val="000000"/>
                                </a:solidFill>
                                <a:prstDash val="solid"/>
                                <a:miter lim="8000"/>
                                <a:headEnd type="none" w="sm" len="sm"/>
                                <a:tailEnd type="none" w="sm" len="sm"/>
                              </a:ln>
                            </wps:spPr>
                            <wps:bodyPr/>
                          </wps:wsp>
                          <wps:wsp>
                            <wps:cNvPr id="16" name="Straight Arrow Connector 14"/>
                            <wps:cNvCnPr/>
                            <wps:spPr>
                              <a:xfrm>
                                <a:off x="0" y="28575"/>
                                <a:ext cx="5467350" cy="0"/>
                              </a:xfrm>
                              <a:prstGeom prst="straightConnector1">
                                <a:avLst/>
                              </a:prstGeom>
                              <a:noFill/>
                              <a:ln w="9525" cap="flat" cmpd="sng">
                                <a:solidFill>
                                  <a:srgbClr val="000000"/>
                                </a:solidFill>
                                <a:prstDash val="solid"/>
                                <a:miter lim="8000"/>
                                <a:headEnd type="none" w="sm" len="sm"/>
                                <a:tailEnd type="none" w="sm" len="sm"/>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-634</wp:posOffset>
                </wp:positionH>
                <wp:positionV relativeFrom="paragraph">
                  <wp:posOffset>72390</wp:posOffset>
                </wp:positionV>
                <wp:extent cx="5467350" cy="28575"/>
                <wp:effectExtent b="0" l="0" r="0" t="0"/>
                <wp:wrapNone/>
                <wp:docPr id="2"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5467350" cy="28575"/>
                        </a:xfrm>
                        <a:prstGeom prst="rect"/>
                        <a:ln/>
                      </pic:spPr>
                    </pic:pic>
                  </a:graphicData>
                </a:graphic>
              </wp:anchor>
            </w:drawing>
          </mc:Fallback>
        </mc:AlternateContent>
      </w:r>
    </w:p>
    <w:p w:rsidR="00610167" w:rsidRDefault="00500B9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lastRenderedPageBreak/>
        <w:t>PENDAHULUAN</w:t>
      </w:r>
    </w:p>
    <w:p w:rsidR="00610167" w:rsidRDefault="00500B9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Kajian  semantik  dalam  ilmu  linguistik  menjadi  salah  satu  cabang ilmu bahasa penting  yang membahas  tentang  makna  yang  terkandung  dalam  satuan  bahasa,  baik  berupa  kata,  frasa, klausa,  hingga  kalimat (Angraini  et  al.,  2024). Semantik  berperan  sebagai  jembatan  antara bentuk  bahasa  dan  pemahaman  makna  yang  dikandung  oleh  penutur  maupun  pendengar (Yuliana et al, 2025). </w:t>
      </w:r>
      <w:proofErr w:type="gramStart"/>
      <w:r>
        <w:rPr>
          <w:rFonts w:ascii="Times New Roman" w:eastAsia="Times New Roman" w:hAnsi="Times New Roman" w:cs="Times New Roman"/>
          <w:sz w:val="24"/>
          <w:szCs w:val="24"/>
        </w:rPr>
        <w:t>Dalam kehidupan bermasyarakat, terutama dalam konteks hukum, pemahaman semantik diperlukan untuk menafsirkan makna bahasa yang digunakan dalam peraturan agar tidak menimbulkan ambiguitas atau ketaksaan.</w:t>
      </w:r>
      <w:proofErr w:type="gramEnd"/>
      <w:r>
        <w:rPr>
          <w:rFonts w:ascii="Times New Roman" w:eastAsia="Times New Roman" w:hAnsi="Times New Roman" w:cs="Times New Roman"/>
          <w:sz w:val="24"/>
          <w:szCs w:val="24"/>
        </w:rPr>
        <w:t xml:space="preserve"> </w:t>
      </w:r>
    </w:p>
    <w:p w:rsidR="00610167" w:rsidRDefault="00500B92">
      <w:pPr>
        <w:spacing w:line="36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Ambiguitas dapat diartikan sebagai kegandaan makna yang menimbulkan penafsiran ganda dalam bahasa (Chaer, 2007).</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Ullmann (1972) mengklasifikasikan ambiguitas menjadi tiga jenis, yaitu ambiguitas lokal, ambiguitas global, dan ambiguitas referensial.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Pengelompokan ini didasarkan pada letak ketaksaan makna </w:t>
      </w:r>
      <w:r>
        <w:rPr>
          <w:rFonts w:ascii="Times New Roman" w:eastAsia="Times New Roman" w:hAnsi="Times New Roman" w:cs="Times New Roman"/>
          <w:sz w:val="24"/>
          <w:szCs w:val="24"/>
        </w:rPr>
        <w:lastRenderedPageBreak/>
        <w:t>yang muncul dalam suatu tuturan atau teks.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Fenomena ketaksaan dapat terjadi baik dalam bahasa lisan maupun bahasa tulis.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Pada hakikatnya bahasa mempunyai peran yang sangat penting dalam menghasilkan dokumen tertulis (Riani &amp; Pratamanti, 2018).</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Salah satu bentuk bahasa tulis dalam dokumen tertulis adalah undang-undang (Utami et al, 2025).</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Undang-Undang Dasar Republik Indonesia (UUD 1945) adalah bentuk peraturan perundangan tertinggi yang menjadi dasar dan sumber bagi semua peraturan perundangan bawahan dalam negara (Kansil, 1984 dalam Supena, 2023).</w:t>
      </w:r>
      <w:proofErr w:type="gramEnd"/>
    </w:p>
    <w:p w:rsidR="00610167" w:rsidRDefault="00500B92">
      <w:pPr>
        <w:spacing w:before="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hukum, ketaksaan menjadi isu krusial karena dapat menimbulkan perbedaan interpretasi di kalangan aparat hukum, </w:t>
      </w:r>
      <w:proofErr w:type="gramStart"/>
      <w:r>
        <w:rPr>
          <w:rFonts w:ascii="Times New Roman" w:eastAsia="Times New Roman" w:hAnsi="Times New Roman" w:cs="Times New Roman"/>
          <w:sz w:val="24"/>
          <w:szCs w:val="24"/>
        </w:rPr>
        <w:t>seperti  hakim</w:t>
      </w:r>
      <w:proofErr w:type="gramEnd"/>
      <w:r>
        <w:rPr>
          <w:rFonts w:ascii="Times New Roman" w:eastAsia="Times New Roman" w:hAnsi="Times New Roman" w:cs="Times New Roman"/>
          <w:sz w:val="24"/>
          <w:szCs w:val="24"/>
        </w:rPr>
        <w:t xml:space="preserve">,  pengacara,  maupun  masyarakat (Haty et al, 2025). Ketaksaan dalam teks hukum dapat menimbulkan dampak negatif berupa </w:t>
      </w:r>
      <w:proofErr w:type="gramStart"/>
      <w:r>
        <w:rPr>
          <w:rFonts w:ascii="Times New Roman" w:eastAsia="Times New Roman" w:hAnsi="Times New Roman" w:cs="Times New Roman"/>
          <w:sz w:val="24"/>
          <w:szCs w:val="24"/>
        </w:rPr>
        <w:t>ketidakpastian  hukum</w:t>
      </w:r>
      <w:proofErr w:type="gramEnd"/>
      <w:r>
        <w:rPr>
          <w:rFonts w:ascii="Times New Roman" w:eastAsia="Times New Roman" w:hAnsi="Times New Roman" w:cs="Times New Roman"/>
          <w:sz w:val="24"/>
          <w:szCs w:val="24"/>
        </w:rPr>
        <w:t xml:space="preserve">, penyalahgunaan interpretasi, serta melemahkan  kepercayaan masyarakat </w:t>
      </w:r>
      <w:r>
        <w:rPr>
          <w:rFonts w:ascii="Times New Roman" w:eastAsia="Times New Roman" w:hAnsi="Times New Roman" w:cs="Times New Roman"/>
          <w:sz w:val="24"/>
          <w:szCs w:val="24"/>
        </w:rPr>
        <w:lastRenderedPageBreak/>
        <w:t xml:space="preserve">terhadap sistem hukum (Suat, 2023). Sebagai contoh, Pasal 1 tentang Bentuk dan Kedaulatan pada Ayat 2 mengandung frasa “kedaulatan dilakukan sepenuhnya oleh MPR” yang dapat menimbulkan multitafsir mengenai rakyat tidak menjalankan kedaulatan secara langsung. Bertentangan dengan pendapat Nurhayati et al. (2022), bahwa rakyat yang berkedudukan sebagai pemilik dan pemegang kekuasaan memiliki hak untuk  menentukan  corak  dan  cara  pemerintahan  diselenggarakan  dan  dapat juga menentukan tujuan yang hendak dicapai negara tersebut. </w:t>
      </w:r>
      <w:proofErr w:type="gramStart"/>
      <w:r>
        <w:rPr>
          <w:rFonts w:ascii="Times New Roman" w:eastAsia="Times New Roman" w:hAnsi="Times New Roman" w:cs="Times New Roman"/>
          <w:sz w:val="24"/>
          <w:szCs w:val="24"/>
        </w:rPr>
        <w:t>Istilah konstitusional dapat memiliki makna yang tidak tunggal dan memunculkan berbagai penafsiran.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Hal  ini</w:t>
      </w:r>
      <w:proofErr w:type="gramEnd"/>
      <w:r>
        <w:rPr>
          <w:rFonts w:ascii="Times New Roman" w:eastAsia="Times New Roman" w:hAnsi="Times New Roman" w:cs="Times New Roman"/>
          <w:sz w:val="24"/>
          <w:szCs w:val="24"/>
        </w:rPr>
        <w:t xml:space="preserve">  sejalan dengan pendapat dari Isnaeni (2021), bahwa ungkapan pemisahan kekuasaan merupakan salah satu yang paling membingungkan dalam kosa kata politik dan konstitusional. </w:t>
      </w:r>
      <w:proofErr w:type="gramStart"/>
      <w:r>
        <w:rPr>
          <w:rFonts w:ascii="Times New Roman" w:eastAsia="Times New Roman" w:hAnsi="Times New Roman" w:cs="Times New Roman"/>
          <w:sz w:val="24"/>
          <w:szCs w:val="24"/>
        </w:rPr>
        <w:t>Maka dari itu, penyusunan bahasa dalam peraturan perundang-undangan harus memperhatikan prinsip kejelasan dan   ketepatan   makna.</w:t>
      </w:r>
      <w:proofErr w:type="gramEnd"/>
      <w:r>
        <w:rPr>
          <w:rFonts w:ascii="Times New Roman" w:eastAsia="Times New Roman" w:hAnsi="Times New Roman" w:cs="Times New Roman"/>
          <w:sz w:val="24"/>
          <w:szCs w:val="24"/>
        </w:rPr>
        <w:t xml:space="preserve"> </w:t>
      </w:r>
    </w:p>
    <w:p w:rsidR="00610167" w:rsidRDefault="00500B92">
      <w:pPr>
        <w:spacing w:before="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Haty et al. (2025) menemukan ambiguitas makna dalam bab IV perkawinan kitab undang-undang hukum perdata Indonesia,  penelitian </w:t>
      </w:r>
      <w:r>
        <w:rPr>
          <w:rFonts w:ascii="Times New Roman" w:eastAsia="Times New Roman" w:hAnsi="Times New Roman" w:cs="Times New Roman"/>
          <w:sz w:val="24"/>
          <w:szCs w:val="24"/>
        </w:rPr>
        <w:lastRenderedPageBreak/>
        <w:t xml:space="preserve">lain tentang ambiguitas juga ditemukan oleh Adhari (2019) tentang ambiguitas pengaturan keadaan bahaya dalam sistem ketatanegaraan Indonesia,  sementara Utami et al. (2025) menulis adanya ambiguitas leksikal pada undang-undang republik Indonesia Nomor 11 Tahun 2020 tentang cipta kerja. </w:t>
      </w:r>
      <w:proofErr w:type="gramStart"/>
      <w:r>
        <w:rPr>
          <w:rFonts w:ascii="Times New Roman" w:eastAsia="Times New Roman" w:hAnsi="Times New Roman" w:cs="Times New Roman"/>
          <w:sz w:val="24"/>
          <w:szCs w:val="24"/>
        </w:rPr>
        <w:t>Penelitian-penelitian ini menguatkan bahwa ambiguitas (ketaksaan) dalam teks hukum bukan persoalan yang   sepele,   melainkan   berdampak   langsung   terhadap   kepastian   hukum.</w:t>
      </w:r>
      <w:proofErr w:type="gramEnd"/>
      <w:r>
        <w:rPr>
          <w:rFonts w:ascii="Times New Roman" w:eastAsia="Times New Roman" w:hAnsi="Times New Roman" w:cs="Times New Roman"/>
          <w:sz w:val="24"/>
          <w:szCs w:val="24"/>
        </w:rPr>
        <w:t xml:space="preserve">   Namun,   belum </w:t>
      </w:r>
      <w:proofErr w:type="gramStart"/>
      <w:r>
        <w:rPr>
          <w:rFonts w:ascii="Times New Roman" w:eastAsia="Times New Roman" w:hAnsi="Times New Roman" w:cs="Times New Roman"/>
          <w:sz w:val="24"/>
          <w:szCs w:val="24"/>
        </w:rPr>
        <w:t>ditemukan  penelitian</w:t>
      </w:r>
      <w:proofErr w:type="gramEnd"/>
      <w:r>
        <w:rPr>
          <w:rFonts w:ascii="Times New Roman" w:eastAsia="Times New Roman" w:hAnsi="Times New Roman" w:cs="Times New Roman"/>
          <w:sz w:val="24"/>
          <w:szCs w:val="24"/>
        </w:rPr>
        <w:t xml:space="preserve">  yang  secara  khusus  mengkaji  ketaksaan  dalam keseluruhan UUD 1945 terutama sebelum amandemen. Urgensi penelitian ini terletak pada pentingnya pemahaman terhadap aspek kebahasaan dalam dokumen hukum, terutama konstitusi sebagai sumber hukum tertinggi negara yaitu UUD </w:t>
      </w:r>
      <w:proofErr w:type="gramStart"/>
      <w:r>
        <w:rPr>
          <w:rFonts w:ascii="Times New Roman" w:eastAsia="Times New Roman" w:hAnsi="Times New Roman" w:cs="Times New Roman"/>
          <w:sz w:val="24"/>
          <w:szCs w:val="24"/>
        </w:rPr>
        <w:t>RI  1945</w:t>
      </w:r>
      <w:proofErr w:type="gramEnd"/>
      <w:r>
        <w:rPr>
          <w:rFonts w:ascii="Times New Roman" w:eastAsia="Times New Roman" w:hAnsi="Times New Roman" w:cs="Times New Roman"/>
          <w:sz w:val="24"/>
          <w:szCs w:val="24"/>
        </w:rPr>
        <w:t>.</w:t>
      </w:r>
    </w:p>
    <w:p w:rsidR="00610167" w:rsidRDefault="00500B92">
      <w:pPr>
        <w:spacing w:before="200" w:after="240" w:line="360" w:lineRule="auto"/>
        <w:ind w:firstLine="720"/>
        <w:jc w:val="both"/>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sz w:val="24"/>
          <w:szCs w:val="24"/>
        </w:rPr>
        <w:t>Sehubungan dengan adanya amandemen terhadap UUD RI 1945, maka dalam hal pembagian kekuasaan terhadap lembaga negara atau lembaga pemerintah di Indonesia juga mengalami perubahan (Yulistyowati et al, 2016).</w:t>
      </w:r>
      <w:proofErr w:type="gramEnd"/>
      <w:r>
        <w:rPr>
          <w:rFonts w:ascii="Times New Roman" w:eastAsia="Times New Roman" w:hAnsi="Times New Roman" w:cs="Times New Roman"/>
          <w:sz w:val="24"/>
          <w:szCs w:val="24"/>
        </w:rPr>
        <w:t xml:space="preserve"> Salah satu faktor yang melatarbelakangi perubahan tersebut adalah penggunaan bahasa dalam UUD RI 1945 sebelum </w:t>
      </w:r>
      <w:r>
        <w:rPr>
          <w:rFonts w:ascii="Times New Roman" w:eastAsia="Times New Roman" w:hAnsi="Times New Roman" w:cs="Times New Roman"/>
          <w:sz w:val="24"/>
          <w:szCs w:val="24"/>
        </w:rPr>
        <w:lastRenderedPageBreak/>
        <w:t xml:space="preserve">amandemen yang masih mengandung potensi ketaksaan makna sehingga membuka ruang bagi berbagai interpretasi terhadap ketentuan konstitusional. UUD mempunyai fungsi khas yaitu membatasi kekuasaan pemerintah sehingga hak-hak dari warga negara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terlindungi (Wahyumi, 2017). </w:t>
      </w:r>
      <w:proofErr w:type="gramStart"/>
      <w:r>
        <w:rPr>
          <w:rFonts w:ascii="Times New Roman" w:eastAsia="Times New Roman" w:hAnsi="Times New Roman" w:cs="Times New Roman"/>
          <w:sz w:val="24"/>
          <w:szCs w:val="24"/>
        </w:rPr>
        <w:t>Pernyataan tersebut menguatkan bahwa dalam konstitusi harus jelas karena menjadi instrumen pembatas kekuasaan negara.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Namun, kondisi UUD RI 1945 sebelum amandemen masih mengandung potensi ketaksaan makna yang menimbulkan pertanyaan mengenai bentuk-bentuk ketaksaan makna yang terdapat di dalamnya berdasarkan kajian semantik.</w:t>
      </w:r>
      <w:proofErr w:type="gramEnd"/>
      <w:r>
        <w:rPr>
          <w:rFonts w:ascii="Times New Roman" w:eastAsia="Times New Roman" w:hAnsi="Times New Roman" w:cs="Times New Roman"/>
          <w:sz w:val="24"/>
          <w:szCs w:val="24"/>
        </w:rPr>
        <w:t xml:space="preserve"> Maka dari itu</w:t>
      </w:r>
      <w:proofErr w:type="gramStart"/>
      <w:r>
        <w:rPr>
          <w:rFonts w:ascii="Times New Roman" w:eastAsia="Times New Roman" w:hAnsi="Times New Roman" w:cs="Times New Roman"/>
          <w:sz w:val="24"/>
          <w:szCs w:val="24"/>
        </w:rPr>
        <w:t>,  penelitian</w:t>
      </w:r>
      <w:proofErr w:type="gramEnd"/>
      <w:r>
        <w:rPr>
          <w:rFonts w:ascii="Times New Roman" w:eastAsia="Times New Roman" w:hAnsi="Times New Roman" w:cs="Times New Roman"/>
          <w:sz w:val="24"/>
          <w:szCs w:val="24"/>
        </w:rPr>
        <w:t xml:space="preserve">  ini  menjadi  penting  dan  relevan untuk dilakukan. </w:t>
      </w:r>
      <w:proofErr w:type="gramStart"/>
      <w:r>
        <w:rPr>
          <w:rFonts w:ascii="Times New Roman" w:eastAsia="Times New Roman" w:hAnsi="Times New Roman" w:cs="Times New Roman"/>
          <w:sz w:val="24"/>
          <w:szCs w:val="24"/>
        </w:rPr>
        <w:t>Tujuan dari penelitian ini adalah untuk menganalisis bentuk-bentuk ketaksaan makna pada UUD RI 1945 sebelum amandemen berdasarkan kajian semantik.</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METODOLOGI</w:t>
      </w:r>
    </w:p>
    <w:p w:rsidR="00610167" w:rsidRDefault="00500B92">
      <w:pPr>
        <w:spacing w:line="360" w:lineRule="auto"/>
        <w:ind w:firstLine="720"/>
        <w:jc w:val="both"/>
        <w:rPr>
          <w:rFonts w:ascii="Times New Roman" w:eastAsia="Times New Roman" w:hAnsi="Times New Roman" w:cs="Times New Roman"/>
          <w:sz w:val="24"/>
          <w:szCs w:val="24"/>
        </w:rPr>
      </w:pPr>
      <w:bookmarkStart w:id="2" w:name="_heading=h.v1xjxhqvo7mh" w:colFirst="0" w:colLast="0"/>
      <w:bookmarkEnd w:id="2"/>
      <w:proofErr w:type="gramStart"/>
      <w:r>
        <w:rPr>
          <w:rFonts w:ascii="Times New Roman" w:eastAsia="Times New Roman" w:hAnsi="Times New Roman" w:cs="Times New Roman"/>
          <w:sz w:val="24"/>
          <w:szCs w:val="24"/>
        </w:rPr>
        <w:t>Penelitian ini menggunakan pendekatan kualitatif dengan metode deskriptif.</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Pendekatan kualitatif digunakan untuk menganalisis dan memahami secara mendalam fenomena kebahasaan yang terdapat dalam Undang-Undang Dasar Negara Republik </w:t>
      </w:r>
      <w:r>
        <w:rPr>
          <w:rFonts w:ascii="Times New Roman" w:eastAsia="Times New Roman" w:hAnsi="Times New Roman" w:cs="Times New Roman"/>
          <w:sz w:val="24"/>
          <w:szCs w:val="24"/>
        </w:rPr>
        <w:lastRenderedPageBreak/>
        <w:t>Indonesia tahun 1945 sebelum amandemen.</w:t>
      </w:r>
      <w:proofErr w:type="gramEnd"/>
      <w:r>
        <w:rPr>
          <w:rFonts w:ascii="Times New Roman" w:eastAsia="Times New Roman" w:hAnsi="Times New Roman" w:cs="Times New Roman"/>
          <w:sz w:val="24"/>
          <w:szCs w:val="24"/>
        </w:rPr>
        <w:t xml:space="preserve"> Melalui pendekatan deskriptif kualitatif, data yang dikumpulkan (baik berupa kata-kata, gambar, atau perilaku) tidak dianalisis dalam bentuk angka </w:t>
      </w:r>
      <w:proofErr w:type="gramStart"/>
      <w:r>
        <w:rPr>
          <w:rFonts w:ascii="Times New Roman" w:eastAsia="Times New Roman" w:hAnsi="Times New Roman" w:cs="Times New Roman"/>
          <w:sz w:val="24"/>
          <w:szCs w:val="24"/>
        </w:rPr>
        <w:t>atau  statistik</w:t>
      </w:r>
      <w:proofErr w:type="gramEnd"/>
      <w:r>
        <w:rPr>
          <w:rFonts w:ascii="Times New Roman" w:eastAsia="Times New Roman" w:hAnsi="Times New Roman" w:cs="Times New Roman"/>
          <w:sz w:val="24"/>
          <w:szCs w:val="24"/>
        </w:rPr>
        <w:t xml:space="preserve">, tetapi disajikan dalam bentuk naratif untuk menggambarkan situasi atau kondisi yang diteliti (Nurhamidah et al, 2024). </w:t>
      </w:r>
      <w:proofErr w:type="gramStart"/>
      <w:r>
        <w:rPr>
          <w:rFonts w:ascii="Times New Roman" w:eastAsia="Times New Roman" w:hAnsi="Times New Roman" w:cs="Times New Roman"/>
          <w:sz w:val="24"/>
          <w:szCs w:val="24"/>
        </w:rPr>
        <w:t>Metode deskriptif pada penelitian ini digunakan untuk menggambarkan dan menjelaskan bentuk-bentuk ketaksaan makna yang ditemukan dalam data penelitian secara sistematis.</w:t>
      </w:r>
      <w:proofErr w:type="gramEnd"/>
      <w:r>
        <w:rPr>
          <w:rFonts w:ascii="Times New Roman" w:eastAsia="Times New Roman" w:hAnsi="Times New Roman" w:cs="Times New Roman"/>
          <w:sz w:val="24"/>
          <w:szCs w:val="24"/>
        </w:rPr>
        <w:t xml:space="preserve"> </w:t>
      </w:r>
    </w:p>
    <w:p w:rsidR="00610167" w:rsidRDefault="00500B92">
      <w:pPr>
        <w:spacing w:after="240" w:line="360" w:lineRule="auto"/>
        <w:ind w:firstLine="72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sz w:val="24"/>
          <w:szCs w:val="24"/>
        </w:rPr>
        <w:t>Sumber data penelitian ini berupa dokumen Undang-Undang Dasar Republik Indonesia Tahun 1945 sebelum amandemen.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Data penelitian ini berupa kata, frasa, klausa, dan kalimat yang mengandung ketaksaan makna pada pasal-pasal UUD 1945 sebelum amandemen.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Teknik pengumpulan data dilakukan dengan teknik dokumentasi, yaitu membaca, mengidentifikasi, mencatat, dan mengklasifikan data yang mengandung ketaksaan makna.</w:t>
      </w:r>
      <w:proofErr w:type="gramEnd"/>
      <w:r>
        <w:rPr>
          <w:rFonts w:ascii="Times New Roman" w:eastAsia="Times New Roman" w:hAnsi="Times New Roman" w:cs="Times New Roman"/>
          <w:sz w:val="24"/>
          <w:szCs w:val="24"/>
        </w:rPr>
        <w:t xml:space="preserve"> Instrumen penelitian ini yang digunakan adalah peneliti sendiri (</w:t>
      </w:r>
      <w:r>
        <w:rPr>
          <w:rFonts w:ascii="Times New Roman" w:eastAsia="Times New Roman" w:hAnsi="Times New Roman" w:cs="Times New Roman"/>
          <w:i/>
          <w:iCs/>
          <w:sz w:val="24"/>
          <w:szCs w:val="24"/>
        </w:rPr>
        <w:t>human instrumen</w:t>
      </w:r>
      <w:r>
        <w:rPr>
          <w:rFonts w:ascii="Times New Roman" w:eastAsia="Times New Roman" w:hAnsi="Times New Roman" w:cs="Times New Roman"/>
          <w:sz w:val="24"/>
          <w:szCs w:val="24"/>
        </w:rPr>
        <w:t xml:space="preserve">) yang berperan dalam proses pengumpulan, identifikasi, dan analisis data. </w:t>
      </w:r>
      <w:proofErr w:type="gramStart"/>
      <w:r>
        <w:rPr>
          <w:rFonts w:ascii="Times New Roman" w:eastAsia="Times New Roman" w:hAnsi="Times New Roman" w:cs="Times New Roman"/>
          <w:sz w:val="24"/>
          <w:szCs w:val="24"/>
        </w:rPr>
        <w:t xml:space="preserve">Analisis data dilakukan dengan mengidentifikasi bentuk-bentuk ketaksaan makna, kemudian </w:t>
      </w:r>
      <w:r>
        <w:rPr>
          <w:rFonts w:ascii="Times New Roman" w:eastAsia="Times New Roman" w:hAnsi="Times New Roman" w:cs="Times New Roman"/>
          <w:sz w:val="24"/>
          <w:szCs w:val="24"/>
        </w:rPr>
        <w:lastRenderedPageBreak/>
        <w:t>mengelompokkannya berdasarkan jenis ambiguitas referensial.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Tahapan analisis dilakukan dengan pendekatan semantik untuk menafsirkan kemungkinan makna yang muncul pada setiap data yang ditemukan.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Hasil penelitian disajikan dalam bentuk uraian deskriptif untuk menjelaskan bentuk ketaksaan makna serta interpretasi yang muncul dalam pasal-pasal UUD 1945 sebelum amandemen.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DAN PEMBAHASAN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ind w:firstLine="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Data yang terkumpul dari UUD 1945 sebelum amandemen berjumlah 44 data.</w:t>
      </w:r>
      <w:proofErr w:type="gramEnd"/>
      <w:r>
        <w:rPr>
          <w:rFonts w:ascii="Times New Roman" w:eastAsia="Times New Roman" w:hAnsi="Times New Roman" w:cs="Times New Roman"/>
          <w:sz w:val="24"/>
          <w:szCs w:val="24"/>
        </w:rPr>
        <w:t xml:space="preserve"> Data tersebut dianalisis berdasarkan jenis ketaksaan atau ambiguitas menurut Ullman (1972), ketaksaan leksikal terdiri atas 25 data, ketaksaan referensial terdiri atas 17 data, dan ketaksaan temporal terdiri atas 2 data. Untuk pembahasan lebih lanjut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dijabarkan analisisnya berdasarkan jenis ketaksaan yang ditemukan, sebagai berikut: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ind w:firstLine="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Diagram 1.</w:t>
      </w:r>
      <w:proofErr w:type="gramEnd"/>
      <w:r>
        <w:rPr>
          <w:rFonts w:ascii="Times New Roman" w:eastAsia="Times New Roman" w:hAnsi="Times New Roman" w:cs="Times New Roman"/>
          <w:sz w:val="24"/>
          <w:szCs w:val="24"/>
        </w:rPr>
        <w:t xml:space="preserve"> Hasil Identifikasi Data Ambiguitas Leksikal pada UUD 1945 sebelum Amandemen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2467928" cy="2608952"/>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l="29224" t="19917" r="29768" b="5778"/>
                    <a:stretch>
                      <a:fillRect/>
                    </a:stretch>
                  </pic:blipFill>
                  <pic:spPr>
                    <a:xfrm>
                      <a:off x="0" y="0"/>
                      <a:ext cx="2467928" cy="2608952"/>
                    </a:xfrm>
                    <a:prstGeom prst="rect">
                      <a:avLst/>
                    </a:prstGeom>
                    <a:ln/>
                  </pic:spPr>
                </pic:pic>
              </a:graphicData>
            </a:graphic>
          </wp:inline>
        </w:drawing>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 ayat (2) menyatakan “Kedaulatan adalah di tangan rakyat, dan dilakukan sepenuhnya oleh Majelis Permusyawaratan Rakyat.”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“sepenuhnya” mengalami ketaksaan leksikal.</w:t>
      </w:r>
      <w:proofErr w:type="gramEnd"/>
      <w:r>
        <w:rPr>
          <w:rFonts w:ascii="Times New Roman" w:eastAsia="Times New Roman" w:hAnsi="Times New Roman" w:cs="Times New Roman"/>
          <w:sz w:val="24"/>
          <w:szCs w:val="24"/>
        </w:rPr>
        <w:t xml:space="preserve"> Kata sepenuhnya dapat dimaknai sebagai penyerahan total kedaulatan kepada MPR, atau hanya sebagai bentuk pendelegasian pelaksanaan kedaulatan tanpa menghilangkan kedudukan rakyat sebagai pemegang kedaulatan asal.</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 ayat (2) dapat ditafsirkan sebagai berikut:</w:t>
      </w:r>
    </w:p>
    <w:p w:rsidR="00610167" w:rsidRDefault="00500B92">
      <w:pPr>
        <w:numPr>
          <w:ilvl w:val="0"/>
          <w:numId w:val="4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Kedaulatan rakyat sepenuhnya berpindah dan dimiliki oleh MPR sebagai lembaga tertinggi negara.</w:t>
      </w:r>
    </w:p>
    <w:p w:rsidR="00610167" w:rsidRDefault="00500B92">
      <w:pPr>
        <w:numPr>
          <w:ilvl w:val="0"/>
          <w:numId w:val="4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Kedaulatan tetap berada di tangan rakyat, sedangkan MPR hanya bertindak sebagai pelaksana mandat rakyat.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Merujuk pada makna tersebut, frasa “sepenuhnya” menimbulkan penafsiran ganda mengenai kedudukan MPR, yaitu apakah sebagai pemegang kedaulatan tertinggi yang berdiri di atas lembaga lain, atau sekadar pelaksana kedaulatan rakyat yang kedudukannya sejajar dengan lembaga negara lainnya.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 ayat (2) menyatakan “Majelis Permusyawaratan Rakyat bersidang sedikitnya sekali dalam </w:t>
      </w:r>
      <w:proofErr w:type="gramStart"/>
      <w:r>
        <w:rPr>
          <w:rFonts w:ascii="Times New Roman" w:eastAsia="Times New Roman" w:hAnsi="Times New Roman" w:cs="Times New Roman"/>
          <w:i/>
          <w:iCs/>
          <w:sz w:val="24"/>
          <w:szCs w:val="24"/>
        </w:rPr>
        <w:t>lima</w:t>
      </w:r>
      <w:proofErr w:type="gramEnd"/>
      <w:r>
        <w:rPr>
          <w:rFonts w:ascii="Times New Roman" w:eastAsia="Times New Roman" w:hAnsi="Times New Roman" w:cs="Times New Roman"/>
          <w:i/>
          <w:iCs/>
          <w:sz w:val="24"/>
          <w:szCs w:val="24"/>
        </w:rPr>
        <w:t xml:space="preserve"> tahun di ibu kota Negara.”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“sedikitnya sekali dalam lima tahun” mengalami ketaksaan leksikal.</w:t>
      </w:r>
      <w:proofErr w:type="gramEnd"/>
      <w:r>
        <w:rPr>
          <w:rFonts w:ascii="Times New Roman" w:eastAsia="Times New Roman" w:hAnsi="Times New Roman" w:cs="Times New Roman"/>
          <w:sz w:val="24"/>
          <w:szCs w:val="24"/>
        </w:rPr>
        <w:t xml:space="preserve"> Kata sedikitnya bermakna paling kurang, namun tidak memberikan batas maksimum mengenai berapa kali MPR dapat bersidang dalam rentang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tahun tersebut.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 ayat (2) dapat ditafsirkan sebagai berikut:</w:t>
      </w:r>
    </w:p>
    <w:p w:rsidR="00610167" w:rsidRDefault="00500B92">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MPR wajib bersidang minimal satu kali dalam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tahun, dan dapat bersidang lebih sering apabila diperlukan.</w:t>
      </w:r>
    </w:p>
    <w:p w:rsidR="00610167" w:rsidRDefault="00500B92">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MPR hanya bersidang satu kali dalam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tahun sebagai forum utama, tanpa kewajiban sidang tambahan.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Merujuk pada makna tersebut, frasa “sedikitnya sekali dalam lima tahun” menimbulkan penafsiran ganda </w:t>
      </w:r>
      <w:r>
        <w:rPr>
          <w:rFonts w:ascii="Times New Roman" w:eastAsia="Times New Roman" w:hAnsi="Times New Roman" w:cs="Times New Roman"/>
          <w:sz w:val="24"/>
          <w:szCs w:val="24"/>
        </w:rPr>
        <w:lastRenderedPageBreak/>
        <w:t>mengenai frekuensi ideal persidangan MPR, sehingga berpotensi memengaruhi efektivitas pengawasan terhadap pelaksanaan kedaulatan rakyat.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 menyatakan “Majelis Permusyawaratan Rakyat menetapkan Undang-Undang Dasar dan garis-garis besar daripada haluan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“garis-garis besar daripada haluan negara” mengalami ketaksaan referensial karena tidak menjelaskan secara spesifik materi, cakupan, maupun bentuk dokumen yang dimaksud.</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3 dapat ditafsirkan sebagai berikut:</w:t>
      </w:r>
    </w:p>
    <w:p w:rsidR="00610167" w:rsidRDefault="00500B92">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Garis-garis besar haluan negara merupakan dokumen perencanaan pembangunan jangka panjang yang mengikat seluruh lembaga negara.</w:t>
      </w:r>
    </w:p>
    <w:p w:rsidR="00610167" w:rsidRDefault="00500B92">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Garis-garis besar haluan negara merupakan arahan umum yang sifatnya fleksibel dan dapat diterjemahkan berbeda oleh setiap lembaga pelaksana.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“garis-garis besar daripada haluan negara” menimbulkan penafsiran ganda mengenai sifat mengikat dan ruang lingkup arahan yang ditetapkan MPR bagi penyelenggaraan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lastRenderedPageBreak/>
        <w:t>Pasal 4 ayat (2) menyatakan “Dalam melakukan kewajibannya Presiden dibantu oleh satu orang Wakil Presiden.”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Kata “dibantu” mengalami ketaksaan leksikal.</w:t>
      </w:r>
      <w:proofErr w:type="gramEnd"/>
      <w:r>
        <w:rPr>
          <w:rFonts w:ascii="Times New Roman" w:eastAsia="Times New Roman" w:hAnsi="Times New Roman" w:cs="Times New Roman"/>
          <w:sz w:val="24"/>
          <w:szCs w:val="24"/>
        </w:rPr>
        <w:t xml:space="preserve"> Kata </w:t>
      </w:r>
      <w:proofErr w:type="gramStart"/>
      <w:r>
        <w:rPr>
          <w:rFonts w:ascii="Times New Roman" w:eastAsia="Times New Roman" w:hAnsi="Times New Roman" w:cs="Times New Roman"/>
          <w:sz w:val="24"/>
          <w:szCs w:val="24"/>
        </w:rPr>
        <w:t>bantu</w:t>
      </w:r>
      <w:proofErr w:type="gramEnd"/>
      <w:r>
        <w:rPr>
          <w:rFonts w:ascii="Times New Roman" w:eastAsia="Times New Roman" w:hAnsi="Times New Roman" w:cs="Times New Roman"/>
          <w:sz w:val="24"/>
          <w:szCs w:val="24"/>
        </w:rPr>
        <w:t xml:space="preserve"> dapat dimaknai sebagai peran pendukung yang bersifat pasif, atau sebagai peran yang setara dan dapat menggantikan posisi Presiden dalam kondisi tertentu.</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4 ayat (2) dapat ditafsirkan sebagai berikut:</w:t>
      </w:r>
    </w:p>
    <w:p w:rsidR="00610167" w:rsidRDefault="00500B92">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Presiden berkedudukan sebagai pendamping yang hanya menjalankan tugas atas perintah dan arahan Presiden.</w:t>
      </w:r>
    </w:p>
    <w:p w:rsidR="00610167" w:rsidRDefault="00500B92">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Presiden berkedudukan setara dengan Presiden dan dapat menjalankan kewenangan kepresidenan secara penuh apabila diperlukan.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kata “dibantu” menimbulkan penafsiran ganda mengenai kedudukan dan kewenangan Wakil Presiden dalam struktur kekuasaan pemerintahan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5</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5 ayat (1) menyatakan “Presiden memegang kekuasaan membentuk undang-undang dengan persetujuan Dewan Perwakilan Rakyat.”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Kata “persetujuan” mengalami ketaksaan referensial karena tidak menjelaskan </w:t>
      </w:r>
      <w:r>
        <w:rPr>
          <w:rFonts w:ascii="Times New Roman" w:eastAsia="Times New Roman" w:hAnsi="Times New Roman" w:cs="Times New Roman"/>
          <w:sz w:val="24"/>
          <w:szCs w:val="24"/>
        </w:rPr>
        <w:lastRenderedPageBreak/>
        <w:t>mekanisme, bentuk, maupun tahapan yang harus dilalui agar suatu rancangan undang-undang dianggap telah disetujui oleh DPR.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5 ayat (1) dapat ditafsirkan sebagai berikut:</w:t>
      </w:r>
    </w:p>
    <w:p w:rsidR="00610167" w:rsidRDefault="00500B92">
      <w:pPr>
        <w:numPr>
          <w:ilvl w:val="0"/>
          <w:numId w:val="4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Persetujuan DPR cukup dilakukan melalui forum musyawarah tanpa mekanisme pemungutan suara formal.</w:t>
      </w:r>
    </w:p>
    <w:p w:rsidR="00610167" w:rsidRDefault="00500B92">
      <w:pPr>
        <w:numPr>
          <w:ilvl w:val="0"/>
          <w:numId w:val="4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Persetujuan DPR harus melalui mekanisme formal seperti rapat pembahasan bertingkat dan pemungutan suara yang diatur tersendiri.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kata “persetujuan” menimbulkan penafsiran ganda mengenai prosedur pembentukan undang-undang serta pembagian kekuasaan legislasi antara Presiden dan DPR.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6</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6 ayat (1) menyatakan “Presiden ialah orang Indonesia asli.”</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“orang Indonesia asli” mengalami ketaksaan leksikal.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Kata asli dapat dimaknai sebagai keturunan suku bangsa pribumi Indonesia, atau sebagai setiap orang yang lahir dan memiliki kewarganegaraan Indonesia tanpa memandang asal keturunan.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6 ayat (1) dapat ditafsirkan sebagai berikut:</w:t>
      </w:r>
    </w:p>
    <w:p w:rsidR="00610167" w:rsidRDefault="00500B92">
      <w:pPr>
        <w:numPr>
          <w:ilvl w:val="0"/>
          <w:numId w:val="2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Syarat “orang Indonesia asli” hanya dapat dipenuhi oleh keturunan suku-suku bangsa pribumi Indonesia.</w:t>
      </w:r>
    </w:p>
    <w:p w:rsidR="00610167" w:rsidRDefault="00500B92">
      <w:pPr>
        <w:numPr>
          <w:ilvl w:val="0"/>
          <w:numId w:val="2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Syarat “orang Indonesia asli” dapat dipenuhi oleh setiap warga negara Indonesia sejak lahir, tanpa mempertimbangkan garis keturunan etnis tertentu.</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“orang Indonesia asli” menimbulkan penafsiran ganda mengenai kriteria kewarganegaraan dan keturunan yang dapat memenuhi syarat untuk menjadi Presiden.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7</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7 menyatakan “Presiden dan Wakil Presiden memegang jabatannya selama masa lima tahun, dan sesudahnya dapat dipilih kembali.”</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“dapat dipilih kembali” mengalami ketaksaan leksikal karena tidak menyebutkan batas jumlah periode pemilihan, sehingga dapat dimaknai sebagai satu kali kesempatan tambahan maupun tanpa batas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7 dapat ditafsirkan sebagai berikut:</w:t>
      </w:r>
    </w:p>
    <w:p w:rsidR="00610167" w:rsidRDefault="00500B92">
      <w:pPr>
        <w:numPr>
          <w:ilvl w:val="0"/>
          <w:numId w:val="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Presiden dan Wakil Presiden hanya dapat dipilih kembali satu kali untuk periode kedua.</w:t>
      </w:r>
    </w:p>
    <w:p w:rsidR="00610167" w:rsidRDefault="00500B92">
      <w:pPr>
        <w:numPr>
          <w:ilvl w:val="0"/>
          <w:numId w:val="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Presiden dan Wakil Presiden dapat dipilih kembali secara </w:t>
      </w:r>
      <w:r>
        <w:rPr>
          <w:rFonts w:ascii="Times New Roman" w:eastAsia="Times New Roman" w:hAnsi="Times New Roman" w:cs="Times New Roman"/>
          <w:sz w:val="24"/>
          <w:szCs w:val="24"/>
        </w:rPr>
        <w:lastRenderedPageBreak/>
        <w:t>berulang tanpa batas jumlah periode.</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“dapat dipilih kembali” menimbulkan penafsiran ganda mengenai batas masa jabatan Presiden dan Wakil Presiden, yang berpotensi berimplikasi pada keberlangsungan kekuasaan eksekutif.</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8</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8 menyatakan “Jika Presiden mangkat, berhenti, atau tidak dapat melakukan kewajibannya dalam masa jabatannya, ia diganti oleh Wakil Presiden sampai habis waktunya.”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“tidak dapat melakukan kewajibannya” mengalami ketaksaan leksikal karena tidak menjelaskan kondisi atau kriteria </w:t>
      </w:r>
      <w:proofErr w:type="gramStart"/>
      <w:r>
        <w:rPr>
          <w:rFonts w:ascii="Times New Roman" w:eastAsia="Times New Roman" w:hAnsi="Times New Roman" w:cs="Times New Roman"/>
          <w:sz w:val="24"/>
          <w:szCs w:val="24"/>
        </w:rPr>
        <w:t>apa</w:t>
      </w:r>
      <w:proofErr w:type="gramEnd"/>
      <w:r>
        <w:rPr>
          <w:rFonts w:ascii="Times New Roman" w:eastAsia="Times New Roman" w:hAnsi="Times New Roman" w:cs="Times New Roman"/>
          <w:sz w:val="24"/>
          <w:szCs w:val="24"/>
        </w:rPr>
        <w:t xml:space="preserve"> yang menyebabkan seorang Presiden dianggap tidak dapat menjalankan kewajibannya.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8 dapat ditafsirkan sebagai berikut:</w:t>
      </w:r>
    </w:p>
    <w:p w:rsidR="00610167" w:rsidRDefault="00500B92">
      <w:pPr>
        <w:numPr>
          <w:ilvl w:val="0"/>
          <w:numId w:val="2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Ketidakmampuan tersebut hanya mencakup kondisi fisik seperti sakit berat atau berhalangan tetap secara medis.</w:t>
      </w:r>
    </w:p>
    <w:p w:rsidR="00610167" w:rsidRDefault="00500B92">
      <w:pPr>
        <w:numPr>
          <w:ilvl w:val="0"/>
          <w:numId w:val="2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Ketidakmampuan tersebut juga mencakup ketidakmampuan hukum atau politik, misalnya akibat pemberhentian, pemidanaan, atau hilangnya kepercayaan lembaga negara.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Merujuk pada makna tersebut, frasa “tidak dapat melakukan kewajibannya” menimbulkan penafsiran ganda mengenai kondisi yang dapat menjadi dasar penggantian Presiden oleh Wakil Presiden sebelum berakhirnya masa jabatan.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9</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9 menyatakan “...serta berbakti kepada Nusa dan Bangsa.”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Kata “berbakti” mengalami ketaksaan leksikal.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Kata berbakti dapat dimaknai sebagai kepatuhan dan kesetiaan moral semata, atau sebagai kewajiban konkret untuk mendahulukan kepentingan negara di atas kepentingan pribadi maupun golongan.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9 dapat ditafsirkan sebagai berikut:</w:t>
      </w:r>
    </w:p>
    <w:p w:rsidR="00610167" w:rsidRDefault="00500B92">
      <w:pPr>
        <w:numPr>
          <w:ilvl w:val="0"/>
          <w:numId w:val="1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Berbakti kepada Nusa dan Bangsa dimaknai sebagai sikap moral berupa kesetiaan dan penghormatan terhadap negara.</w:t>
      </w:r>
    </w:p>
    <w:p w:rsidR="00610167" w:rsidRDefault="00500B92">
      <w:pPr>
        <w:numPr>
          <w:ilvl w:val="0"/>
          <w:numId w:val="1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Berbakti kepada Nusa dan Bangsa dimaknai sebagai kewajiban tindakan nyata untuk selalu mengutamakan kepentingan negara di atas kepentingan lainnya.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Merujuk pada makna tersebut, kata “berbakti” menimbulkan penafsiran ganda mengenai standar yang dapat digunakan untuk menilai pelaksanaan </w:t>
      </w:r>
      <w:r>
        <w:rPr>
          <w:rFonts w:ascii="Times New Roman" w:eastAsia="Times New Roman" w:hAnsi="Times New Roman" w:cs="Times New Roman"/>
          <w:sz w:val="24"/>
          <w:szCs w:val="24"/>
        </w:rPr>
        <w:lastRenderedPageBreak/>
        <w:t>sumpah atau janji jabatan Presiden dan Wakil Presiden.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10</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10 menyatakan “Presiden memegang kekuasaan yang tertinggi atas Angkatan Darat, Angkatan Laut dan Angkatan Udara.”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“kekuasaan yang tertinggi” mengalami ketaksaan leksikal karena tidak menjelaskan apakah kekuasaan tersebut bersifat komando operasional secara langsung atau hanya kedudukan simbolis sebagai pemegang otoritas tertinggi.</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10 dapat ditafsirkan sebagai berikut:</w:t>
      </w:r>
    </w:p>
    <w:p w:rsidR="00610167" w:rsidRDefault="00500B92">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Presiden memegang komando operasional secara langsung atas seluruh kekuatan Angkatan Darat, Laut, dan Udara.</w:t>
      </w:r>
    </w:p>
    <w:p w:rsidR="00610167" w:rsidRDefault="00500B92">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Presiden memegang kedudukan tertinggi yang bersifat simbolis dan strategis, sementara komando operasional dijalankan oleh struktur militer di bawahnya.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“kekuasaan yang tertinggi” menimbulkan penafsiran ganda mengenai bentuk dan tingkat kendali Presiden terhadap angkatan perang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11</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Pasal 11 menyatakan “Presiden dengan persetujuan Dewan Perwakilan Rakyat menyatakan perang, membuat perdamaian dan perjanjian dengan negara lain.”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“perjanjian dengan negara lain” mengalami ketaksaan referensial karena tidak menjelaskan jenis dan tingkat kepentingan perjanjian yang memerlukan persetujuan DPR.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11 dapat ditafsirkan sebagai berikut:</w:t>
      </w:r>
    </w:p>
    <w:p w:rsidR="00610167" w:rsidRDefault="00500B92">
      <w:pPr>
        <w:numPr>
          <w:ilvl w:val="0"/>
          <w:numId w:val="1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Seluruh jenis perjanjian internasional, tanpa terkecuali, harus memperoleh persetujuan DPR sebelum disepakati Presiden.</w:t>
      </w:r>
    </w:p>
    <w:p w:rsidR="00610167" w:rsidRDefault="00500B92">
      <w:pPr>
        <w:numPr>
          <w:ilvl w:val="0"/>
          <w:numId w:val="1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Hanya perjanjian internasional yang berdampak besar dan mendasar bagi negara yang memerlukan persetujuan DPR, sedangkan perjanjian teknis dapat dilakukan Presiden tanpa persetujuan tersebut.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Merujuk pada makna tersebut, frasa “perjanjian dengan negara lain” menimbulkan penafsiran ganda mengenai jenis perjanjian internasional yang memerlukan keterlibatan DPR dalam proses pengesahannya.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12</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12 menyatakan “Presiden menyatakan keadaan bahaya.</w:t>
      </w:r>
      <w:proofErr w:type="gramEnd"/>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Syarat-</w:t>
      </w:r>
      <w:r>
        <w:rPr>
          <w:rFonts w:ascii="Times New Roman" w:eastAsia="Times New Roman" w:hAnsi="Times New Roman" w:cs="Times New Roman"/>
          <w:i/>
          <w:iCs/>
          <w:sz w:val="24"/>
          <w:szCs w:val="24"/>
        </w:rPr>
        <w:lastRenderedPageBreak/>
        <w:t>syarat dan akibatnya keadaan bahaya ditetapkan dengan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“keadaan bahaya” mengalami ketaksaan leksikal karena tidak menjelaskan jenis ancaman yang termasuk dalam kategori tersebut, baik berupa ancaman keamanan, bencana alam, maupun krisis lainnya.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12 dapat ditafsirkan sebagai berikut:</w:t>
      </w:r>
    </w:p>
    <w:p w:rsidR="00610167" w:rsidRDefault="00500B92">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Keadaan bahaya hanya mencakup ancaman terhadap keamanan dan pertahanan negara, seperti pemberontakan atau invasi.</w:t>
      </w:r>
    </w:p>
    <w:p w:rsidR="00610167" w:rsidRDefault="00500B92">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Keadaan bahaya mencakup segala bentuk krisis yang mengancam kehidupan masyarakat secara luas, termasuk bencana alam dan krisis ekonomi.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“keadaan bahaya” menimbulkan penafsiran ganda mengenai jenis situasi yang dapat menjadi dasar bagi Presiden untuk menggunakan kewenangan luar biasa.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13</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13 menyatakan “Presiden mengangkat duta dan konsul.”</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“mengangkat duta dan konsul” mengalami ketaksaan referensial karena tidak menjelaskan apakah pengangkatan </w:t>
      </w:r>
      <w:r>
        <w:rPr>
          <w:rFonts w:ascii="Times New Roman" w:eastAsia="Times New Roman" w:hAnsi="Times New Roman" w:cs="Times New Roman"/>
          <w:sz w:val="24"/>
          <w:szCs w:val="24"/>
        </w:rPr>
        <w:lastRenderedPageBreak/>
        <w:t>tersebut merupakan kewenangan mutlak Presiden atau memerlukan pertimbangan dari lembaga negara lain.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13 dapat ditafsirkan sebagai berikut:</w:t>
      </w:r>
    </w:p>
    <w:p w:rsidR="00610167" w:rsidRDefault="00500B92">
      <w:pPr>
        <w:numPr>
          <w:ilvl w:val="0"/>
          <w:numId w:val="4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Pengangkatan duta dan konsul merupakan kewenangan mutlak Presiden tanpa keterlibatan lembaga negara lain.</w:t>
      </w:r>
    </w:p>
    <w:p w:rsidR="00610167" w:rsidRDefault="00500B92">
      <w:pPr>
        <w:numPr>
          <w:ilvl w:val="0"/>
          <w:numId w:val="4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Pengangkatan duta dan konsul tetap memerlukan pertimbangan dari lembaga negara </w:t>
      </w:r>
      <w:proofErr w:type="gramStart"/>
      <w:r>
        <w:rPr>
          <w:rFonts w:ascii="Times New Roman" w:eastAsia="Times New Roman" w:hAnsi="Times New Roman" w:cs="Times New Roman"/>
          <w:sz w:val="24"/>
          <w:szCs w:val="24"/>
        </w:rPr>
        <w:t>lain</w:t>
      </w:r>
      <w:proofErr w:type="gramEnd"/>
      <w:r>
        <w:rPr>
          <w:rFonts w:ascii="Times New Roman" w:eastAsia="Times New Roman" w:hAnsi="Times New Roman" w:cs="Times New Roman"/>
          <w:sz w:val="24"/>
          <w:szCs w:val="24"/>
        </w:rPr>
        <w:t>, seperti Dewan Pertimbangan Agung, sebelum ditetapkan oleh Presiden.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“mengangkat duta dan konsul” menimbulkan penafsiran ganda mengenai sifat mutlak atau tidaknya kewenangan Presiden dalam hubungan luar negeri.</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14</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14 menyatakan “Presiden memberi grasi, amnesti, abolisi dan rehabilitasi.”</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tersebut mengalami ketaksaan referensial karena tidak menjelaskan prosedur, syarat, maupun batasan pemberian masing-masing bentuk pengampunan tersebut.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14 dapat ditafsirkan sebagai berikut:</w:t>
      </w:r>
    </w:p>
    <w:p w:rsidR="00610167" w:rsidRDefault="00500B92">
      <w:pPr>
        <w:numPr>
          <w:ilvl w:val="0"/>
          <w:numId w:val="3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Pemberian grasi, amnesti, abolisi, dan rehabilitasi merupakan kewenangan mutlak Presiden yang dapat dilaksanakan tanpa pertimbangan lembaga lain.</w:t>
      </w:r>
    </w:p>
    <w:p w:rsidR="00610167" w:rsidRDefault="00500B92">
      <w:pPr>
        <w:numPr>
          <w:ilvl w:val="0"/>
          <w:numId w:val="3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Pemberian grasi, amnesti, abolisi, dan rehabilitasi memerlukan pertimbangan dari lembaga kehakiman atau lembaga negara lain sebelum diputuskan Presiden.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tersebut menimbulkan penafsiran ganda mengenai mekanisme dan batasan kewenangan Presiden dalam memberikan pengampunan hukum kepada warga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15</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15 menyatakan “Presiden memberi gelaran, tanda jasa dan lain-lain tanda kehormatan.”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“lain-lain tanda kehormatan” mengalami ketaksaan referensial karena tidak menyebutkan secara spesifik bentuk-bentuk tanda kehormatan yang termasuk dalam kategori tersebut.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15 dapat ditafsirkan sebagai berikut:</w:t>
      </w:r>
    </w:p>
    <w:p w:rsidR="00610167" w:rsidRDefault="00500B92">
      <w:pPr>
        <w:numPr>
          <w:ilvl w:val="0"/>
          <w:numId w:val="3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Lain-lain tanda kehormatan terbatas pada bentuk-bentuk penghargaan resmi kenegaraan yang bersifat formal.</w:t>
      </w:r>
    </w:p>
    <w:p w:rsidR="00610167" w:rsidRDefault="00500B92">
      <w:pPr>
        <w:numPr>
          <w:ilvl w:val="0"/>
          <w:numId w:val="3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Lain-lain tanda kehormatan dapat mencakup berbagai bentuk penghargaan baru yang ditetapkan kemudian sesuai kebutuhan negara.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“lain-lain tanda kehormatan” menimbulkan penafsiran ganda mengenai jenis dan jumlah bentuk penghargaan yang dapat diberikan Presiden kepada warga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16</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16 menyatakan “Dewan Pertimbangan Agung berhak mengajukan usul kepada pemerintah serta berwajib memberi jawab atas pertanyaan Presiden.”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“berwajib memberi jawab” mengalami ketaksaan leksikal karena tidak menjelaskan apakah jawaban yang diberikan bersifat mengikat sebagai dasar keputusan Presiden atau hanya bersifat nasihat yang tidak wajib diikuti.</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16 dapat ditafsirkan sebagai berikut:</w:t>
      </w:r>
    </w:p>
    <w:p w:rsidR="00610167" w:rsidRDefault="00500B92">
      <w:pPr>
        <w:numPr>
          <w:ilvl w:val="0"/>
          <w:numId w:val="2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Jawaban Dewan Pertimbangan Agung bersifat mengikat dan harus menjadi dasar pertimbangan resmi dalam pengambilan keputusan Presiden.</w:t>
      </w:r>
    </w:p>
    <w:p w:rsidR="00610167" w:rsidRDefault="00500B92">
      <w:pPr>
        <w:numPr>
          <w:ilvl w:val="0"/>
          <w:numId w:val="2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Jawaban Dewan Pertimbangan Agung hanya bersifat nasihat </w:t>
      </w:r>
      <w:r>
        <w:rPr>
          <w:rFonts w:ascii="Times New Roman" w:eastAsia="Times New Roman" w:hAnsi="Times New Roman" w:cs="Times New Roman"/>
          <w:sz w:val="24"/>
          <w:szCs w:val="24"/>
        </w:rPr>
        <w:lastRenderedPageBreak/>
        <w:t>yang dapat dipertimbangkan atau diabaikan oleh Presiden.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“berwajib memberi jawab” menimbulkan penafsiran ganda mengenai kedudukan dan pengaruh Dewan Pertimbangan Agung terhadap pengambilan keputusan Presiden.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17</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17 ayat (3) menyatakan “Menteri-menteri itu memimpin departemen pemerintahan.”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“memimpin departemen pemerintahan” mengalami ketaksaan referensial karena tidak menjelaskan apakah seluruh menteri wajib memimpin suatu departemen, atau dimungkinkan adanya menteri yang tidak memimpin departemen tertentu.</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17 ayat (3) dapat ditafsirkan sebagai berikut:</w:t>
      </w:r>
    </w:p>
    <w:p w:rsidR="00610167" w:rsidRDefault="00500B92">
      <w:pPr>
        <w:numPr>
          <w:ilvl w:val="0"/>
          <w:numId w:val="2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menteri negara wajib memimpin satu departemen pemerintahan tertentu tanpa terkecuali.</w:t>
      </w:r>
    </w:p>
    <w:p w:rsidR="00610167" w:rsidRDefault="00500B92">
      <w:pPr>
        <w:numPr>
          <w:ilvl w:val="0"/>
          <w:numId w:val="2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Sebagian menteri dapat diangkat tanpa memimpin departemen tertentu, misalnya menteri yang bertugas pada bidang koordinasi atau urusan khusus.</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Merujuk pada makna tersebut, frasa “memimpin departemen pemerintahan” menimbulkan penafsiran ganda </w:t>
      </w:r>
      <w:r>
        <w:rPr>
          <w:rFonts w:ascii="Times New Roman" w:eastAsia="Times New Roman" w:hAnsi="Times New Roman" w:cs="Times New Roman"/>
          <w:sz w:val="24"/>
          <w:szCs w:val="24"/>
        </w:rPr>
        <w:lastRenderedPageBreak/>
        <w:t>mengenai struktur kementerian negara serta kemungkinan keberadaan menteri tanpa portofolio.</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18</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18 menyatakan “...dan hak-hak asal usul dalam daerah-daerah yang bersifat istimewa.”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“bersifat istimewa” mengalami ketaksaan leksikal karena tidak menjelaskan kriteria yang menjadikan suatu daerah dikategorikan sebagai daerah istimewa.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18 dapat ditafsirkan sebagai berikut:</w:t>
      </w:r>
    </w:p>
    <w:p w:rsidR="00610167" w:rsidRDefault="00500B92">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Keistimewaan suatu daerah ditentukan berdasarkan sejarah dan asal usul kerajaan atau kesultanan yang pernah berdiri di wilayah tersebut.</w:t>
      </w:r>
    </w:p>
    <w:p w:rsidR="00610167" w:rsidRDefault="00500B92">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Keistimewaan suatu daerah ditentukan berdasarkan kekhasan adat, budaya, atau sistem sosial yang masih hidup dalam masyarakat setempat.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“bersifat istimewa” menimbulkan penafsiran ganda mengenai dasar penetapan suatu daerah sebagai daerah istimewa dalam susunan pemerintahan.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19</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19 ayat (2) menyatakan “Dewan Perwakilan Rakyat bersidang sedikitnya sekali dalam setahun.”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Frasa “sedikitnya sekali dalam setahun” mengalami ketaksaan leksikal.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Kata sedikitnya bermakna paling kurang atau sekurang-kurangnya, namun tidak memberikan batasan jelas mengenai jumlah sidang yang dianggap memadai untuk menjalankan fungsi DPR.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19 ayat (2) dapat ditafsirkan sebagai berikut:</w:t>
      </w:r>
    </w:p>
    <w:p w:rsidR="00610167" w:rsidRDefault="00500B92">
      <w:pPr>
        <w:numPr>
          <w:ilvl w:val="0"/>
          <w:numId w:val="1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Dewan Perwakilan Rakyat wajib mengadakan sidang minimal satu kali dalam satu tahun.</w:t>
      </w:r>
    </w:p>
    <w:p w:rsidR="00610167" w:rsidRDefault="00500B92">
      <w:pPr>
        <w:numPr>
          <w:ilvl w:val="0"/>
          <w:numId w:val="1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Dewan Perwakilan Rakyat dapat mengadakan sidang lebih dari satu kali dalam satu tahun, tanpa adanya batas maksimum yang ditentukan.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“sedikitnya sekali dalam setahun” menimbulkan penafsiran ganda mengenai frekuensi sidang DPR.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Ketidakjelasan mengenai frekuensi ideal persidangan ini dapat menimbulkan perbedaan penafsiran terkait pelaksanaan fungsi legislasi, pengawasan, dan anggaran oleh DPR.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20</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 xml:space="preserve">Pasal 20 ayat (2) menyatakan “Jika suatu rancangan undang-undang tidak mendapat persetujuan Dewan Perwakilan Rakyat, maka rancangan tersebut tidak boleh dimajukan lagi </w:t>
      </w:r>
      <w:r>
        <w:rPr>
          <w:rFonts w:ascii="Times New Roman" w:eastAsia="Times New Roman" w:hAnsi="Times New Roman" w:cs="Times New Roman"/>
          <w:i/>
          <w:iCs/>
          <w:sz w:val="24"/>
          <w:szCs w:val="24"/>
        </w:rPr>
        <w:lastRenderedPageBreak/>
        <w:t>dalam persidangan Dewan Perwakilan Rakyat masa itu.”</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“masa itu” mengalami ketaksaan referensial karena tidak menjelaskan secara pasti apakah yang dimaksud adalah satu kali masa persidangan atau seluruh periode keanggotaan DPR.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20 ayat (2) dapat ditafsirkan sebagai berikut:</w:t>
      </w:r>
    </w:p>
    <w:p w:rsidR="00610167" w:rsidRDefault="00500B92">
      <w:pPr>
        <w:numPr>
          <w:ilvl w:val="0"/>
          <w:numId w:val="3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“Masa itu” merujuk pada satu kali masa persidangan, sehingga rancangan undang-undang dapat diajukan kembali pada masa persidangan berikutnya dalam periode keanggotaan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w:t>
      </w:r>
    </w:p>
    <w:p w:rsidR="00610167" w:rsidRDefault="00500B92">
      <w:pPr>
        <w:numPr>
          <w:ilvl w:val="0"/>
          <w:numId w:val="3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“Masa itu” merujuk pada seluruh periode keanggotaan DPR, sehingga rancangan undang-undang yang ditolak tidak dapat diajukan kembali hingga terbentuknya DPR periode selanjutnya.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“masa itu” menimbulkan penafsiran ganda mengenai jangka waktu larangan pengajuan kembali suatu rancangan undang-undang yang telah ditolak.</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21</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21 ayat (2) menyatakan “Jika rancangan itu, meskipun disetujui oleh Dewan Perwakilan Rakyat, tidak disahkan oleh Presiden, maka rancangan tersebut tidak boleh </w:t>
      </w:r>
      <w:r>
        <w:rPr>
          <w:rFonts w:ascii="Times New Roman" w:eastAsia="Times New Roman" w:hAnsi="Times New Roman" w:cs="Times New Roman"/>
          <w:i/>
          <w:iCs/>
          <w:sz w:val="24"/>
          <w:szCs w:val="24"/>
        </w:rPr>
        <w:lastRenderedPageBreak/>
        <w:t>dimajukan lagi dalam persidangan Dewan Perwakilan Rakyat masa itu.”</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“tidak disahkan” mengalami ketaksaan temporal karena tidak menetapkan batas waktu bagi Presiden untuk mengesahkan atau menolak suatu rancangan undang-undang yang telah disetujui DPR.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21 ayat (2) dapat ditafsirkan sebagai berikut:</w:t>
      </w:r>
    </w:p>
    <w:p w:rsidR="00610167" w:rsidRDefault="00500B92">
      <w:pPr>
        <w:numPr>
          <w:ilvl w:val="0"/>
          <w:numId w:val="4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disahkan” hanya berlaku apabila Presiden secara aktif dan tegas menyatakan penolakan terhadap rancangan undang-undang tersebut.</w:t>
      </w:r>
    </w:p>
    <w:p w:rsidR="00610167" w:rsidRDefault="00500B92">
      <w:pPr>
        <w:numPr>
          <w:ilvl w:val="0"/>
          <w:numId w:val="4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disahkan” dapat pula terjadi melalui pembiaran, yaitu apabila Presiden tidak menandatangani rancangan undang-undang tersebut dalam jangka waktu tertentu tanpa pernyataan penolakan secara tegas.</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“tidak disahkan” menimbulkan penafsiran ganda mengenai keberadaan batas waktu pengesahan undang-undang oleh Presiden serta akibat hukum apabila Presiden tidak bersikap secara tegas.</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22</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 xml:space="preserve">Pasal 22 ayat (1) menyatakan “Dalam hal ihwal kegentingan yang memaksa, </w:t>
      </w:r>
      <w:r>
        <w:rPr>
          <w:rFonts w:ascii="Times New Roman" w:eastAsia="Times New Roman" w:hAnsi="Times New Roman" w:cs="Times New Roman"/>
          <w:i/>
          <w:iCs/>
          <w:sz w:val="24"/>
          <w:szCs w:val="24"/>
        </w:rPr>
        <w:lastRenderedPageBreak/>
        <w:t>Presiden berhak menetapkan peraturan pemerintah pengganti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“kegentingan yang memaksa” mengalami ketaksaan leksikal.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Secara kebahasaan, kata genting dapat dimaknai sebagai keadaan darurat, keadaan berbahaya, atau situasi yang mendesak sehingga memerlukan tindakan segera.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Sementara itu, kata memaksa dapat dimaknai sebagai keadaan yang mengharuskan seseorang melakukan tindakan tertentu.</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22 ayat (1) dapat ditafsirkan sebagai berikut:</w:t>
      </w:r>
    </w:p>
    <w:p w:rsidR="00610167" w:rsidRDefault="00500B92">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keadaan darurat negara, Presiden berhak menetapkan Peraturan Pemerintah Pengganti Undang-Undang.</w:t>
      </w:r>
    </w:p>
    <w:p w:rsidR="00610167" w:rsidRDefault="00500B92">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keadaan mendesak yang memerlukan tindakan segera, Presiden berhak menetapkan Peraturan Pemerintah Pengganti Undang-Undang meskipun negara tidak dalam kondisi darurat.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“kegentingan yang memaksa” menimbulkan penafsiran ganda.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Pertama, Presiden hanya dapat mengeluarkan Perppu apabila negara berada dalam kondisi darurat yang mengancam keselamatan negara.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Kedua, Presiden dapat mengeluarkan Perppu </w:t>
      </w:r>
      <w:r>
        <w:rPr>
          <w:rFonts w:ascii="Times New Roman" w:eastAsia="Times New Roman" w:hAnsi="Times New Roman" w:cs="Times New Roman"/>
          <w:sz w:val="24"/>
          <w:szCs w:val="24"/>
        </w:rPr>
        <w:lastRenderedPageBreak/>
        <w:t>ketika terdapat kebutuhan hukum yang mendesak meskipun negara tidak berada dalam kondisi darurat.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Perbedaan penafsiran ini berpotensi memperluas atau mempersempit kewenangan Presiden dalam pembentukan peraturan.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23</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23 ayat (1) menyatakan “Apabila Dewan Perwakilan Rakyat tidak menyetujui anggaran yang diusulkan pemerintah, maka pemerintah menjalankan anggaran tahun yang lalu.”</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“anggaran tahun yang lalu” mengalami ketaksaan referensial karena tidak menjelaskan apakah anggaran yang dijalankan menggunakan angka nominal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persis dengan tahun sebelumnya atau hanya menggunakan struktur dan pos anggaran yang sama dengan penyesuaian nilai.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23 ayat (1) dapat ditafsirkan sebagai berikut:</w:t>
      </w:r>
    </w:p>
    <w:p w:rsidR="00610167" w:rsidRDefault="00500B92">
      <w:pPr>
        <w:numPr>
          <w:ilvl w:val="0"/>
          <w:numId w:val="2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Pemerintah menjalankan anggaran dengan nominal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persis dengan anggaran tahun sebelumnya tanpa perubahan apa pun.</w:t>
      </w:r>
    </w:p>
    <w:p w:rsidR="00610167" w:rsidRDefault="00500B92">
      <w:pPr>
        <w:numPr>
          <w:ilvl w:val="0"/>
          <w:numId w:val="2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Pemerintah menjalankan struktur dan pos anggaran tahun sebelumnya, namun nilai nominalnya dapat disesuaikan </w:t>
      </w:r>
      <w:r>
        <w:rPr>
          <w:rFonts w:ascii="Times New Roman" w:eastAsia="Times New Roman" w:hAnsi="Times New Roman" w:cs="Times New Roman"/>
          <w:sz w:val="24"/>
          <w:szCs w:val="24"/>
        </w:rPr>
        <w:lastRenderedPageBreak/>
        <w:t>dengan kebutuhan dan kondisi keuangan negara terkini.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“anggaran tahun yang lalu” menimbulkan penafsiran ganda mengenai bentuk anggaran yang harus dijalankan pemerintah apabila DPR tidak menyetujui usulan anggaran baru.</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24</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23 ayat (4) menyatakan “Hal keuangan negara selanjutnya diatur dengan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Kata “selanjutnya” mengalami ketaksaan referensial.</w:t>
      </w:r>
      <w:proofErr w:type="gramEnd"/>
      <w:r>
        <w:rPr>
          <w:rFonts w:ascii="Times New Roman" w:eastAsia="Times New Roman" w:hAnsi="Times New Roman" w:cs="Times New Roman"/>
          <w:sz w:val="24"/>
          <w:szCs w:val="24"/>
        </w:rPr>
        <w:t xml:space="preserve"> Kata tersebut tidak menunjukkan secara jelas aspek keuangan negara yang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diatur lebih lanjut.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23 ayat (4) dapat ditafsirkan sebagai berikut:</w:t>
      </w:r>
    </w:p>
    <w:p w:rsidR="00610167" w:rsidRDefault="00500B92">
      <w:pPr>
        <w:numPr>
          <w:ilvl w:val="0"/>
          <w:numId w:val="2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Seluruh aspek keuangan negara diatur lebih lanjut dengan undang-undang.</w:t>
      </w:r>
    </w:p>
    <w:p w:rsidR="00610167" w:rsidRDefault="00500B92">
      <w:pPr>
        <w:numPr>
          <w:ilvl w:val="0"/>
          <w:numId w:val="2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Hanya aspek tertentu dari keuangan negara yang memerlukan pengaturan lebih lanjut melalui undang-undang.</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kata “selanjutnya” menimbulkan penafsiran ganda mengenai ruang lingkup pengaturan keuangan negara.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Akibatnya, batas kewenangan dan materi yang harus diatur dalam undang-undang menjadi </w:t>
      </w:r>
      <w:r>
        <w:rPr>
          <w:rFonts w:ascii="Times New Roman" w:eastAsia="Times New Roman" w:hAnsi="Times New Roman" w:cs="Times New Roman"/>
          <w:sz w:val="24"/>
          <w:szCs w:val="24"/>
        </w:rPr>
        <w:lastRenderedPageBreak/>
        <w:t>kurang jelas dan berpotensi menimbulkan multitafsir.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25</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24 ayat (1) menyatakan “Kekuasaan kehakiman dilakukan oleh sebuah Mahkamah Agung dan lain-lain badan kehakiman menurut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“lain-lain badan kehakiman” mengalami ketaksaan leksikal.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Kata badan dapat diartikan sebagai lembaga atau organisasi, sedangkan frasa lain-lain badan kehakiman tidak menjelaskan secara spesifik lembaga yang dimaksud.</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24 ayat (1) dapat ditafsirkan sebagai berikut:</w:t>
      </w:r>
    </w:p>
    <w:p w:rsidR="00610167" w:rsidRDefault="00500B92">
      <w:pPr>
        <w:numPr>
          <w:ilvl w:val="0"/>
          <w:numId w:val="3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Kekuasaan kehakiman dilakukan oleh Mahkamah Agung dan seluruh lembaga peradilan yang dibentuk berdasarkan undang-undang.</w:t>
      </w:r>
    </w:p>
    <w:p w:rsidR="00610167" w:rsidRDefault="00500B92">
      <w:pPr>
        <w:numPr>
          <w:ilvl w:val="0"/>
          <w:numId w:val="3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Kekuasaan kehakiman dilakukan oleh Mahkamah Agung dan lembaga tertentu yang diberi kewenangan mengadili perkara.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“lain-lain badan kehakiman” menimbulkan penafsiran ganda mengenai lembaga yang berwenang menjalankan kekuasaan kehakiman.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Ketidakjelasan ini dapat menyebabkan perbedaan pemahaman mengenai </w:t>
      </w:r>
      <w:r>
        <w:rPr>
          <w:rFonts w:ascii="Times New Roman" w:eastAsia="Times New Roman" w:hAnsi="Times New Roman" w:cs="Times New Roman"/>
          <w:sz w:val="24"/>
          <w:szCs w:val="24"/>
        </w:rPr>
        <w:lastRenderedPageBreak/>
        <w:t>struktur lembaga peradilan dalam sistem ketatanegaraan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26</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25 menyatakan “Syarat-syarat untuk menjadi dan untuk diberhentikan sebagai hakim ditetapkan dengan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Kata “diberhentikan” mengalami ketaksaan leksikal.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Kata tersebut dapat dimaknai sebagai pemberhentian karena pelanggaran hukum, pemberhentian karena habis masa jabatan, maupun pemberhentian atas permintaan sendiri.</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25 dapat ditafsirkan sebagai berikut:</w:t>
      </w:r>
    </w:p>
    <w:p w:rsidR="00610167" w:rsidRDefault="00500B92">
      <w:pPr>
        <w:numPr>
          <w:ilvl w:val="0"/>
          <w:numId w:val="3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Hakim diberhentikan karena melakukan pelanggaran atau tidak memenuhi syarat jabatan.</w:t>
      </w:r>
    </w:p>
    <w:p w:rsidR="00610167" w:rsidRDefault="00500B92">
      <w:pPr>
        <w:numPr>
          <w:ilvl w:val="0"/>
          <w:numId w:val="3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Hakim diberhentikan karena berakhirnya masa jabatan atau alasan administratif lainnya.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kata “diberhentikan” menimbulkan penafsiran ganda mengenai alasan pemberhentian hakim.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Akibatnya, ketentuan tersebut memerlukan pengaturan lebih lanjut agar tidak menimbulkan multitafsir dalam pelaksanaannya.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27</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Pasal 26 ayat (1) menyatakan “Yang menjadi warga negara ialah orang-orang bangsa Indonesia asli dan orang-</w:t>
      </w:r>
      <w:r>
        <w:rPr>
          <w:rFonts w:ascii="Times New Roman" w:eastAsia="Times New Roman" w:hAnsi="Times New Roman" w:cs="Times New Roman"/>
          <w:i/>
          <w:iCs/>
          <w:sz w:val="24"/>
          <w:szCs w:val="24"/>
        </w:rPr>
        <w:lastRenderedPageBreak/>
        <w:t xml:space="preserve">orang bangsa </w:t>
      </w:r>
      <w:proofErr w:type="gramStart"/>
      <w:r>
        <w:rPr>
          <w:rFonts w:ascii="Times New Roman" w:eastAsia="Times New Roman" w:hAnsi="Times New Roman" w:cs="Times New Roman"/>
          <w:i/>
          <w:iCs/>
          <w:sz w:val="24"/>
          <w:szCs w:val="24"/>
        </w:rPr>
        <w:t>lain</w:t>
      </w:r>
      <w:proofErr w:type="gramEnd"/>
      <w:r>
        <w:rPr>
          <w:rFonts w:ascii="Times New Roman" w:eastAsia="Times New Roman" w:hAnsi="Times New Roman" w:cs="Times New Roman"/>
          <w:i/>
          <w:iCs/>
          <w:sz w:val="24"/>
          <w:szCs w:val="24"/>
        </w:rPr>
        <w:t xml:space="preserve"> yang disahkan dengan undang-undang sebagai warga negara.”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“bangsa Indonesia asli” mengalami ketaksaan leksikal.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Kata asli memiliki beberapa makna, yaitu berasal dari tempat asalnya, bukan keturunan pendatang, atau memiliki hubungan historis dengan suatu wilayah.</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26 ayat (1) dapat ditafsirkan sebagai berikut:</w:t>
      </w:r>
    </w:p>
    <w:p w:rsidR="00610167" w:rsidRDefault="00500B92">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Warga negara adalah orang-orang yang berasal dari suku-suku asli Indonesia.</w:t>
      </w:r>
    </w:p>
    <w:p w:rsidR="00610167" w:rsidRDefault="00500B92">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Warga negara adalah orang-orang yang lahir dan memiliki garis keturunan di wilayah Indonesia.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“bangsa Indonesia asli” menimbulkan penafsiran ganda mengenai kriteria seseorang yang dapat dikategorikan sebagai warga negara asli Indonesia.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Ketidakjelasan ini berpotensi menimbulkan perbedaan penafsiran terkait status kewarganegaraan.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28</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27 ayat (2) menyatakan “Tiap-tiap warga negara berhak atas pekerjaan dan penghidupan yang layak bagi kemanusiaan.”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Kata “layak” mengalami ketaksaan leksikal.</w:t>
      </w:r>
      <w:proofErr w:type="gramEnd"/>
      <w:r>
        <w:rPr>
          <w:rFonts w:ascii="Times New Roman" w:eastAsia="Times New Roman" w:hAnsi="Times New Roman" w:cs="Times New Roman"/>
          <w:sz w:val="24"/>
          <w:szCs w:val="24"/>
        </w:rPr>
        <w:t xml:space="preserve"> Dalam </w:t>
      </w:r>
      <w:proofErr w:type="gramStart"/>
      <w:r>
        <w:rPr>
          <w:rFonts w:ascii="Times New Roman" w:eastAsia="Times New Roman" w:hAnsi="Times New Roman" w:cs="Times New Roman"/>
          <w:sz w:val="24"/>
          <w:szCs w:val="24"/>
        </w:rPr>
        <w:t>bahasa</w:t>
      </w:r>
      <w:proofErr w:type="gramEnd"/>
      <w:r>
        <w:rPr>
          <w:rFonts w:ascii="Times New Roman" w:eastAsia="Times New Roman" w:hAnsi="Times New Roman" w:cs="Times New Roman"/>
          <w:sz w:val="24"/>
          <w:szCs w:val="24"/>
        </w:rPr>
        <w:t xml:space="preserve"> Indonesia, kata </w:t>
      </w:r>
      <w:r>
        <w:rPr>
          <w:rFonts w:ascii="Times New Roman" w:eastAsia="Times New Roman" w:hAnsi="Times New Roman" w:cs="Times New Roman"/>
          <w:sz w:val="24"/>
          <w:szCs w:val="24"/>
        </w:rPr>
        <w:lastRenderedPageBreak/>
        <w:t>layak dapat bermakna pantas, cukup, sesuai standar, atau memenuhi kebutuhan hidup.</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27 ayat (2) dapat ditafsirkan sebagai berikut:</w:t>
      </w:r>
    </w:p>
    <w:p w:rsidR="00610167" w:rsidRDefault="00500B92">
      <w:pPr>
        <w:numPr>
          <w:ilvl w:val="0"/>
          <w:numId w:val="2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Warga negara berhak memperoleh penghidupan yang cukup untuk memenuhi kebutuhan dasar.</w:t>
      </w:r>
    </w:p>
    <w:p w:rsidR="00610167" w:rsidRDefault="00500B92">
      <w:pPr>
        <w:numPr>
          <w:ilvl w:val="0"/>
          <w:numId w:val="2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Warga negara berhak memperoleh penghidupan yang sesuai dengan standar kesejahteraan tertentu.</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kata “layak” menimbulkan penafsiran ganda mengenai standar kehidupan yang harus dijamin negara.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Standar tersebut dapat berbeda berdasarkan kondisi ekonomi, sosial, maupun perkembangan zaman sehingga memerlukan penjelasan lebih lanjut agar tidak menimbulkan multitafsir.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29</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28 menyatakan “Kemerdekaan berserikat dan berkumpul, mengeluarkan pikiran dengan lisan dan tulisan dan sebagainya ditetapkan dengan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Frasa “ditetapkan dengan undang-undang” mengalami ketaksaan leksikal karena tidak menjelaskan apakah undang-undang yang dimaksud berfungsi untuk menjamin pelaksanaan </w:t>
      </w:r>
      <w:r>
        <w:rPr>
          <w:rFonts w:ascii="Times New Roman" w:eastAsia="Times New Roman" w:hAnsi="Times New Roman" w:cs="Times New Roman"/>
          <w:sz w:val="24"/>
          <w:szCs w:val="24"/>
        </w:rPr>
        <w:lastRenderedPageBreak/>
        <w:t>hak tersebut atau justru dapat digunakan untuk membatasinya.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28 dapat ditafsirkan sebagai berikut:</w:t>
      </w:r>
    </w:p>
    <w:p w:rsidR="00610167" w:rsidRDefault="00500B92">
      <w:pPr>
        <w:numPr>
          <w:ilvl w:val="0"/>
          <w:numId w:val="2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yang dimaksud berfungsi untuk menjamin dan memberikan mekanisme pelaksanaan kemerdekaan berserikat, berkumpul, dan mengeluarkan pikiran.</w:t>
      </w:r>
    </w:p>
    <w:p w:rsidR="00610167" w:rsidRDefault="00500B92">
      <w:pPr>
        <w:numPr>
          <w:ilvl w:val="0"/>
          <w:numId w:val="2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yang dimaksud dapat digunakan untuk membatasi pelaksanaan kemerdekaan berserikat, berkumpul, dan mengeluarkan pikiran demi alasan tertentu.</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“ditetapkan dengan undang-undang” menimbulkan penafsiran ganda mengenai sifat undang-undang yang dimaksud, yaitu sebagai penjamin atau sebagai pembatas kemerdekaan berserikat, berkumpul, dan menyampaikan pikiran.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30</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29 ayat (2) menyatakan “Negara menjamin kemerdekaan tiap-tiap penduduk untuk memeluk agamanya masing-masing dan untuk beribadat menurut agamanya dan kepercayaannya itu.”</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“kepercayaannya itu” mengalami ketaksaan referensial karena tidak </w:t>
      </w:r>
      <w:r>
        <w:rPr>
          <w:rFonts w:ascii="Times New Roman" w:eastAsia="Times New Roman" w:hAnsi="Times New Roman" w:cs="Times New Roman"/>
          <w:sz w:val="24"/>
          <w:szCs w:val="24"/>
        </w:rPr>
        <w:lastRenderedPageBreak/>
        <w:t xml:space="preserve">menjelaskan apakah kata kepercayaan merujuk pada keyakinan dalam agama resmi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atau juga mencakup kepercayaan dan aliran di luar agama resmi.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29 ayat (2) dapat ditafsirkan sebagai berikut:</w:t>
      </w:r>
    </w:p>
    <w:p w:rsidR="00610167" w:rsidRDefault="00500B92">
      <w:pPr>
        <w:numPr>
          <w:ilvl w:val="0"/>
          <w:numId w:val="3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“Kepercayaannya itu” merujuk pada keyakinan dan praktik ibadah dalam lingkup agama resmi yang telah disebutkan sebelumnya.</w:t>
      </w:r>
    </w:p>
    <w:p w:rsidR="00610167" w:rsidRDefault="00500B92">
      <w:pPr>
        <w:numPr>
          <w:ilvl w:val="0"/>
          <w:numId w:val="3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“Kepercayaannya itu” mencakup pula aliran kepercayaan dan keyakinan di luar agama resmi yang dianut oleh sebagian penduduk Indonesia.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“kepercayaannya itu” menimbulkan penafsiran ganda mengenai cakupan jaminan negara terhadap kebebasan beragama dan berkeyakinan bagi penduduk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31</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30 ayat (1) menyatakan “Tiap-tiap warga negara berhak dan wajib ikut serta dalam usaha pembelaan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Frasa “ikut serta dalam usaha pembelaan negara” mengalami ketaksaan leksikal karena tidak menjelaskan bentuk konkret partisipasi yang dimaksud, apakah berupa keikutsertaan dalam kemiliteran atau bentuk kontribusi lain.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Maka secara kebahasaan, Pasal 30 ayat (1) dapat ditafsirkan sebagai berikut:</w:t>
      </w:r>
    </w:p>
    <w:p w:rsidR="00610167" w:rsidRDefault="00500B92">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Ikut serta dalam usaha pembelaan negara berarti setiap warga negara wajib mengikuti pelatihan dan tugas kemiliteran apabila diperlukan.</w:t>
      </w:r>
    </w:p>
    <w:p w:rsidR="00610167" w:rsidRDefault="00500B92">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Ikut serta dalam usaha pembelaan negara dapat diwujudkan melalui berbagai bentuk kontribusi non-militer, seperti menjaga ketertiban, ketahanan ekonomi, atau bela negara dalam bentuk lain.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“ikut serta dalam usaha pembelaan negara” menimbulkan penafsiran ganda mengenai bentuk kewajiban warga negara dalam usaha pembelaan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32</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31 ayat (2) menyatakan “Pemerintah mengusahakan dan menyelenggarakan satu sistem pengajaran nasional, yang diatur dengan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“satu sistem pengajaran nasional” mengalami ketaksaan leksikal karena tidak menjelaskan apakah kata satu berarti keseragaman penuh di seluruh wilayah, atau hanya berupa satu kerangka dasar yang dapat disesuaikan dengan kondisi daerah.</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Maka secara kebahasaan, Pasal 31 ayat (2) dapat ditafsirkan sebagai berikut:</w:t>
      </w:r>
    </w:p>
    <w:p w:rsidR="00610167" w:rsidRDefault="00500B92">
      <w:pPr>
        <w:numPr>
          <w:ilvl w:val="0"/>
          <w:numId w:val="3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Satu sistem pengajaran nasional berarti seluruh kurikulum, metode, dan standar pendidikan harus seragam di seluruh wilayah Indonesia.</w:t>
      </w:r>
    </w:p>
    <w:p w:rsidR="00610167" w:rsidRDefault="00500B92">
      <w:pPr>
        <w:numPr>
          <w:ilvl w:val="0"/>
          <w:numId w:val="3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Satu sistem pengajaran nasional berarti adanya kerangka dan standar dasar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namun pelaksanaannya dapat disesuaikan dengan kondisi dan kebutuhan masing-masing daerah.</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“satu sistem pengajaran nasional” menimbulkan penafsiran ganda mengenai tingkat keseragaman yang harus diterapkan dalam penyelenggaraan pendidikan di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33</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32 menyatakan “Pemerintah memajukan kebudayaan nasional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“kebudayaan nasional Indonesia” mengalami ketaksaan leksikal karena tidak menjelaskan apakah kebudayaan nasional merupakan satu kebudayaan baru bersama, atau merupakan kumpulan kebudayaan daerah yang dipelihara dan dikembangkan.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32 dapat ditafsirkan sebagai berikut:</w:t>
      </w:r>
    </w:p>
    <w:p w:rsidR="00610167" w:rsidRDefault="00500B92">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Kebudayaan nasional Indonesia adalah satu bentuk kebudayaan baru bersama yang menjadi identitas seluruh bangsa Indonesia.</w:t>
      </w:r>
    </w:p>
    <w:p w:rsidR="00610167" w:rsidRDefault="00500B92">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Kebudayaan nasional Indonesia adalah keseluruhan kebudayaan daerah yang beragam, yang masing-masing dipelihara dan dimajukan sebagai bagian dari kekayaan bangsa.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“kebudayaan nasional Indonesia” menimbulkan penafsiran ganda mengenai bentuk dan cakupan kebudayaan yang menjadi tanggung jawab pemerintah untuk dimajukan.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34</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33 ayat (2) menyatakan “Cabang-cabang produksi yang penting bagi negara dan yang menguasai hajat hidup orang banyak dikuasai oleh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“menguasai hajat hidup orang banyak” mengalami ketaksaan referensial karena tidak menyebutkan secara spesifik sektor atau bidang usaha </w:t>
      </w:r>
      <w:proofErr w:type="gramStart"/>
      <w:r>
        <w:rPr>
          <w:rFonts w:ascii="Times New Roman" w:eastAsia="Times New Roman" w:hAnsi="Times New Roman" w:cs="Times New Roman"/>
          <w:sz w:val="24"/>
          <w:szCs w:val="24"/>
        </w:rPr>
        <w:t>apa</w:t>
      </w:r>
      <w:proofErr w:type="gramEnd"/>
      <w:r>
        <w:rPr>
          <w:rFonts w:ascii="Times New Roman" w:eastAsia="Times New Roman" w:hAnsi="Times New Roman" w:cs="Times New Roman"/>
          <w:sz w:val="24"/>
          <w:szCs w:val="24"/>
        </w:rPr>
        <w:t xml:space="preserve"> saja yang termasuk dalam kategori tersebut.</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33 ayat (2) dapat ditafsirkan sebagai berikut:</w:t>
      </w:r>
    </w:p>
    <w:p w:rsidR="00610167" w:rsidRDefault="00500B92">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Cabang produksi yang menguasai hajat hidup orang banyak hanya terbatas pada sektor-sektor </w:t>
      </w:r>
      <w:r>
        <w:rPr>
          <w:rFonts w:ascii="Times New Roman" w:eastAsia="Times New Roman" w:hAnsi="Times New Roman" w:cs="Times New Roman"/>
          <w:sz w:val="24"/>
          <w:szCs w:val="24"/>
        </w:rPr>
        <w:lastRenderedPageBreak/>
        <w:t>strategis seperti energi, air, dan transportasi publik.</w:t>
      </w:r>
    </w:p>
    <w:p w:rsidR="00610167" w:rsidRDefault="00500B92">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Cabang produksi yang menguasai hajat hidup orang banyak mencakup seluruh sektor yang berdampak langsung pada kebutuhan dasar masyarakat secara luas, termasuk pangan, kesehatan, dan komunikasi.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“menguasai hajat hidup orang banyak” menimbulkan penafsiran ganda mengenai batas sektor usaha yang harus dikuasai oleh negara dalam rangka mewujudkan kesejahteraan rakyat.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35</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34 menyatakan “Fakir </w:t>
      </w:r>
      <w:proofErr w:type="gramStart"/>
      <w:r>
        <w:rPr>
          <w:rFonts w:ascii="Times New Roman" w:eastAsia="Times New Roman" w:hAnsi="Times New Roman" w:cs="Times New Roman"/>
          <w:i/>
          <w:iCs/>
          <w:sz w:val="24"/>
          <w:szCs w:val="24"/>
        </w:rPr>
        <w:t>miskin</w:t>
      </w:r>
      <w:proofErr w:type="gramEnd"/>
      <w:r>
        <w:rPr>
          <w:rFonts w:ascii="Times New Roman" w:eastAsia="Times New Roman" w:hAnsi="Times New Roman" w:cs="Times New Roman"/>
          <w:i/>
          <w:iCs/>
          <w:sz w:val="24"/>
          <w:szCs w:val="24"/>
        </w:rPr>
        <w:t xml:space="preserve"> dan anak-anak yang terlantar dipelihara oleh negara.”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Kata “dipelihara” mengalami ketaksaan leksikal karena tidak menjelaskan bentuk konkret tanggung jawab negara, apakah berupa pemenuhan kebutuhan dasar secara langsung, penyediaan fasilitas, atau program pemberdayaan.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34 dapat ditafsirkan sebagai berikut:</w:t>
      </w:r>
    </w:p>
    <w:p w:rsidR="00610167" w:rsidRDefault="00500B92">
      <w:pPr>
        <w:numPr>
          <w:ilvl w:val="0"/>
          <w:numId w:val="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“Dipelihara” berarti negara memberikan santunan dan pemenuhan kebutuhan dasar secara langsung kepada fakir miskin dan anak terlantar.</w:t>
      </w:r>
    </w:p>
    <w:p w:rsidR="00610167" w:rsidRDefault="00500B92">
      <w:pPr>
        <w:numPr>
          <w:ilvl w:val="0"/>
          <w:numId w:val="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“Dipelihara” berarti negara menyediakan fasilitas dan program pemberdayaan, seperti pendidikan dan pelatihan kerja, agar fakir miskin dan anak terlantar dapat hidup mandiri.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kata “dipelihara” menimbulkan penafsiran ganda mengenai bentuk dan batas tanggung jawab negara terhadap fakir miskin dan anak-anak yang terlantar.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36</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35 menyatakan “Bendera Negara Indonesia ialah Sang Merah Putih.”</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“Sang Merah Putih” mengalami ketaksaan referensial karena tidak menjelaskan spesifikasi teknis bendera, seperti ukuran, proporsi, maupun jenis warna yang dimaksud.</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35 dapat ditafsirkan sebagai berikut:</w:t>
      </w:r>
    </w:p>
    <w:p w:rsidR="00610167" w:rsidRDefault="00500B92">
      <w:pPr>
        <w:numPr>
          <w:ilvl w:val="0"/>
          <w:numId w:val="3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“Sang Merah Putih” hanya menetapkan susunan dua warna merah dan putih sebagai identitas, tanpa mengatur ukuran atau proporsi tertentu.</w:t>
      </w:r>
    </w:p>
    <w:p w:rsidR="00610167" w:rsidRDefault="00500B92">
      <w:pPr>
        <w:numPr>
          <w:ilvl w:val="0"/>
          <w:numId w:val="3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 Merah Putih” mengandung makna adanya standar </w:t>
      </w:r>
      <w:proofErr w:type="gramStart"/>
      <w:r>
        <w:rPr>
          <w:rFonts w:ascii="Times New Roman" w:eastAsia="Times New Roman" w:hAnsi="Times New Roman" w:cs="Times New Roman"/>
          <w:sz w:val="24"/>
          <w:szCs w:val="24"/>
        </w:rPr>
        <w:t>baku</w:t>
      </w:r>
      <w:proofErr w:type="gramEnd"/>
      <w:r>
        <w:rPr>
          <w:rFonts w:ascii="Times New Roman" w:eastAsia="Times New Roman" w:hAnsi="Times New Roman" w:cs="Times New Roman"/>
          <w:sz w:val="24"/>
          <w:szCs w:val="24"/>
        </w:rPr>
        <w:t xml:space="preserve"> tertentu mengenai ukuran dan proporsi bendera negara yang harus dipatuhi dalam penggunaannya.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Merujuk pada makna tersebut, frasa “Sang Merah Putih” menimbulkan penafsiran ganda mengenai perlu atau tidaknya pengaturan lebih lanjut terhadap spesifikasi teknis bendera negara dalam undang-undang.</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37</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36 menyatakan “Bahasa Negara ialah Bahasa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“Bahasa Negara” mengalami ketaksaan leksikal karena tidak menjelaskan cakupan penggunaannya, apakah hanya wajib digunakan dalam urusan resmi kenegaraan atau juga wajib digunakan dalam seluruh aspek kehidupan masyarakat.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36 dapat ditafsirkan sebagai berikut:</w:t>
      </w:r>
    </w:p>
    <w:p w:rsidR="00610167" w:rsidRDefault="00500B92">
      <w:pPr>
        <w:numPr>
          <w:ilvl w:val="0"/>
          <w:numId w:val="2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“Bahasa Negara” berarti Bahasa Indonesia wajib digunakan dalam seluruh urusan resmi kenegaraan, seperti dokumen hukum dan pidato resmi.</w:t>
      </w:r>
    </w:p>
    <w:p w:rsidR="00610167" w:rsidRDefault="00500B92">
      <w:pPr>
        <w:numPr>
          <w:ilvl w:val="0"/>
          <w:numId w:val="2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“Bahasa Negara” berarti Bahasa Indonesia menjadi bahasa pemersatu yang wajib digunakan dalam seluruh aspek kehidupan publik, termasuk pendidikan, media, dan interaksi sosial lintas daerah.</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Merujuk pada makna tersebut, frasa “Bahasa Negara” menimbulkan penafsiran ganda mengenai luas atau </w:t>
      </w:r>
      <w:r>
        <w:rPr>
          <w:rFonts w:ascii="Times New Roman" w:eastAsia="Times New Roman" w:hAnsi="Times New Roman" w:cs="Times New Roman"/>
          <w:sz w:val="24"/>
          <w:szCs w:val="24"/>
        </w:rPr>
        <w:lastRenderedPageBreak/>
        <w:t>sempitnya kewajiban penggunaan Bahasa Indonesia dalam kehidupan bernegara dan bermasyarakat.</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38</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Pasal 37 menyatakan “Untuk mengubah Undang-Undang Dasar sekurang-kurangnya 2/3 daripada jumlah anggota Majelis Permusyawaratan Rakyat harus hadir.</w:t>
      </w:r>
      <w:proofErr w:type="gramEnd"/>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Putusan diambil dengan persetujuan sekurang-kurangnya 2/3 daripada jumlah anggota yang hadir.”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“jumlah anggota Majelis Permusyawaratan Rakyat” mengalami ketaksaan referensial karena tidak menjelaskan apakah dasar penghitungan 2/3 menggunakan jumlah anggota yang seharusnya ada sesuai aturan, atau jumlah anggota yang secara faktual menjabat pada saat itu.</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Pasal 37 dapat ditafsirkan sebagai berikut:</w:t>
      </w:r>
    </w:p>
    <w:p w:rsidR="00610167" w:rsidRDefault="00500B92">
      <w:pPr>
        <w:numPr>
          <w:ilvl w:val="0"/>
          <w:numId w:val="3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Dasar penghitungan 2/3 menggunakan jumlah anggota MPR sesuai dengan susunan yang ditetapkan undang-undang, tanpa memperhitungkan kekosongan kursi yang mungkin terjadi.</w:t>
      </w:r>
    </w:p>
    <w:p w:rsidR="00610167" w:rsidRDefault="00500B92">
      <w:pPr>
        <w:numPr>
          <w:ilvl w:val="0"/>
          <w:numId w:val="3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Dasar penghitungan 2/3 menggunakan jumlah anggota MPR yang secara nyata menjabat pada saat itu, sehingga kekosongan kursi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memengaruhi jumlah kuorum dan persetujuan yang dibutuhkan.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Merujuk pada makna tersebut, frasa “jumlah anggota Majelis Permusyawaratan Rakyat” menimbulkan penafsiran ganda mengenai dasar penghitungan kuorum dan persetujuan dalam proses perubahan Undang-Undang Dasar.</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39</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Aturan Peralihan, Pasal I menyatakan “Panitia Persiapan Kemerdekaan Indonesia mengatur dan menyelenggarakan pemindahan kekuasaan pemerintahan kepada Pemerintah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Frasa “mengatur dan menyelenggarakan pemindahan kekuasaan” mengalami ketaksaan referensial karena tidak menjelaskan secara spesifik ruang lingkup, tahapan, maupun batas waktu proses pemindahan kekuasaan yang dimaksud.</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Aturan Peralihan, Pasal I dapat ditafsirkan sebagai berikut:</w:t>
      </w:r>
    </w:p>
    <w:p w:rsidR="00610167" w:rsidRDefault="00500B92">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Pemindahan kekuasaan hanya mencakup peralihan kewenangan pemerintahan pusat secara administratif dari pemerintah pendudukan kepada Pemerintah Indonesia.</w:t>
      </w:r>
    </w:p>
    <w:p w:rsidR="00610167" w:rsidRDefault="00500B92">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Pemindahan kekuasaan mencakup seluruh aspek pemerintahan, termasuk aparatur, aset, dan struktur kelembagaan di tingkat pusat maupun daerah, yang harus dialihkan secara bertahap kepada Pemerintah Indonesia.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“mengatur dan menyelenggarakan pemindahan kekuasaan” menimbulkan penafsiran ganda mengenai cakupan dan batas waktu pelaksanaan tugas Panitia Persiapan Kemerdekaan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40</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Aturan Peralihan, Pasal II menyatakan “Segala badan negara dan peraturan yang ada masih berlaku selama belum diadakan yang baru menurut Undang-Undang Dasar ini.”</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“selama belum diadakan yang baru” mengalami ketaksaan temporal karena tidak menetapkan batas waktu transisi, sehingga masa berlakunya badan dan peraturan lama dapat berlangsung dalam jangka waktu yang tidak ditentukan.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Aturan Peralihan, Pasal II dapat ditafsirkan sebagai berikut:</w:t>
      </w:r>
    </w:p>
    <w:p w:rsidR="00610167" w:rsidRDefault="00500B92">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Badan dan peraturan lama hanya berlaku dalam jangka waktu transisi yang singkat, sampai </w:t>
      </w:r>
      <w:r>
        <w:rPr>
          <w:rFonts w:ascii="Times New Roman" w:eastAsia="Times New Roman" w:hAnsi="Times New Roman" w:cs="Times New Roman"/>
          <w:sz w:val="24"/>
          <w:szCs w:val="24"/>
        </w:rPr>
        <w:lastRenderedPageBreak/>
        <w:t>terbentuknya badan dan peraturan baru dalam waktu dekat setelah kemerdekaan.</w:t>
      </w:r>
    </w:p>
    <w:p w:rsidR="00610167" w:rsidRDefault="00500B92">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Badan dan peraturan lama dapat tetap berlaku dalam jangka waktu yang lama, selama belum ada penggantian baru meskipun proses tersebut memakan waktu bertahun-tahun.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“selama belum diadakan yang baru” menimbulkan penafsiran ganda mengenai jangka waktu masa transisi keberlakuan badan negara dan peraturan yang berasal dari masa sebelum kemerdekaan.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41</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Aturan Peralihan, Pasal III menyatakan “Untuk pertama kali Presiden dan Wakil Presiden dipilih oleh Panitia Persiapan Kemerdekaan Indonesia.”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“untuk pertama kali” mengalami ketaksaan referensial karena tidak menjelaskan apakah ketentuan tersebut hanya berlaku satu kali pada awal kemerdekaan, atau dapat berlaku kembali apabila terjadi kekosongan jabatan Presiden dan Wakil Presiden sebelum mekanisme pemilihan tetap terbentuk.</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Aturan Peralihan, Pasal III dapat ditafsirkan sebagai berikut:</w:t>
      </w:r>
    </w:p>
    <w:p w:rsidR="00610167" w:rsidRDefault="00500B92">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“Untuk pertama kali” hanya berlaku satu kali, yaitu pada saat pembentukan pemerintahan pertama Republik Indonesia.</w:t>
      </w:r>
    </w:p>
    <w:p w:rsidR="00610167" w:rsidRDefault="00500B92">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pertama kali” dapat berlaku kembali apabila terjadi kekosongan jabatan Presiden dan Wakil Presiden sebelum lembaga pemilihan tetap sebagaimana diatur dalam Undang-Undang Dasar terbentuk.</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“untuk pertama kali” menimbulkan penafsiran ganda mengenai keberlakuan ketentuan pemilihan Presiden dan Wakil Presiden oleh Panitia Persiapan Kemerdekaan Indonesia.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42</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Aturan Peralihan, Pasal IV menyatakan “Sebelum Majelis Permusyawaratan Rakyat, Dewan Perwakilan Rakyat, dan Dewan Pertimbangan Agung dibentuk menurut Undang-Undang Dasar ini, segala kekuasaan dijalankan oleh Presiden dengan bantuan sebuah Komite Nasional.”</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Frasa “dengan bantuan sebuah Komite Nasional” mengalami ketaksaan leksikal karena tidak menjelaskan kedudukan Komite Nasional, apakah hanya sebagai lembaga penasihat Presiden atau sebagai lembaga yang turut menjalankan sebagian kekuasaan legislatif.</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Maka secara kebahasaan, Aturan Peralihan, Pasal IV dapat ditafsirkan sebagai berikut:</w:t>
      </w:r>
    </w:p>
    <w:p w:rsidR="00610167" w:rsidRDefault="00500B92">
      <w:pPr>
        <w:numPr>
          <w:ilvl w:val="0"/>
          <w:numId w:val="1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Komite Nasional berkedudukan sebagai lembaga penasihat yang membantu Presiden tanpa memiliki kewenangan untuk mengambil keputusan secara mandiri.</w:t>
      </w:r>
    </w:p>
    <w:p w:rsidR="00610167" w:rsidRDefault="00500B92">
      <w:pPr>
        <w:numPr>
          <w:ilvl w:val="0"/>
          <w:numId w:val="1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Komite Nasional berkedudukan sebagai lembaga yang turut menjalankan sebagian fungsi legislatif bersama Presiden selama lembaga negara tetap belum terbentuk.</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“dengan bantuan sebuah Komite Nasional” menimbulkan penafsiran ganda mengenai kedudukan dan kewenangan Komite Nasional dalam menjalankan kekuasaan negara pada masa peralihan.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43</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Aturan Tambahan ayat (2) menyatakan “Dalam enam bulan sesudah berakhirnya peperangan Asia Timur Raya, Presiden Republik Indonesia mengatur dan menyelenggarakan segala hal yang ditetapkan dalam Undang-Undang Dasar ini dan segala peraturan-peraturan yang lain.”</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Frasa “berakhirnya peperangan Asia Timur Raya” mengalami ketaksaan </w:t>
      </w:r>
      <w:r>
        <w:rPr>
          <w:rFonts w:ascii="Times New Roman" w:eastAsia="Times New Roman" w:hAnsi="Times New Roman" w:cs="Times New Roman"/>
          <w:sz w:val="24"/>
          <w:szCs w:val="24"/>
        </w:rPr>
        <w:lastRenderedPageBreak/>
        <w:t>referensial karena peristiwa tersebut merupakan rujukan pada konteks situasi tertentu pada masa penyusunan Undang-Undang Dasar, sehingga relevansinya terhadap pelaksanaan ketentuan pada masa berikutnya menjadi tidak jelas.</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Aturan Tambahan ayat (2) dapat ditafsirkan sebagai berikut:</w:t>
      </w:r>
    </w:p>
    <w:p w:rsidR="00610167" w:rsidRDefault="00500B92">
      <w:pPr>
        <w:numPr>
          <w:ilvl w:val="0"/>
          <w:numId w:val="2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Frasa tersebut hanya relevan sebagai penanda waktu pada masa penyusunan Undang-Undang Dasar dan tidak lagi memiliki implikasi hukum setelah peristiwa tersebut berlalu.</w:t>
      </w:r>
    </w:p>
    <w:p w:rsidR="00610167" w:rsidRDefault="00500B92">
      <w:pPr>
        <w:numPr>
          <w:ilvl w:val="0"/>
          <w:numId w:val="2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Frasa tersebut dimaksudkan sebagai dasar bagi Presiden untuk segera mengatur dan menyelenggarakan ketentuan Undang-Undang Dasar tanpa menunggu kondisi tertentu, sehingga tetap relevan sebagai dorongan pelaksanaan secepatnya.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Merujuk pada makna tersebut, frasa “berakhirnya peperangan Asia Timur Raya” menimbulkan penafsiran ganda mengenai relevansi dan kekuatan hukum ketentuan tersebut bagi pelaksanaan Undang-Undang Dasar pada masa selanjutnya.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44</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Aturan Tambahan ayat (1) menyatakan “Dalam enam bulan setelah Majelis Permusyawaratan Rakyat dibentuk, Majelis itu bersidang untuk menetapkan Undang-Undang Dasar.”</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“menetapkan Undang-Undang Dasar” mengalami ketaksaan leksikal karena tidak menjelaskan apakah kata menetapkan berarti mengesahkan kembali Undang-Undang Dasar yang telah berlaku, atau menyusun Undang-Undang Dasar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baru.</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secara kebahasaan, Aturan Tambahan ayat (1) dapat ditafsirkan sebagai berikut:</w:t>
      </w:r>
    </w:p>
    <w:p w:rsidR="00610167" w:rsidRDefault="00500B92">
      <w:pPr>
        <w:numPr>
          <w:ilvl w:val="0"/>
          <w:numId w:val="3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“Menetapkan Undang-Undang Dasar” berarti Majelis Permusyawaratan Rakyat mengesahkan kembali atau menegaskan keberlakuan Undang-Undang Dasar yang telah ada.</w:t>
      </w:r>
    </w:p>
    <w:p w:rsidR="00610167" w:rsidRDefault="00500B92">
      <w:pPr>
        <w:numPr>
          <w:ilvl w:val="0"/>
          <w:numId w:val="3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“Menetapkan Undang-Undang Dasar” berarti Majelis Permusyawaratan Rakyat menyusun dan merumuskan Undang-Undang Dasar yang baru untuk menggantikan yang berlaku sebelumnya.</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after="20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Merujuk pada makna tersebut, frasa “menetapkan Undang-Undang Dasar” menimbulkan penafsiran ganda mengenai tugas Majelis </w:t>
      </w:r>
      <w:r>
        <w:rPr>
          <w:rFonts w:ascii="Times New Roman" w:eastAsia="Times New Roman" w:hAnsi="Times New Roman" w:cs="Times New Roman"/>
          <w:sz w:val="24"/>
          <w:szCs w:val="24"/>
        </w:rPr>
        <w:lastRenderedPageBreak/>
        <w:t>Permusyawaratan Rakyat, yaitu sebagai pengesah atau sebagai penyusun Undang-Undang Dasar.</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SIMPULAN</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Berdasarkan hasil penelitian terhadap Undang-Undang Dasar Republik Indonesia Tahun 1945 sebelum amandemen, ditemukan sejumlah pasal yang mengandung ketaksaan makna atau ambiguitas referensial.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Ketaksaan tersebut terdapat pada penggunaan frasa dan klausa, maupun kalimat yang memungkinkan munculnya lebih dari satu penafsiran.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Beberapa bentuk ketaksaan yang ditemukan menunjukkan bahwa redaksi konstitusi sebelum amandemen masih memberikan ruang interpretasi yang luas terhadap pembagian kekuasaan, pelaksanaan kedaulatan rakyat, serta kedudukan dan kewenangan lembaga negara.</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Melalui analisis semantik dengan pendekatan deskriptif kualitatif, penelitian ini menunjukkan bahwa ketaksaan makna dalam teks konstitusi berpotensi menimbulkan perbedaan penafsiran di kalangan penyelenggara negara, aparat penegak hukum, maupun masyarakat.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Kondisi tersebut dapat berdampak pada berkurangnya kepastian hukum dan membuka peluang terjadinya </w:t>
      </w:r>
      <w:r>
        <w:rPr>
          <w:rFonts w:ascii="Times New Roman" w:eastAsia="Times New Roman" w:hAnsi="Times New Roman" w:cs="Times New Roman"/>
          <w:sz w:val="24"/>
          <w:szCs w:val="24"/>
        </w:rPr>
        <w:lastRenderedPageBreak/>
        <w:t>penyalahgunaan interpretasi terhadap ketentuan konstitusional.</w:t>
      </w:r>
      <w:proofErr w:type="gramEnd"/>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Oleh karena itu, kejelasan dan ketepatan penggunaan bahasa dalam peraturan perundang-undangan, khususnya konstitusi, menjadi hal yang sangat penting.</w:t>
      </w:r>
      <w:proofErr w:type="gramEnd"/>
      <w:r>
        <w:rPr>
          <w:rFonts w:ascii="Times New Roman" w:eastAsia="Times New Roman" w:hAnsi="Times New Roman" w:cs="Times New Roman"/>
          <w:sz w:val="24"/>
          <w:szCs w:val="24"/>
        </w:rPr>
        <w:t xml:space="preserve"> Temuan penelitian ini memperkuat pandangan bahwa penyempurnaan redaksi UUD 1945 melalui amandemen merupakan langkah yang relevan untuk mengurangi potensi multitafsir serta mendukung terwujudnya sistem ketatanegaraan yang lebih demokratis, transparan, dan menjamin kepastian hukum.</w:t>
      </w:r>
    </w:p>
    <w:p w:rsidR="00610167" w:rsidRDefault="00500B92">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DAFTAR PUSTAKA</w:t>
      </w:r>
    </w:p>
    <w:p w:rsidR="00610167" w:rsidRDefault="00500B92">
      <w:pPr>
        <w:spacing w:after="20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Adhari, A. (2019). </w:t>
      </w:r>
      <w:proofErr w:type="gramStart"/>
      <w:r>
        <w:rPr>
          <w:rFonts w:ascii="Times New Roman" w:eastAsia="Times New Roman" w:hAnsi="Times New Roman" w:cs="Times New Roman"/>
          <w:sz w:val="24"/>
          <w:szCs w:val="24"/>
        </w:rPr>
        <w:t>Ambiguitas Pengaturan Keadaan Bahaya Dalam Sistem Ketatanegaraan Indonesia.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Dialogia </w:t>
      </w:r>
      <w:proofErr w:type="gramStart"/>
      <w:r>
        <w:rPr>
          <w:rFonts w:ascii="Times New Roman" w:eastAsia="Times New Roman" w:hAnsi="Times New Roman" w:cs="Times New Roman"/>
          <w:i/>
          <w:iCs/>
          <w:sz w:val="24"/>
          <w:szCs w:val="24"/>
        </w:rPr>
        <w:t>Iuridica ,</w:t>
      </w:r>
      <w:proofErr w:type="gramEnd"/>
      <w:r>
        <w:rPr>
          <w:rFonts w:ascii="Times New Roman" w:eastAsia="Times New Roman" w:hAnsi="Times New Roman" w:cs="Times New Roman"/>
          <w:i/>
          <w:iCs/>
          <w:sz w:val="24"/>
          <w:szCs w:val="24"/>
        </w:rPr>
        <w:t xml:space="preserve"> 11</w:t>
      </w:r>
      <w:r>
        <w:rPr>
          <w:rFonts w:ascii="Times New Roman" w:eastAsia="Times New Roman" w:hAnsi="Times New Roman" w:cs="Times New Roman"/>
          <w:sz w:val="24"/>
          <w:szCs w:val="24"/>
        </w:rPr>
        <w:t xml:space="preserve"> (1), 43-61.</w:t>
      </w:r>
    </w:p>
    <w:p w:rsidR="00610167" w:rsidRDefault="00500B92">
      <w:pPr>
        <w:spacing w:after="20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Angraini</w:t>
      </w:r>
      <w:proofErr w:type="gramStart"/>
      <w:r>
        <w:rPr>
          <w:rFonts w:ascii="Times New Roman" w:eastAsia="Times New Roman" w:hAnsi="Times New Roman" w:cs="Times New Roman"/>
          <w:sz w:val="24"/>
          <w:szCs w:val="24"/>
        </w:rPr>
        <w:t>,  D</w:t>
      </w:r>
      <w:proofErr w:type="gramEnd"/>
      <w:r>
        <w:rPr>
          <w:rFonts w:ascii="Times New Roman" w:eastAsia="Times New Roman" w:hAnsi="Times New Roman" w:cs="Times New Roman"/>
          <w:sz w:val="24"/>
          <w:szCs w:val="24"/>
        </w:rPr>
        <w:t>.  A.</w:t>
      </w:r>
      <w:proofErr w:type="gramStart"/>
      <w:r>
        <w:rPr>
          <w:rFonts w:ascii="Times New Roman" w:eastAsia="Times New Roman" w:hAnsi="Times New Roman" w:cs="Times New Roman"/>
          <w:sz w:val="24"/>
          <w:szCs w:val="24"/>
        </w:rPr>
        <w:t>,  Ulya</w:t>
      </w:r>
      <w:proofErr w:type="gramEnd"/>
      <w:r>
        <w:rPr>
          <w:rFonts w:ascii="Times New Roman" w:eastAsia="Times New Roman" w:hAnsi="Times New Roman" w:cs="Times New Roman"/>
          <w:sz w:val="24"/>
          <w:szCs w:val="24"/>
        </w:rPr>
        <w:t>,  A.,  &amp;  Noviyanti,  S.  (2024)</w:t>
      </w:r>
      <w:proofErr w:type="gramStart"/>
      <w:r>
        <w:rPr>
          <w:rFonts w:ascii="Times New Roman" w:eastAsia="Times New Roman" w:hAnsi="Times New Roman" w:cs="Times New Roman"/>
          <w:sz w:val="24"/>
          <w:szCs w:val="24"/>
        </w:rPr>
        <w:t>.  Struktur</w:t>
      </w:r>
      <w:proofErr w:type="gramEnd"/>
      <w:r>
        <w:rPr>
          <w:rFonts w:ascii="Times New Roman" w:eastAsia="Times New Roman" w:hAnsi="Times New Roman" w:cs="Times New Roman"/>
          <w:sz w:val="24"/>
          <w:szCs w:val="24"/>
        </w:rPr>
        <w:t xml:space="preserve"> Linguistik  Bahasa  Sintaksis dan Sematik. </w:t>
      </w:r>
      <w:proofErr w:type="gramStart"/>
      <w:r>
        <w:rPr>
          <w:rFonts w:ascii="Times New Roman" w:eastAsia="Times New Roman" w:hAnsi="Times New Roman" w:cs="Times New Roman"/>
          <w:i/>
          <w:iCs/>
          <w:sz w:val="24"/>
          <w:szCs w:val="24"/>
        </w:rPr>
        <w:t>Journal on Education, 7</w:t>
      </w:r>
      <w:r>
        <w:rPr>
          <w:rFonts w:ascii="Times New Roman" w:eastAsia="Times New Roman" w:hAnsi="Times New Roman" w:cs="Times New Roman"/>
          <w:sz w:val="24"/>
          <w:szCs w:val="24"/>
        </w:rPr>
        <w:t>(1), 6664–6675.</w:t>
      </w:r>
      <w:proofErr w:type="gramEnd"/>
      <w:r>
        <w:rPr>
          <w:rFonts w:ascii="Times New Roman" w:eastAsia="Times New Roman" w:hAnsi="Times New Roman" w:cs="Times New Roman"/>
          <w:sz w:val="24"/>
          <w:szCs w:val="24"/>
        </w:rPr>
        <w:t xml:space="preserve"> </w:t>
      </w:r>
    </w:p>
    <w:p w:rsidR="00610167" w:rsidRDefault="00500B92">
      <w:pPr>
        <w:spacing w:after="20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Chaer, A. (2007). </w:t>
      </w:r>
      <w:r>
        <w:rPr>
          <w:rFonts w:ascii="Times New Roman" w:eastAsia="Times New Roman" w:hAnsi="Times New Roman" w:cs="Times New Roman"/>
          <w:i/>
          <w:iCs/>
          <w:sz w:val="24"/>
          <w:szCs w:val="24"/>
        </w:rPr>
        <w:t>Linguistik Umum (ed. 3)</w:t>
      </w:r>
      <w:r>
        <w:rPr>
          <w:rFonts w:ascii="Times New Roman" w:eastAsia="Times New Roman" w:hAnsi="Times New Roman" w:cs="Times New Roman"/>
          <w:sz w:val="24"/>
          <w:szCs w:val="24"/>
        </w:rPr>
        <w:t>. Jakarta: Rineka Cipta.</w:t>
      </w:r>
    </w:p>
    <w:p w:rsidR="00610167" w:rsidRDefault="00500B92">
      <w:pPr>
        <w:spacing w:after="20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Haty, K., &amp; Ningsih, A.R. (2025).</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Ambiguitas Makna dalam Bab </w:t>
      </w:r>
      <w:r>
        <w:rPr>
          <w:rFonts w:ascii="Times New Roman" w:eastAsia="Times New Roman" w:hAnsi="Times New Roman" w:cs="Times New Roman"/>
          <w:sz w:val="24"/>
          <w:szCs w:val="24"/>
        </w:rPr>
        <w:lastRenderedPageBreak/>
        <w:t>IV Perkawinan Kitab Undang-Undang Hukum Perdata Indonesia.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i/>
          <w:iCs/>
          <w:sz w:val="24"/>
          <w:szCs w:val="24"/>
        </w:rPr>
        <w:t>Lingua Franca Jurnal Bahasa dan Sastra, 4</w:t>
      </w:r>
      <w:r>
        <w:rPr>
          <w:rFonts w:ascii="Times New Roman" w:eastAsia="Times New Roman" w:hAnsi="Times New Roman" w:cs="Times New Roman"/>
          <w:sz w:val="24"/>
          <w:szCs w:val="24"/>
        </w:rPr>
        <w:t>(1), 1-14.</w:t>
      </w:r>
      <w:proofErr w:type="gramEnd"/>
    </w:p>
    <w:p w:rsidR="00610167" w:rsidRDefault="00500B92">
      <w:pPr>
        <w:spacing w:after="20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Isnaeni, B. (2021). </w:t>
      </w:r>
      <w:proofErr w:type="gramStart"/>
      <w:r>
        <w:rPr>
          <w:rFonts w:ascii="Times New Roman" w:eastAsia="Times New Roman" w:hAnsi="Times New Roman" w:cs="Times New Roman"/>
          <w:sz w:val="24"/>
          <w:szCs w:val="24"/>
        </w:rPr>
        <w:t>Trias Politica dan Pemaknaannya dalam Struktur Kelembagaan Negara dalam UUD 1945 Pasca Amandemen.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Jurnal Magister Ilmu </w:t>
      </w:r>
      <w:proofErr w:type="gramStart"/>
      <w:r>
        <w:rPr>
          <w:rFonts w:ascii="Times New Roman" w:eastAsia="Times New Roman" w:hAnsi="Times New Roman" w:cs="Times New Roman"/>
          <w:i/>
          <w:iCs/>
          <w:sz w:val="24"/>
          <w:szCs w:val="24"/>
        </w:rPr>
        <w:t>Hukum ,</w:t>
      </w:r>
      <w:proofErr w:type="gramEnd"/>
      <w:r>
        <w:rPr>
          <w:rFonts w:ascii="Times New Roman" w:eastAsia="Times New Roman" w:hAnsi="Times New Roman" w:cs="Times New Roman"/>
          <w:i/>
          <w:iCs/>
          <w:sz w:val="24"/>
          <w:szCs w:val="24"/>
        </w:rPr>
        <w:t xml:space="preserve"> 6 </w:t>
      </w:r>
      <w:r>
        <w:rPr>
          <w:rFonts w:ascii="Times New Roman" w:eastAsia="Times New Roman" w:hAnsi="Times New Roman" w:cs="Times New Roman"/>
          <w:sz w:val="24"/>
          <w:szCs w:val="24"/>
        </w:rPr>
        <w:t xml:space="preserve">(2), 78. </w:t>
      </w:r>
    </w:p>
    <w:p w:rsidR="00610167" w:rsidRDefault="00500B92">
      <w:pPr>
        <w:spacing w:after="20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Nurhamidah, J. M., Pamungkas, B. P., &amp; Hakim, F. (2024).</w:t>
      </w:r>
      <w:proofErr w:type="gramEnd"/>
      <w:r>
        <w:rPr>
          <w:rFonts w:ascii="Times New Roman" w:eastAsia="Times New Roman" w:hAnsi="Times New Roman" w:cs="Times New Roman"/>
          <w:sz w:val="24"/>
          <w:szCs w:val="24"/>
        </w:rPr>
        <w:t xml:space="preserve"> Eksplorasi Ambiguitas Makna dalam Lirik Lagu Membasuh: Sebuah Pendekatan Semantik dengan Makna Kontekstual. </w:t>
      </w:r>
      <w:r>
        <w:rPr>
          <w:rFonts w:ascii="Times New Roman" w:eastAsia="Times New Roman" w:hAnsi="Times New Roman" w:cs="Times New Roman"/>
          <w:i/>
          <w:iCs/>
          <w:sz w:val="24"/>
          <w:szCs w:val="24"/>
        </w:rPr>
        <w:t>Morfologi: Jurnal Ilmu Pendidikan, Bahasa, Sastra dan Budaya</w:t>
      </w:r>
      <w:r>
        <w:rPr>
          <w:rFonts w:ascii="Times New Roman" w:eastAsia="Times New Roman" w:hAnsi="Times New Roman" w:cs="Times New Roman"/>
          <w:sz w:val="24"/>
          <w:szCs w:val="24"/>
        </w:rPr>
        <w:t>, 2(6), 311–318.</w:t>
      </w:r>
    </w:p>
    <w:p w:rsidR="00610167" w:rsidRDefault="00500B92">
      <w:pPr>
        <w:spacing w:after="20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Nurhayati, N., Mayasari, E., Nu'ma, A.N.F., &amp; Laksana, Y.D. (2022).</w:t>
      </w:r>
      <w:proofErr w:type="gramEnd"/>
      <w:r>
        <w:rPr>
          <w:rFonts w:ascii="Times New Roman" w:eastAsia="Times New Roman" w:hAnsi="Times New Roman" w:cs="Times New Roman"/>
          <w:sz w:val="24"/>
          <w:szCs w:val="24"/>
        </w:rPr>
        <w:t xml:space="preserve"> Kedaulatan Negara Indonesia: Makna dan Implementasi Sebelum dan Sesudah Amandemen UUD 1945. </w:t>
      </w:r>
      <w:r>
        <w:rPr>
          <w:rFonts w:ascii="Times New Roman" w:eastAsia="Times New Roman" w:hAnsi="Times New Roman" w:cs="Times New Roman"/>
          <w:i/>
          <w:iCs/>
          <w:sz w:val="24"/>
          <w:szCs w:val="24"/>
        </w:rPr>
        <w:t xml:space="preserve">Amnesti Jurnal </w:t>
      </w:r>
      <w:proofErr w:type="gramStart"/>
      <w:r>
        <w:rPr>
          <w:rFonts w:ascii="Times New Roman" w:eastAsia="Times New Roman" w:hAnsi="Times New Roman" w:cs="Times New Roman"/>
          <w:i/>
          <w:iCs/>
          <w:sz w:val="24"/>
          <w:szCs w:val="24"/>
        </w:rPr>
        <w:t>Hukum</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4 </w:t>
      </w:r>
      <w:r>
        <w:rPr>
          <w:rFonts w:ascii="Times New Roman" w:eastAsia="Times New Roman" w:hAnsi="Times New Roman" w:cs="Times New Roman"/>
          <w:sz w:val="24"/>
          <w:szCs w:val="24"/>
        </w:rPr>
        <w:t xml:space="preserve">(1), 44-61. </w:t>
      </w:r>
    </w:p>
    <w:p w:rsidR="00610167" w:rsidRDefault="00500B92">
      <w:pPr>
        <w:spacing w:after="20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Riani, R., &amp; Pratamanti, E. (2018).</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Multitafsir Penggunaan Bahasa Indonesia pada Undang-Undang Republik Indonesia Nomor 22 Tahun 2009 tentang Lalu Lintas </w:t>
      </w:r>
      <w:r>
        <w:rPr>
          <w:rFonts w:ascii="Times New Roman" w:eastAsia="Times New Roman" w:hAnsi="Times New Roman" w:cs="Times New Roman"/>
          <w:sz w:val="24"/>
          <w:szCs w:val="24"/>
        </w:rPr>
        <w:lastRenderedPageBreak/>
        <w:t>dan Angkutan Jalan.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Seminar Nasional Struktural 2018</w:t>
      </w:r>
      <w:proofErr w:type="gramStart"/>
      <w:r>
        <w:rPr>
          <w:rFonts w:ascii="Times New Roman" w:eastAsia="Times New Roman" w:hAnsi="Times New Roman" w:cs="Times New Roman"/>
          <w:sz w:val="24"/>
          <w:szCs w:val="24"/>
        </w:rPr>
        <w:t>,  147</w:t>
      </w:r>
      <w:proofErr w:type="gramEnd"/>
      <w:r>
        <w:rPr>
          <w:rFonts w:ascii="Times New Roman" w:eastAsia="Times New Roman" w:hAnsi="Times New Roman" w:cs="Times New Roman"/>
          <w:sz w:val="24"/>
          <w:szCs w:val="24"/>
        </w:rPr>
        <w:t>-158.</w:t>
      </w:r>
    </w:p>
    <w:p w:rsidR="00610167" w:rsidRDefault="00500B92">
      <w:pPr>
        <w:spacing w:after="20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Suat, M. S. (2023). Putusan Mahkamah Konstitusi yang Disertai dengan Pendapat </w:t>
      </w:r>
      <w:proofErr w:type="gramStart"/>
      <w:r>
        <w:rPr>
          <w:rFonts w:ascii="Times New Roman" w:eastAsia="Times New Roman" w:hAnsi="Times New Roman" w:cs="Times New Roman"/>
          <w:sz w:val="24"/>
          <w:szCs w:val="24"/>
        </w:rPr>
        <w:t>Hakim  Berbeda</w:t>
      </w:r>
      <w:proofErr w:type="gramEnd"/>
      <w:r>
        <w:rPr>
          <w:rFonts w:ascii="Times New Roman" w:eastAsia="Times New Roman" w:hAnsi="Times New Roman" w:cs="Times New Roman"/>
          <w:sz w:val="24"/>
          <w:szCs w:val="24"/>
        </w:rPr>
        <w:t xml:space="preserve"> (Dissenting Opinion) dalam Pemenuhan Prinsip-Prinsip Keadilan. </w:t>
      </w:r>
      <w:r>
        <w:rPr>
          <w:rFonts w:ascii="Times New Roman" w:eastAsia="Times New Roman" w:hAnsi="Times New Roman" w:cs="Times New Roman"/>
          <w:i/>
          <w:iCs/>
          <w:sz w:val="24"/>
          <w:szCs w:val="24"/>
        </w:rPr>
        <w:t>Al Qodiri: Jurnal Pendidikan, Sosial Dan Keagamaan, 20</w:t>
      </w:r>
      <w:r>
        <w:rPr>
          <w:rFonts w:ascii="Times New Roman" w:eastAsia="Times New Roman" w:hAnsi="Times New Roman" w:cs="Times New Roman"/>
          <w:sz w:val="24"/>
          <w:szCs w:val="24"/>
        </w:rPr>
        <w:t xml:space="preserve">(3), 731–741. </w:t>
      </w:r>
    </w:p>
    <w:p w:rsidR="00610167" w:rsidRDefault="00500B92">
      <w:pPr>
        <w:spacing w:after="20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Supena, C.C. (2023). </w:t>
      </w:r>
      <w:proofErr w:type="gramStart"/>
      <w:r>
        <w:rPr>
          <w:rFonts w:ascii="Times New Roman" w:eastAsia="Times New Roman" w:hAnsi="Times New Roman" w:cs="Times New Roman"/>
          <w:sz w:val="24"/>
          <w:szCs w:val="24"/>
        </w:rPr>
        <w:t>Tinjauan tentang Konsep Negara Hukum Indonesia pada Masa Sebelum dan Sesudah Amandemen Undang-Undang Dasar Negara Republik Indonesia Tahun 1945.</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Moderat: Jurnal Ilmiah Ilmu </w:t>
      </w:r>
      <w:proofErr w:type="gramStart"/>
      <w:r>
        <w:rPr>
          <w:rFonts w:ascii="Times New Roman" w:eastAsia="Times New Roman" w:hAnsi="Times New Roman" w:cs="Times New Roman"/>
          <w:i/>
          <w:iCs/>
          <w:sz w:val="24"/>
          <w:szCs w:val="24"/>
        </w:rPr>
        <w:t>Pemerintahan ,</w:t>
      </w:r>
      <w:proofErr w:type="gramEnd"/>
      <w:r>
        <w:rPr>
          <w:rFonts w:ascii="Times New Roman" w:eastAsia="Times New Roman" w:hAnsi="Times New Roman" w:cs="Times New Roman"/>
          <w:i/>
          <w:iCs/>
          <w:sz w:val="24"/>
          <w:szCs w:val="24"/>
        </w:rPr>
        <w:t xml:space="preserve"> 9 </w:t>
      </w:r>
      <w:r>
        <w:rPr>
          <w:rFonts w:ascii="Times New Roman" w:eastAsia="Times New Roman" w:hAnsi="Times New Roman" w:cs="Times New Roman"/>
          <w:sz w:val="24"/>
          <w:szCs w:val="24"/>
        </w:rPr>
        <w:t>(2), 372-388.</w:t>
      </w:r>
    </w:p>
    <w:p w:rsidR="00610167" w:rsidRDefault="00500B92">
      <w:pPr>
        <w:spacing w:after="20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Ullmann, S. (1972).</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Semantics: An Introduction to the Science of Meaning.</w:t>
      </w:r>
      <w:r>
        <w:rPr>
          <w:rFonts w:ascii="Times New Roman" w:eastAsia="Times New Roman" w:hAnsi="Times New Roman" w:cs="Times New Roman"/>
          <w:sz w:val="24"/>
          <w:szCs w:val="24"/>
        </w:rPr>
        <w:t xml:space="preserve"> Oxford: Basil Blackwell</w:t>
      </w:r>
    </w:p>
    <w:p w:rsidR="00610167" w:rsidRDefault="00500B92">
      <w:pPr>
        <w:spacing w:after="20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Utami, N.H., Gustianingsih, Bangun, P. (2025).</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Ambiguitas Leksikal pada Undang-Undang RI Nomor 11 Tahun 2020 Tentang Cipta Kerja.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Jurnal Basastra: Jurnal Kajian Bahasa dan Sastra Indonesia, 15</w:t>
      </w:r>
      <w:r>
        <w:rPr>
          <w:rFonts w:ascii="Times New Roman" w:eastAsia="Times New Roman" w:hAnsi="Times New Roman" w:cs="Times New Roman"/>
          <w:sz w:val="24"/>
          <w:szCs w:val="24"/>
        </w:rPr>
        <w:t>(1), 74-82.</w:t>
      </w:r>
    </w:p>
    <w:p w:rsidR="00610167" w:rsidRDefault="00500B92">
      <w:pPr>
        <w:spacing w:after="20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Wahyumi, P. (2017). </w:t>
      </w:r>
      <w:proofErr w:type="gramStart"/>
      <w:r>
        <w:rPr>
          <w:rFonts w:ascii="Times New Roman" w:eastAsia="Times New Roman" w:hAnsi="Times New Roman" w:cs="Times New Roman"/>
          <w:sz w:val="24"/>
          <w:szCs w:val="24"/>
        </w:rPr>
        <w:t>Struktur Ketatanegaraan RI berdasarkan Pancasila dan UUD 1945 (Sebelum dan Sesudah Amandemen).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Bangun </w:t>
      </w:r>
      <w:proofErr w:type="gramStart"/>
      <w:r>
        <w:rPr>
          <w:rFonts w:ascii="Times New Roman" w:eastAsia="Times New Roman" w:hAnsi="Times New Roman" w:cs="Times New Roman"/>
          <w:i/>
          <w:iCs/>
          <w:sz w:val="24"/>
          <w:szCs w:val="24"/>
        </w:rPr>
        <w:t>Rekaprima ,</w:t>
      </w:r>
      <w:proofErr w:type="gramEnd"/>
      <w:r>
        <w:rPr>
          <w:rFonts w:ascii="Times New Roman" w:eastAsia="Times New Roman" w:hAnsi="Times New Roman" w:cs="Times New Roman"/>
          <w:i/>
          <w:iCs/>
          <w:sz w:val="24"/>
          <w:szCs w:val="24"/>
        </w:rPr>
        <w:t xml:space="preserve"> 1</w:t>
      </w:r>
      <w:r>
        <w:rPr>
          <w:rFonts w:ascii="Times New Roman" w:eastAsia="Times New Roman" w:hAnsi="Times New Roman" w:cs="Times New Roman"/>
          <w:sz w:val="24"/>
          <w:szCs w:val="24"/>
        </w:rPr>
        <w:t xml:space="preserve"> (2), 41-55.</w:t>
      </w:r>
    </w:p>
    <w:p w:rsidR="00610167" w:rsidRDefault="00500B92">
      <w:pPr>
        <w:spacing w:after="200"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Yuliana, B.D., Cahyani, F., &amp; Fatmawati.</w:t>
      </w:r>
      <w:proofErr w:type="gramEnd"/>
      <w:r>
        <w:rPr>
          <w:rFonts w:ascii="Times New Roman" w:eastAsia="Times New Roman" w:hAnsi="Times New Roman" w:cs="Times New Roman"/>
          <w:sz w:val="24"/>
          <w:szCs w:val="24"/>
        </w:rPr>
        <w:t xml:space="preserve"> (2025). Makna Leksikal dan Gramatikal dalam Kajian Semantik pada Lirik Lagu "Lihat, Dengar, Rasakan" Karya Sheila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7. </w:t>
      </w:r>
      <w:r>
        <w:rPr>
          <w:rFonts w:ascii="Times New Roman" w:eastAsia="Times New Roman" w:hAnsi="Times New Roman" w:cs="Times New Roman"/>
          <w:i/>
          <w:iCs/>
          <w:sz w:val="24"/>
          <w:szCs w:val="24"/>
        </w:rPr>
        <w:t>Morfologi: Jurnal Ilmu Pendidikan, Bahasa, Sastra dan Budaya, 3</w:t>
      </w:r>
      <w:r>
        <w:rPr>
          <w:rFonts w:ascii="Times New Roman" w:eastAsia="Times New Roman" w:hAnsi="Times New Roman" w:cs="Times New Roman"/>
          <w:sz w:val="24"/>
          <w:szCs w:val="24"/>
        </w:rPr>
        <w:t>(4), 157-169.</w:t>
      </w:r>
    </w:p>
    <w:p w:rsidR="00610167" w:rsidRDefault="00500B92">
      <w:pPr>
        <w:spacing w:line="360" w:lineRule="auto"/>
        <w:ind w:left="720" w:hanging="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Yulistyowati, E., Pujiastuti, E., &amp; Mulyani, T. (2016).</w:t>
      </w:r>
      <w:proofErr w:type="gramEnd"/>
      <w:r>
        <w:rPr>
          <w:rFonts w:ascii="Times New Roman" w:eastAsia="Times New Roman" w:hAnsi="Times New Roman" w:cs="Times New Roman"/>
          <w:sz w:val="24"/>
          <w:szCs w:val="24"/>
        </w:rPr>
        <w:t xml:space="preserve"> Penerapan Konsep Trias Politica dalam Sistem Pemerintahan Republik Indonesia: Studi Komparatif atas Undang Undang Dasar Tahun 1945 Sebelum dan Sesudah Amandemen. </w:t>
      </w:r>
      <w:r>
        <w:rPr>
          <w:rFonts w:ascii="Times New Roman" w:eastAsia="Times New Roman" w:hAnsi="Times New Roman" w:cs="Times New Roman"/>
          <w:i/>
          <w:iCs/>
          <w:sz w:val="24"/>
          <w:szCs w:val="24"/>
        </w:rPr>
        <w:t xml:space="preserve">Jurnal Dinamika Sosial </w:t>
      </w:r>
      <w:proofErr w:type="gramStart"/>
      <w:r>
        <w:rPr>
          <w:rFonts w:ascii="Times New Roman" w:eastAsia="Times New Roman" w:hAnsi="Times New Roman" w:cs="Times New Roman"/>
          <w:i/>
          <w:iCs/>
          <w:sz w:val="24"/>
          <w:szCs w:val="24"/>
        </w:rPr>
        <w:t>Budaya ,</w:t>
      </w:r>
      <w:proofErr w:type="gramEnd"/>
      <w:r>
        <w:rPr>
          <w:rFonts w:ascii="Times New Roman" w:eastAsia="Times New Roman" w:hAnsi="Times New Roman" w:cs="Times New Roman"/>
          <w:i/>
          <w:iCs/>
          <w:sz w:val="24"/>
          <w:szCs w:val="24"/>
        </w:rPr>
        <w:t xml:space="preserve"> 18</w:t>
      </w:r>
      <w:r>
        <w:rPr>
          <w:rFonts w:ascii="Times New Roman" w:eastAsia="Times New Roman" w:hAnsi="Times New Roman" w:cs="Times New Roman"/>
          <w:sz w:val="24"/>
          <w:szCs w:val="24"/>
        </w:rPr>
        <w:t xml:space="preserve"> (2), 328-338. </w:t>
      </w:r>
    </w:p>
    <w:sectPr w:rsidR="00610167">
      <w:type w:val="continuous"/>
      <w:pgSz w:w="11906" w:h="16838"/>
      <w:pgMar w:top="1701" w:right="1701" w:bottom="1418" w:left="1701" w:header="1134" w:footer="709" w:gutter="0"/>
      <w:cols w:num="2" w:space="720" w:equalWidth="0">
        <w:col w:w="3968" w:space="567"/>
        <w:col w:w="3968"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56F4" w:rsidRDefault="006D56F4">
      <w:r>
        <w:separator/>
      </w:r>
    </w:p>
  </w:endnote>
  <w:endnote w:type="continuationSeparator" w:id="0">
    <w:p w:rsidR="006D56F4" w:rsidRDefault="006D5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C79D11E-BFB5-447C-A6EA-DEBD8AC88E5B}"/>
    <w:embedBold r:id="rId2" w:fontKey="{790C1A5E-ACDB-4269-BD65-AAF6C63D86F1}"/>
  </w:font>
  <w:font w:name="Cambria">
    <w:panose1 w:val="02040503050406030204"/>
    <w:charset w:val="00"/>
    <w:family w:val="roman"/>
    <w:pitch w:val="variable"/>
    <w:sig w:usb0="E00006FF" w:usb1="420024FF" w:usb2="02000000" w:usb3="00000000" w:csb0="0000019F" w:csb1="00000000"/>
    <w:embedRegular r:id="rId3" w:fontKey="{E3AAC9A3-3ACA-426B-9F1F-D8450FF7200D}"/>
    <w:embedItalic r:id="rId4" w:fontKey="{460DE551-DBF0-430B-BFF5-A18DE4CC25FE}"/>
  </w:font>
  <w:font w:name="Garamond">
    <w:panose1 w:val="02020404030301010803"/>
    <w:charset w:val="00"/>
    <w:family w:val="roman"/>
    <w:pitch w:val="variable"/>
    <w:sig w:usb0="00000287" w:usb1="00000000" w:usb2="00000000" w:usb3="00000000" w:csb0="0000009F" w:csb1="00000000"/>
    <w:embedRegular r:id="rId5" w:fontKey="{57F7D5C5-D7FE-4170-BCCF-58789D1B6570}"/>
    <w:embedBold r:id="rId6" w:fontKey="{AEFA1BBD-77E9-42AB-BA9F-617A2CC6C4B6}"/>
  </w:font>
  <w:font w:name="Calibri">
    <w:panose1 w:val="020F0502020204030204"/>
    <w:charset w:val="00"/>
    <w:family w:val="swiss"/>
    <w:pitch w:val="variable"/>
    <w:sig w:usb0="E4002EFF" w:usb1="C200247B" w:usb2="00000009" w:usb3="00000000" w:csb0="000001FF" w:csb1="00000000"/>
    <w:embedRegular r:id="rId7" w:fontKey="{4BB32F32-B2C2-4EFB-A560-774232EA4E4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56F4" w:rsidRDefault="006D56F4">
      <w:r>
        <w:separator/>
      </w:r>
    </w:p>
  </w:footnote>
  <w:footnote w:type="continuationSeparator" w:id="0">
    <w:p w:rsidR="006D56F4" w:rsidRDefault="006D56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167" w:rsidRDefault="00500B92">
    <w:pPr>
      <w:pBdr>
        <w:top w:val="none" w:sz="0" w:space="0" w:color="000000"/>
        <w:left w:val="none" w:sz="0" w:space="0" w:color="000000"/>
        <w:bottom w:val="none" w:sz="0" w:space="0" w:color="000000"/>
        <w:right w:val="none" w:sz="0" w:space="0" w:color="000000"/>
        <w:between w:val="none" w:sz="0" w:space="0" w:color="000000"/>
      </w:pBdr>
      <w:tabs>
        <w:tab w:val="right" w:pos="8505"/>
      </w:tabs>
      <w:jc w:val="both"/>
      <w:rPr>
        <w:rFonts w:ascii="Garamond" w:eastAsia="Garamond" w:hAnsi="Garamond" w:cs="Garamond"/>
        <w:color w:val="000000"/>
        <w:sz w:val="24"/>
        <w:szCs w:val="24"/>
      </w:rPr>
    </w:pPr>
    <w:r>
      <w:rPr>
        <w:rFonts w:ascii="Garamond" w:eastAsia="Garamond" w:hAnsi="Garamond" w:cs="Garamond"/>
        <w:b/>
        <w:bCs/>
        <w:color w:val="000000"/>
        <w:sz w:val="24"/>
        <w:szCs w:val="24"/>
      </w:rPr>
      <w:t xml:space="preserve">JURNAL DIDACTIQUE BAHASA INDONESIA         </w:t>
    </w:r>
    <w:r>
      <w:rPr>
        <w:rFonts w:ascii="Garamond" w:eastAsia="Garamond" w:hAnsi="Garamond" w:cs="Garamond"/>
        <w:color w:val="000000"/>
        <w:sz w:val="24"/>
        <w:szCs w:val="24"/>
      </w:rPr>
      <w:t>Bulan Tahun, Vol.xx No.xx</w:t>
    </w:r>
    <w:r>
      <w:rPr>
        <w:rFonts w:ascii="Garamond" w:eastAsia="Garamond" w:hAnsi="Garamond" w:cs="Garamond"/>
        <w:color w:val="000000"/>
        <w:sz w:val="24"/>
        <w:szCs w:val="24"/>
      </w:rPr>
      <w:tab/>
    </w:r>
  </w:p>
  <w:p w:rsidR="00610167" w:rsidRDefault="00500B92">
    <w:pPr>
      <w:pBdr>
        <w:top w:val="none" w:sz="0" w:space="0" w:color="000000"/>
        <w:left w:val="none" w:sz="0" w:space="0" w:color="000000"/>
        <w:bottom w:val="none" w:sz="0" w:space="0" w:color="000000"/>
        <w:right w:val="none" w:sz="0" w:space="0" w:color="000000"/>
        <w:between w:val="none" w:sz="0" w:space="0" w:color="000000"/>
      </w:pBdr>
      <w:jc w:val="both"/>
      <w:rPr>
        <w:color w:val="000000"/>
      </w:rPr>
    </w:pP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noProof/>
      </w:rPr>
      <mc:AlternateContent>
        <mc:Choice Requires="wpg">
          <w:drawing>
            <wp:anchor distT="0" distB="0" distL="114300" distR="114300" simplePos="0" relativeHeight="251659264" behindDoc="0" locked="0" layoutInCell="1" hidden="0" allowOverlap="1">
              <wp:simplePos x="0" y="0"/>
              <wp:positionH relativeFrom="column">
                <wp:posOffset>26671</wp:posOffset>
              </wp:positionH>
              <wp:positionV relativeFrom="paragraph">
                <wp:posOffset>20955</wp:posOffset>
              </wp:positionV>
              <wp:extent cx="5400040" cy="38100"/>
              <wp:effectExtent l="0" t="0" r="0" b="0"/>
              <wp:wrapNone/>
              <wp:docPr id="1" name="Straight Arrow Connector 1"/>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26671</wp:posOffset>
              </wp:positionH>
              <wp:positionV relativeFrom="paragraph">
                <wp:posOffset>20955</wp:posOffset>
              </wp:positionV>
              <wp:extent cx="5400040" cy="381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400040" cy="38100"/>
                      </a:xfrm>
                      <a:prstGeom prst="rect"/>
                      <a:ln/>
                    </pic:spPr>
                  </pic:pic>
                </a:graphicData>
              </a:graphic>
            </wp:anchor>
          </w:drawing>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167" w:rsidRDefault="00500B92">
    <w:pPr>
      <w:pBdr>
        <w:top w:val="none" w:sz="0" w:space="0" w:color="000000"/>
        <w:left w:val="none" w:sz="0" w:space="0" w:color="000000"/>
        <w:bottom w:val="none" w:sz="0" w:space="0" w:color="000000"/>
        <w:right w:val="none" w:sz="0" w:space="0" w:color="000000"/>
        <w:between w:val="none" w:sz="0" w:space="0" w:color="000000"/>
      </w:pBdr>
      <w:tabs>
        <w:tab w:val="right" w:pos="8505"/>
      </w:tabs>
      <w:ind w:right="-285"/>
      <w:jc w:val="both"/>
      <w:rPr>
        <w:rFonts w:ascii="Garamond" w:eastAsia="Garamond" w:hAnsi="Garamond" w:cs="Garamond"/>
        <w:color w:val="000000"/>
        <w:sz w:val="24"/>
        <w:szCs w:val="24"/>
      </w:rPr>
    </w:pPr>
    <w:r>
      <w:rPr>
        <w:rFonts w:ascii="Garamond" w:eastAsia="Garamond" w:hAnsi="Garamond" w:cs="Garamond"/>
        <w:b/>
        <w:bCs/>
        <w:color w:val="000000"/>
        <w:sz w:val="24"/>
        <w:szCs w:val="24"/>
      </w:rPr>
      <w:t>JURNAL DIDACTIQUE BAHASA INDONESIA</w:t>
    </w:r>
    <w:r>
      <w:rPr>
        <w:rFonts w:ascii="Garamond" w:eastAsia="Garamond" w:hAnsi="Garamond" w:cs="Garamond"/>
        <w:color w:val="000000"/>
        <w:sz w:val="24"/>
        <w:szCs w:val="24"/>
      </w:rPr>
      <w:t xml:space="preserve">          Bulan Tahun, Vol.xx No.xx</w:t>
    </w:r>
  </w:p>
  <w:p w:rsidR="00610167" w:rsidRDefault="00500B92">
    <w:pPr>
      <w:pBdr>
        <w:top w:val="none" w:sz="0" w:space="0" w:color="000000"/>
        <w:left w:val="none" w:sz="0" w:space="0" w:color="000000"/>
        <w:bottom w:val="none" w:sz="0" w:space="0" w:color="000000"/>
        <w:right w:val="none" w:sz="0" w:space="0" w:color="000000"/>
        <w:between w:val="none" w:sz="0" w:space="0" w:color="000000"/>
      </w:pBdr>
      <w:jc w:val="both"/>
      <w:rPr>
        <w:color w:val="00000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26671</wp:posOffset>
              </wp:positionH>
              <wp:positionV relativeFrom="paragraph">
                <wp:posOffset>20955</wp:posOffset>
              </wp:positionV>
              <wp:extent cx="5400040" cy="38100"/>
              <wp:effectExtent l="0" t="0" r="0" b="0"/>
              <wp:wrapNone/>
              <wp:docPr id="3" name="Straight Arrow Connector 3"/>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26671</wp:posOffset>
              </wp:positionH>
              <wp:positionV relativeFrom="paragraph">
                <wp:posOffset>20955</wp:posOffset>
              </wp:positionV>
              <wp:extent cx="5400040" cy="381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00040" cy="3810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23B93"/>
    <w:multiLevelType w:val="multilevel"/>
    <w:tmpl w:val="4DAAF7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03841F30"/>
    <w:multiLevelType w:val="multilevel"/>
    <w:tmpl w:val="70B67A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nsid w:val="0928704D"/>
    <w:multiLevelType w:val="multilevel"/>
    <w:tmpl w:val="2174E6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0D6D3BDD"/>
    <w:multiLevelType w:val="multilevel"/>
    <w:tmpl w:val="A5C86D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nsid w:val="133F07F5"/>
    <w:multiLevelType w:val="multilevel"/>
    <w:tmpl w:val="E94E0F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nsid w:val="138877DD"/>
    <w:multiLevelType w:val="multilevel"/>
    <w:tmpl w:val="6FB020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nsid w:val="1414056C"/>
    <w:multiLevelType w:val="multilevel"/>
    <w:tmpl w:val="79F2C7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nsid w:val="17C47470"/>
    <w:multiLevelType w:val="multilevel"/>
    <w:tmpl w:val="74FA1A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nsid w:val="18594941"/>
    <w:multiLevelType w:val="multilevel"/>
    <w:tmpl w:val="ECC24F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nsid w:val="19B27898"/>
    <w:multiLevelType w:val="multilevel"/>
    <w:tmpl w:val="6F5A2F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nsid w:val="19ED5A64"/>
    <w:multiLevelType w:val="multilevel"/>
    <w:tmpl w:val="1450A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nsid w:val="1A986BF0"/>
    <w:multiLevelType w:val="multilevel"/>
    <w:tmpl w:val="24C4F1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nsid w:val="1E9565F8"/>
    <w:multiLevelType w:val="multilevel"/>
    <w:tmpl w:val="730E59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nsid w:val="1ED4583E"/>
    <w:multiLevelType w:val="multilevel"/>
    <w:tmpl w:val="131EA1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nsid w:val="21E63CFC"/>
    <w:multiLevelType w:val="multilevel"/>
    <w:tmpl w:val="8228B8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24116483"/>
    <w:multiLevelType w:val="multilevel"/>
    <w:tmpl w:val="72DA8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nsid w:val="24F04C66"/>
    <w:multiLevelType w:val="multilevel"/>
    <w:tmpl w:val="761453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nsid w:val="26071217"/>
    <w:multiLevelType w:val="multilevel"/>
    <w:tmpl w:val="5C94FB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nsid w:val="26D43D2F"/>
    <w:multiLevelType w:val="multilevel"/>
    <w:tmpl w:val="CB8E97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nsid w:val="29FC5EB3"/>
    <w:multiLevelType w:val="multilevel"/>
    <w:tmpl w:val="8DAA35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nsid w:val="2AC620D4"/>
    <w:multiLevelType w:val="multilevel"/>
    <w:tmpl w:val="44EC9D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nsid w:val="33C82D17"/>
    <w:multiLevelType w:val="multilevel"/>
    <w:tmpl w:val="0F069F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nsid w:val="393619FE"/>
    <w:multiLevelType w:val="multilevel"/>
    <w:tmpl w:val="CDF825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nsid w:val="397E68AB"/>
    <w:multiLevelType w:val="multilevel"/>
    <w:tmpl w:val="4E3245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nsid w:val="3EEC331E"/>
    <w:multiLevelType w:val="multilevel"/>
    <w:tmpl w:val="A536A5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nsid w:val="3F4158B7"/>
    <w:multiLevelType w:val="multilevel"/>
    <w:tmpl w:val="744C27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nsid w:val="46514F1C"/>
    <w:multiLevelType w:val="multilevel"/>
    <w:tmpl w:val="5B1463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nsid w:val="467A0C72"/>
    <w:multiLevelType w:val="multilevel"/>
    <w:tmpl w:val="2E003B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nsid w:val="46DE02DD"/>
    <w:multiLevelType w:val="multilevel"/>
    <w:tmpl w:val="2592A0C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nsid w:val="4C831352"/>
    <w:multiLevelType w:val="multilevel"/>
    <w:tmpl w:val="B6322A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nsid w:val="5097012F"/>
    <w:multiLevelType w:val="multilevel"/>
    <w:tmpl w:val="3F3A1F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nsid w:val="50FF1AC9"/>
    <w:multiLevelType w:val="multilevel"/>
    <w:tmpl w:val="B4A486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nsid w:val="53C0393E"/>
    <w:multiLevelType w:val="multilevel"/>
    <w:tmpl w:val="9E5498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nsid w:val="5471331F"/>
    <w:multiLevelType w:val="multilevel"/>
    <w:tmpl w:val="F306CA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nsid w:val="55056063"/>
    <w:multiLevelType w:val="multilevel"/>
    <w:tmpl w:val="09BCC9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nsid w:val="58201DCB"/>
    <w:multiLevelType w:val="multilevel"/>
    <w:tmpl w:val="32A40A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nsid w:val="6A9E7F6F"/>
    <w:multiLevelType w:val="multilevel"/>
    <w:tmpl w:val="51FCAF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nsid w:val="6AB15F15"/>
    <w:multiLevelType w:val="multilevel"/>
    <w:tmpl w:val="D9D434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nsid w:val="6C1829C2"/>
    <w:multiLevelType w:val="multilevel"/>
    <w:tmpl w:val="4E9A02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nsid w:val="71726AD3"/>
    <w:multiLevelType w:val="multilevel"/>
    <w:tmpl w:val="CEF87A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nsid w:val="77E67366"/>
    <w:multiLevelType w:val="multilevel"/>
    <w:tmpl w:val="CBFE7E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nsid w:val="78716504"/>
    <w:multiLevelType w:val="multilevel"/>
    <w:tmpl w:val="3E06BD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nsid w:val="7B194B3E"/>
    <w:multiLevelType w:val="multilevel"/>
    <w:tmpl w:val="8CB439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nsid w:val="7DEC15DE"/>
    <w:multiLevelType w:val="multilevel"/>
    <w:tmpl w:val="42C6F4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5"/>
  </w:num>
  <w:num w:numId="2">
    <w:abstractNumId w:val="20"/>
  </w:num>
  <w:num w:numId="3">
    <w:abstractNumId w:val="35"/>
  </w:num>
  <w:num w:numId="4">
    <w:abstractNumId w:val="33"/>
  </w:num>
  <w:num w:numId="5">
    <w:abstractNumId w:val="24"/>
  </w:num>
  <w:num w:numId="6">
    <w:abstractNumId w:val="19"/>
  </w:num>
  <w:num w:numId="7">
    <w:abstractNumId w:val="15"/>
  </w:num>
  <w:num w:numId="8">
    <w:abstractNumId w:val="11"/>
  </w:num>
  <w:num w:numId="9">
    <w:abstractNumId w:val="38"/>
  </w:num>
  <w:num w:numId="10">
    <w:abstractNumId w:val="28"/>
  </w:num>
  <w:num w:numId="11">
    <w:abstractNumId w:val="8"/>
  </w:num>
  <w:num w:numId="12">
    <w:abstractNumId w:val="22"/>
  </w:num>
  <w:num w:numId="13">
    <w:abstractNumId w:val="3"/>
  </w:num>
  <w:num w:numId="14">
    <w:abstractNumId w:val="29"/>
  </w:num>
  <w:num w:numId="15">
    <w:abstractNumId w:val="25"/>
  </w:num>
  <w:num w:numId="16">
    <w:abstractNumId w:val="16"/>
  </w:num>
  <w:num w:numId="17">
    <w:abstractNumId w:val="40"/>
  </w:num>
  <w:num w:numId="18">
    <w:abstractNumId w:val="37"/>
  </w:num>
  <w:num w:numId="19">
    <w:abstractNumId w:val="21"/>
  </w:num>
  <w:num w:numId="20">
    <w:abstractNumId w:val="9"/>
  </w:num>
  <w:num w:numId="21">
    <w:abstractNumId w:val="13"/>
  </w:num>
  <w:num w:numId="22">
    <w:abstractNumId w:val="36"/>
  </w:num>
  <w:num w:numId="23">
    <w:abstractNumId w:val="7"/>
  </w:num>
  <w:num w:numId="24">
    <w:abstractNumId w:val="23"/>
  </w:num>
  <w:num w:numId="25">
    <w:abstractNumId w:val="42"/>
  </w:num>
  <w:num w:numId="26">
    <w:abstractNumId w:val="17"/>
  </w:num>
  <w:num w:numId="27">
    <w:abstractNumId w:val="34"/>
  </w:num>
  <w:num w:numId="28">
    <w:abstractNumId w:val="1"/>
  </w:num>
  <w:num w:numId="29">
    <w:abstractNumId w:val="31"/>
  </w:num>
  <w:num w:numId="30">
    <w:abstractNumId w:val="6"/>
  </w:num>
  <w:num w:numId="31">
    <w:abstractNumId w:val="26"/>
  </w:num>
  <w:num w:numId="32">
    <w:abstractNumId w:val="0"/>
  </w:num>
  <w:num w:numId="33">
    <w:abstractNumId w:val="2"/>
  </w:num>
  <w:num w:numId="34">
    <w:abstractNumId w:val="10"/>
  </w:num>
  <w:num w:numId="35">
    <w:abstractNumId w:val="32"/>
  </w:num>
  <w:num w:numId="36">
    <w:abstractNumId w:val="39"/>
  </w:num>
  <w:num w:numId="37">
    <w:abstractNumId w:val="14"/>
  </w:num>
  <w:num w:numId="38">
    <w:abstractNumId w:val="4"/>
  </w:num>
  <w:num w:numId="39">
    <w:abstractNumId w:val="30"/>
  </w:num>
  <w:num w:numId="40">
    <w:abstractNumId w:val="18"/>
  </w:num>
  <w:num w:numId="41">
    <w:abstractNumId w:val="12"/>
  </w:num>
  <w:num w:numId="42">
    <w:abstractNumId w:val="27"/>
  </w:num>
  <w:num w:numId="43">
    <w:abstractNumId w:val="41"/>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hideSpellingError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610167"/>
    <w:rsid w:val="002B7D48"/>
    <w:rsid w:val="00500B92"/>
    <w:rsid w:val="00610167"/>
    <w:rsid w:val="006D56F4"/>
    <w:rsid w:val="00B3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ind w:left="1800" w:hanging="1800"/>
      <w:jc w:val="both"/>
      <w:outlineLvl w:val="0"/>
    </w:pPr>
    <w:rPr>
      <w:rFonts w:ascii="Tahoma" w:eastAsia="Tahoma" w:hAnsi="Tahoma" w:cs="Tahoma"/>
      <w:b/>
      <w:bCs/>
      <w:sz w:val="24"/>
      <w:szCs w:val="24"/>
    </w:rPr>
  </w:style>
  <w:style w:type="paragraph" w:styleId="Heading2">
    <w:name w:val="heading 2"/>
    <w:basedOn w:val="Normal"/>
    <w:next w:val="Normal"/>
    <w:pPr>
      <w:keepNext/>
      <w:spacing w:line="360" w:lineRule="auto"/>
      <w:ind w:left="810"/>
      <w:jc w:val="both"/>
      <w:outlineLvl w:val="1"/>
    </w:pPr>
    <w:rPr>
      <w:sz w:val="24"/>
      <w:szCs w:val="24"/>
    </w:rPr>
  </w:style>
  <w:style w:type="paragraph" w:styleId="Heading3">
    <w:name w:val="heading 3"/>
    <w:basedOn w:val="Normal"/>
    <w:next w:val="Normal"/>
    <w:pPr>
      <w:keepNext/>
      <w:jc w:val="center"/>
      <w:outlineLvl w:val="2"/>
    </w:pPr>
    <w:rPr>
      <w:b/>
      <w:bCs/>
      <w:sz w:val="24"/>
      <w:szCs w:val="24"/>
    </w:rPr>
  </w:style>
  <w:style w:type="paragraph" w:styleId="Heading4">
    <w:name w:val="heading 4"/>
    <w:basedOn w:val="Normal"/>
    <w:next w:val="Normal"/>
    <w:pPr>
      <w:keepNext/>
      <w:spacing w:line="360" w:lineRule="auto"/>
      <w:ind w:firstLine="540"/>
      <w:jc w:val="both"/>
      <w:outlineLvl w:val="3"/>
    </w:pPr>
    <w:rPr>
      <w:sz w:val="24"/>
      <w:szCs w:val="24"/>
    </w:rPr>
  </w:style>
  <w:style w:type="paragraph" w:styleId="Heading5">
    <w:name w:val="heading 5"/>
    <w:basedOn w:val="Normal"/>
    <w:next w:val="Normal"/>
    <w:pPr>
      <w:keepNext/>
      <w:jc w:val="both"/>
      <w:outlineLvl w:val="4"/>
    </w:pPr>
    <w:rPr>
      <w:rFonts w:ascii="Tahoma" w:eastAsia="Tahoma" w:hAnsi="Tahoma" w:cs="Tahoma"/>
      <w:b/>
      <w:bCs/>
      <w:sz w:val="28"/>
      <w:szCs w:val="28"/>
    </w:rPr>
  </w:style>
  <w:style w:type="paragraph" w:styleId="Heading6">
    <w:name w:val="heading 6"/>
    <w:basedOn w:val="Normal"/>
    <w:next w:val="Normal"/>
    <w:pPr>
      <w:keepNext/>
      <w:spacing w:line="360" w:lineRule="auto"/>
      <w:jc w:val="center"/>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sz w:val="26"/>
      <w:szCs w:val="26"/>
    </w:rPr>
  </w:style>
  <w:style w:type="paragraph" w:styleId="Subtitle">
    <w:name w:val="Subtitle"/>
    <w:basedOn w:val="Normal"/>
    <w:next w:val="Normal"/>
    <w:pPr>
      <w:spacing w:after="200" w:line="276" w:lineRule="auto"/>
    </w:pPr>
    <w:rPr>
      <w:rFonts w:ascii="Cambria" w:eastAsia="Cambria" w:hAnsi="Cambria" w:cs="Cambria"/>
      <w:i/>
      <w:iCs/>
      <w:color w:val="4F81BD"/>
      <w:sz w:val="24"/>
      <w:szCs w:val="24"/>
    </w:rPr>
  </w:style>
  <w:style w:type="character" w:styleId="Hyperlink">
    <w:name w:val="Hyperlink"/>
    <w:basedOn w:val="DefaultParagraphFont"/>
    <w:uiPriority w:val="99"/>
    <w:unhideWhenUsed/>
    <w:rsid w:val="002B7D48"/>
    <w:rPr>
      <w:color w:val="0000FF" w:themeColor="hyperlink"/>
      <w:u w:val="single"/>
    </w:rPr>
  </w:style>
  <w:style w:type="paragraph" w:styleId="BalloonText">
    <w:name w:val="Balloon Text"/>
    <w:basedOn w:val="Normal"/>
    <w:link w:val="BalloonTextChar"/>
    <w:uiPriority w:val="99"/>
    <w:semiHidden/>
    <w:unhideWhenUsed/>
    <w:rsid w:val="002B7D48"/>
    <w:rPr>
      <w:rFonts w:ascii="Tahoma" w:hAnsi="Tahoma" w:cs="Tahoma"/>
      <w:sz w:val="16"/>
      <w:szCs w:val="16"/>
    </w:rPr>
  </w:style>
  <w:style w:type="character" w:customStyle="1" w:styleId="BalloonTextChar">
    <w:name w:val="Balloon Text Char"/>
    <w:basedOn w:val="DefaultParagraphFont"/>
    <w:link w:val="BalloonText"/>
    <w:uiPriority w:val="99"/>
    <w:semiHidden/>
    <w:rsid w:val="002B7D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ind w:left="1800" w:hanging="1800"/>
      <w:jc w:val="both"/>
      <w:outlineLvl w:val="0"/>
    </w:pPr>
    <w:rPr>
      <w:rFonts w:ascii="Tahoma" w:eastAsia="Tahoma" w:hAnsi="Tahoma" w:cs="Tahoma"/>
      <w:b/>
      <w:bCs/>
      <w:sz w:val="24"/>
      <w:szCs w:val="24"/>
    </w:rPr>
  </w:style>
  <w:style w:type="paragraph" w:styleId="Heading2">
    <w:name w:val="heading 2"/>
    <w:basedOn w:val="Normal"/>
    <w:next w:val="Normal"/>
    <w:pPr>
      <w:keepNext/>
      <w:spacing w:line="360" w:lineRule="auto"/>
      <w:ind w:left="810"/>
      <w:jc w:val="both"/>
      <w:outlineLvl w:val="1"/>
    </w:pPr>
    <w:rPr>
      <w:sz w:val="24"/>
      <w:szCs w:val="24"/>
    </w:rPr>
  </w:style>
  <w:style w:type="paragraph" w:styleId="Heading3">
    <w:name w:val="heading 3"/>
    <w:basedOn w:val="Normal"/>
    <w:next w:val="Normal"/>
    <w:pPr>
      <w:keepNext/>
      <w:jc w:val="center"/>
      <w:outlineLvl w:val="2"/>
    </w:pPr>
    <w:rPr>
      <w:b/>
      <w:bCs/>
      <w:sz w:val="24"/>
      <w:szCs w:val="24"/>
    </w:rPr>
  </w:style>
  <w:style w:type="paragraph" w:styleId="Heading4">
    <w:name w:val="heading 4"/>
    <w:basedOn w:val="Normal"/>
    <w:next w:val="Normal"/>
    <w:pPr>
      <w:keepNext/>
      <w:spacing w:line="360" w:lineRule="auto"/>
      <w:ind w:firstLine="540"/>
      <w:jc w:val="both"/>
      <w:outlineLvl w:val="3"/>
    </w:pPr>
    <w:rPr>
      <w:sz w:val="24"/>
      <w:szCs w:val="24"/>
    </w:rPr>
  </w:style>
  <w:style w:type="paragraph" w:styleId="Heading5">
    <w:name w:val="heading 5"/>
    <w:basedOn w:val="Normal"/>
    <w:next w:val="Normal"/>
    <w:pPr>
      <w:keepNext/>
      <w:jc w:val="both"/>
      <w:outlineLvl w:val="4"/>
    </w:pPr>
    <w:rPr>
      <w:rFonts w:ascii="Tahoma" w:eastAsia="Tahoma" w:hAnsi="Tahoma" w:cs="Tahoma"/>
      <w:b/>
      <w:bCs/>
      <w:sz w:val="28"/>
      <w:szCs w:val="28"/>
    </w:rPr>
  </w:style>
  <w:style w:type="paragraph" w:styleId="Heading6">
    <w:name w:val="heading 6"/>
    <w:basedOn w:val="Normal"/>
    <w:next w:val="Normal"/>
    <w:pPr>
      <w:keepNext/>
      <w:spacing w:line="360" w:lineRule="auto"/>
      <w:jc w:val="center"/>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sz w:val="26"/>
      <w:szCs w:val="26"/>
    </w:rPr>
  </w:style>
  <w:style w:type="paragraph" w:styleId="Subtitle">
    <w:name w:val="Subtitle"/>
    <w:basedOn w:val="Normal"/>
    <w:next w:val="Normal"/>
    <w:pPr>
      <w:spacing w:after="200" w:line="276" w:lineRule="auto"/>
    </w:pPr>
    <w:rPr>
      <w:rFonts w:ascii="Cambria" w:eastAsia="Cambria" w:hAnsi="Cambria" w:cs="Cambria"/>
      <w:i/>
      <w:iCs/>
      <w:color w:val="4F81BD"/>
      <w:sz w:val="24"/>
      <w:szCs w:val="24"/>
    </w:rPr>
  </w:style>
  <w:style w:type="character" w:styleId="Hyperlink">
    <w:name w:val="Hyperlink"/>
    <w:basedOn w:val="DefaultParagraphFont"/>
    <w:uiPriority w:val="99"/>
    <w:unhideWhenUsed/>
    <w:rsid w:val="002B7D48"/>
    <w:rPr>
      <w:color w:val="0000FF" w:themeColor="hyperlink"/>
      <w:u w:val="single"/>
    </w:rPr>
  </w:style>
  <w:style w:type="paragraph" w:styleId="BalloonText">
    <w:name w:val="Balloon Text"/>
    <w:basedOn w:val="Normal"/>
    <w:link w:val="BalloonTextChar"/>
    <w:uiPriority w:val="99"/>
    <w:semiHidden/>
    <w:unhideWhenUsed/>
    <w:rsid w:val="002B7D48"/>
    <w:rPr>
      <w:rFonts w:ascii="Tahoma" w:hAnsi="Tahoma" w:cs="Tahoma"/>
      <w:sz w:val="16"/>
      <w:szCs w:val="16"/>
    </w:rPr>
  </w:style>
  <w:style w:type="character" w:customStyle="1" w:styleId="BalloonTextChar">
    <w:name w:val="Balloon Text Char"/>
    <w:basedOn w:val="DefaultParagraphFont"/>
    <w:link w:val="BalloonText"/>
    <w:uiPriority w:val="99"/>
    <w:semiHidden/>
    <w:rsid w:val="002B7D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yoga@unej.ac.id"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40210402104@mail.unej.ac.id"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240210402034@mail.unej.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240210402001@mail.unej.ac.id"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yWIcQkwSrLCyNRQ9MPYcd0O9SA==">CgMxLjAyDmgucWg3cjdweGp6dXNnMg5oLnYxeGp4aHF2bzdtaDgAciExbi1wRjdBTkR1YkdLc2Y4Uk1oVGZ3bFV0c2VnUG9PWTY=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8247</Words>
  <Characters>47013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athorida faidana</dc:creator>
  <cp:lastModifiedBy>MyBook14E</cp:lastModifiedBy>
  <cp:revision>3</cp:revision>
  <dcterms:created xsi:type="dcterms:W3CDTF">2026-07-18T14:23:00Z</dcterms:created>
  <dcterms:modified xsi:type="dcterms:W3CDTF">2026-07-18T14:28:00Z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705F98CD14CAE96964BF1D6AC3DE378E_31</vt:lpwstr>
  </property>
  <property fmtid="{D5CDD505-2E9C-101B-9397-08002B2CF9AE}" pid="3" name="KSOProductBuildVer">
    <vt:lpwstr>1033-26.3.0</vt:lpwstr>
  </property>
</Properties>
</file>