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CB4FBB">
      <w:pPr>
        <w:spacing w:before="0" w:after="120"/>
        <w:jc w:val="center"/>
      </w:pPr>
      <w:r>
        <w:rPr>
          <w:rFonts w:ascii="Times New Roman" w:hAnsi="Times New Roman" w:eastAsia="Times New Roman" w:cs="Times New Roman"/>
          <w:b/>
          <w:bCs/>
          <w:sz w:val="28"/>
          <w:szCs w:val="28"/>
        </w:rPr>
        <w:t>KELAYAKAN FINANSIAL USAHATANI KENTANG DI PT FUJITAKE SHOUTEN Co., Ltd, NAGASAKI JEPANG</w:t>
      </w:r>
    </w:p>
    <w:p w14:paraId="5C256D5B">
      <w:pPr>
        <w:spacing w:before="40" w:after="40"/>
        <w:jc w:val="center"/>
      </w:pPr>
      <w:r>
        <w:rPr>
          <w:rFonts w:ascii="Times New Roman" w:hAnsi="Times New Roman" w:eastAsia="Times New Roman" w:cs="Times New Roman"/>
          <w:b/>
          <w:bCs/>
          <w:i/>
          <w:iCs/>
          <w:sz w:val="24"/>
          <w:szCs w:val="24"/>
        </w:rPr>
        <w:t>Financial Feasibility of Potato Farming at PT Fujitake Shouten Co., Ltd, Nagasaki Japan</w:t>
      </w:r>
    </w:p>
    <w:p w14:paraId="37F856B8">
      <w:pPr>
        <w:spacing w:before="60" w:after="40"/>
        <w:jc w:val="center"/>
      </w:pPr>
      <w:r>
        <w:rPr>
          <w:rFonts w:ascii="Times New Roman" w:hAnsi="Times New Roman" w:eastAsia="Times New Roman" w:cs="Times New Roman"/>
          <w:b/>
          <w:bCs/>
          <w:sz w:val="22"/>
          <w:szCs w:val="22"/>
        </w:rPr>
        <w:t>Ila Amanah Lillah</w:t>
      </w:r>
    </w:p>
    <w:p w14:paraId="5FB2C27C">
      <w:pPr>
        <w:spacing w:before="0" w:after="40"/>
        <w:jc w:val="center"/>
      </w:pPr>
      <w:r>
        <w:rPr>
          <w:rFonts w:ascii="Times New Roman" w:hAnsi="Times New Roman" w:eastAsia="Times New Roman" w:cs="Times New Roman"/>
          <w:sz w:val="20"/>
          <w:szCs w:val="20"/>
        </w:rPr>
        <w:t>Program Studi Agribisnis, Fakultas Pertanian, Universitas Muhammadiyah Sukabumi</w:t>
      </w:r>
    </w:p>
    <w:p w14:paraId="3365F824">
      <w:pPr>
        <w:spacing w:before="0" w:after="40"/>
        <w:jc w:val="center"/>
      </w:pPr>
      <w:r>
        <w:rPr>
          <w:rFonts w:ascii="Times New Roman" w:hAnsi="Times New Roman" w:eastAsia="Times New Roman" w:cs="Times New Roman"/>
          <w:sz w:val="20"/>
          <w:szCs w:val="20"/>
        </w:rPr>
        <w:t>Email: ilaamanahllh@gmail.com</w:t>
      </w:r>
    </w:p>
    <w:p w14:paraId="0A783E6D">
      <w:pPr>
        <w:spacing w:before="0" w:after="60"/>
        <w:jc w:val="center"/>
      </w:pPr>
      <w:r>
        <w:rPr>
          <w:rFonts w:ascii="Times New Roman" w:hAnsi="Times New Roman" w:eastAsia="Times New Roman" w:cs="Times New Roman"/>
          <w:i/>
          <w:iCs/>
          <w:sz w:val="20"/>
          <w:szCs w:val="20"/>
        </w:rPr>
        <w:t>Pembimbing: Dr. Ema Hilma Meilani, S.P., M.P. | Dr. Endang Tri Astutiningsih, S.P., M.P.</w:t>
      </w:r>
    </w:p>
    <w:p w14:paraId="584FB817">
      <w:pPr>
        <w:spacing w:before="40" w:after="40"/>
      </w:pPr>
    </w:p>
    <w:p w14:paraId="398AD88C">
      <w:pPr>
        <w:spacing w:before="120" w:after="60"/>
        <w:jc w:val="center"/>
      </w:pPr>
      <w:r>
        <w:rPr>
          <w:rFonts w:ascii="Times New Roman" w:hAnsi="Times New Roman" w:eastAsia="Times New Roman" w:cs="Times New Roman"/>
          <w:b/>
          <w:bCs/>
          <w:i w:val="0"/>
          <w:iCs w:val="0"/>
          <w:sz w:val="22"/>
          <w:szCs w:val="22"/>
        </w:rPr>
        <w:t>ABSTRAK</w:t>
      </w:r>
    </w:p>
    <w:p w14:paraId="2FDE43D9">
      <w:pPr>
        <w:spacing w:before="60" w:after="60" w:line="276" w:lineRule="auto"/>
        <w:jc w:val="both"/>
      </w:pPr>
      <w:r>
        <w:rPr>
          <w:rFonts w:ascii="Times New Roman" w:hAnsi="Times New Roman" w:eastAsia="Times New Roman" w:cs="Times New Roman"/>
          <w:sz w:val="22"/>
          <w:szCs w:val="22"/>
        </w:rPr>
        <w:t>Penelitian ini bertujuan menganalisis kelayakan finansial usahatani kentang di PT Fujitake Shouten Co., Ltd, Prefektur Nagasaki, Jepang. Metode penelitian menggunakan deskriptif kuantitatif dengan studi kasus. Data dikumpulkan melalui observasi langsung, wawancara terstruktur, dan dokumentasi selama kegiatan magang pada November 2023 hingga Juli 2024. Analisis data meliputi biaya produksi (TC = FC + VC), penerimaan (TR = Q × P), pendapatan bersih, R/C Ratio, Net Present Value (NPV), Internal Rate of Return (IRR), dan Net Benefit Cost (Net B/C) dengan periode analisis lima tahun dan tingkat diskonto 5%. Hasil penelitian menunjukkan total biaya produksi Rp1.250.000.000, total penerimaan Rp1.716.000.000, pendapatan bersih Rp466.000.000, R/C Ratio 1,37, NPV positif Rp767.780.000, IRR 37,5%, dan Net B/C 1,61. Seluruh indikator menunjukkan bahwa usahatani kentang di PT Fujitake Shouten Co., Ltd layak secara finansial untuk diusahakan dan dikembangkan dalam jangka panjang.</w:t>
      </w:r>
    </w:p>
    <w:p w14:paraId="431AE33F">
      <w:pPr>
        <w:spacing w:before="40" w:after="60" w:line="276" w:lineRule="auto"/>
        <w:jc w:val="both"/>
      </w:pPr>
      <w:r>
        <w:rPr>
          <w:rFonts w:ascii="Times New Roman" w:hAnsi="Times New Roman" w:eastAsia="Times New Roman" w:cs="Times New Roman"/>
          <w:b/>
          <w:bCs/>
          <w:i w:val="0"/>
          <w:iCs w:val="0"/>
          <w:sz w:val="22"/>
          <w:szCs w:val="22"/>
        </w:rPr>
        <w:t>Kata kunci: Kelayakan Finansial; Kentang; NPV; IRR; R/C Ratio</w:t>
      </w:r>
    </w:p>
    <w:p w14:paraId="06EF7020">
      <w:pPr>
        <w:spacing w:before="20" w:after="20"/>
      </w:pPr>
    </w:p>
    <w:p w14:paraId="601D991B">
      <w:pPr>
        <w:spacing w:before="40" w:after="80" w:line="276" w:lineRule="auto"/>
        <w:jc w:val="both"/>
      </w:pPr>
      <w:bookmarkStart w:id="0" w:name="_GoBack"/>
      <w:bookmarkEnd w:id="0"/>
    </w:p>
    <w:p w14:paraId="48D2FC26">
      <w:pPr>
        <w:spacing w:before="20" w:after="20"/>
      </w:pPr>
    </w:p>
    <w:p w14:paraId="0B6CC8B3">
      <w:pPr>
        <w:spacing w:before="180" w:after="80"/>
        <w:jc w:val="left"/>
      </w:pPr>
      <w:r>
        <w:rPr>
          <w:rFonts w:ascii="Times New Roman" w:hAnsi="Times New Roman" w:eastAsia="Times New Roman" w:cs="Times New Roman"/>
          <w:b/>
          <w:bCs/>
          <w:sz w:val="22"/>
          <w:szCs w:val="22"/>
        </w:rPr>
        <w:t>PENDAHULUAN</w:t>
      </w:r>
    </w:p>
    <w:p w14:paraId="46FE30AF">
      <w:pPr>
        <w:spacing w:before="80" w:after="80" w:line="276" w:lineRule="auto"/>
        <w:ind w:firstLine="709"/>
        <w:jc w:val="both"/>
      </w:pPr>
      <w:r>
        <w:rPr>
          <w:rFonts w:ascii="Times New Roman" w:hAnsi="Times New Roman" w:eastAsia="Times New Roman" w:cs="Times New Roman"/>
          <w:b w:val="0"/>
          <w:bCs w:val="0"/>
          <w:i w:val="0"/>
          <w:iCs w:val="0"/>
          <w:sz w:val="22"/>
          <w:szCs w:val="22"/>
        </w:rPr>
        <w:t>Sektor agribisnis di Jepang berkembang dengan sistem pengelolaan yang terstruktur dan standar kualitas produksi yang tinggi. Namun, di sejumlah daerah pertanian, termasuk Isahaya di Prefektur Nagasaki, kegiatan usahatani masih banyak mengandalkan tenaga kerja manusia pada proses budidaya, panen, dan penanganan pascapanen. Kondisi ini menyebabkan biaya tenaga kerja dan operasional menjadi komponen utama yang memengaruhi kinerja keuangan usaha agribisnis (Yamashita, 2022; Otsuka &amp; Liu, 2021).</w:t>
      </w:r>
    </w:p>
    <w:p w14:paraId="6E98BADF">
      <w:pPr>
        <w:spacing w:before="80" w:after="80" w:line="276" w:lineRule="auto"/>
        <w:ind w:firstLine="709"/>
        <w:jc w:val="both"/>
      </w:pPr>
      <w:r>
        <w:rPr>
          <w:rFonts w:ascii="Times New Roman" w:hAnsi="Times New Roman" w:eastAsia="Times New Roman" w:cs="Times New Roman"/>
          <w:b w:val="0"/>
          <w:bCs w:val="0"/>
          <w:i w:val="0"/>
          <w:iCs w:val="0"/>
          <w:sz w:val="22"/>
          <w:szCs w:val="22"/>
        </w:rPr>
        <w:t>Kentang (Solanum tuberosum L.) merupakan komoditas hortikultura penting di Jepang dengan permintaan yang stabil sepanjang tahun. Berdasarkan data Ministry of Agriculture, Forestry and Fisheries (MAFF, 2023), kentang termasuk komoditas pangan strategis yang berkontribusi besar dalam rantai nilai agribisnis nasional. Setelah padi dan gandum, kentang merupakan sumber karbohidrat utama dengan nilai ekonomi tinggi karena dapat langsung dikonsumsi atau diolah menjadi berbagai produk industri pangan (FAO, 2022). Meskipun memiliki prospek pasar yang baik, stabilitas permintaan tidak selalu menjamin keuntungan usaha apabila biaya produksi tidak dikelola secara efisien.</w:t>
      </w:r>
    </w:p>
    <w:p w14:paraId="223F3366">
      <w:pPr>
        <w:spacing w:before="80" w:after="80" w:line="276" w:lineRule="auto"/>
        <w:ind w:firstLine="709"/>
        <w:jc w:val="both"/>
      </w:pPr>
      <w:r>
        <w:rPr>
          <w:rFonts w:ascii="Times New Roman" w:hAnsi="Times New Roman" w:eastAsia="Times New Roman" w:cs="Times New Roman"/>
          <w:b w:val="0"/>
          <w:bCs w:val="0"/>
          <w:i w:val="0"/>
          <w:iCs w:val="0"/>
          <w:sz w:val="22"/>
          <w:szCs w:val="22"/>
        </w:rPr>
        <w:t>Dari sisi botani, kentang adalah tanaman herba yang memproduksi umbi sebagai tempat penyimpanan cadangan makanan. Kentang tumbuh optimal di daerah beriklim sedang hingga dingin, dengan suhu ideal 14–22°C, serta membutuhkan tanah yang subur, gembur, dan memiliki sistem drainase yang baik (Rubatzky &amp; Yamaguchi, 2012). Prefektur Nagasaki dengan kondisi agroklimat yang sesuai dan suhu rata-rata 16°C menjadikan wilayah ini lokasi strategis untuk pengembangan usahatani kentang.</w:t>
      </w:r>
    </w:p>
    <w:p w14:paraId="14AE7618">
      <w:pPr>
        <w:spacing w:before="80" w:after="80" w:line="276" w:lineRule="auto"/>
        <w:ind w:firstLine="709"/>
        <w:jc w:val="both"/>
      </w:pPr>
      <w:r>
        <w:rPr>
          <w:rFonts w:ascii="Times New Roman" w:hAnsi="Times New Roman" w:eastAsia="Times New Roman" w:cs="Times New Roman"/>
          <w:b w:val="0"/>
          <w:bCs w:val="0"/>
          <w:i w:val="0"/>
          <w:iCs w:val="0"/>
          <w:sz w:val="22"/>
          <w:szCs w:val="22"/>
        </w:rPr>
        <w:t>PT Fujitake Shouten Co., Ltd di Isahaya-shi, Prefektur Nagasaki, merupakan perusahaan agribisnis hortikultura yang mengelola komoditas kentang mulai dari persiapan lahan hingga pascapanen, dengan total lahan usaha sekitar 2,73 hektar. Perusahaan ini melibatkan tenaga kerja lokal Jepang dan tenaga kerja asing yang bekerja secara terkoordinasi. Tingginya kebutuhan tenaga kerja dan biaya operasional mendorong perlunya evaluasi aspek keuangan usaha secara mendalam agar dapat menilai kemampuan usahatani dalam menutup biaya produksi serta menghasilkan keuntungan yang layak dan berkelanjutan dalam jangka panjang.</w:t>
      </w:r>
    </w:p>
    <w:p w14:paraId="3E3B417A">
      <w:pPr>
        <w:spacing w:before="80" w:after="80" w:line="276" w:lineRule="auto"/>
        <w:ind w:firstLine="709"/>
        <w:jc w:val="both"/>
      </w:pPr>
      <w:r>
        <w:rPr>
          <w:rFonts w:ascii="Times New Roman" w:hAnsi="Times New Roman" w:eastAsia="Times New Roman" w:cs="Times New Roman"/>
          <w:b w:val="0"/>
          <w:bCs w:val="0"/>
          <w:i w:val="0"/>
          <w:iCs w:val="0"/>
          <w:sz w:val="22"/>
          <w:szCs w:val="22"/>
        </w:rPr>
        <w:t>Analisis kelayakan finansial tidak hanya mencakup aspek operasional melalui perbandingan penerimaan dan biaya (R/C Ratio), tetapi juga mempertimbangkan konsep Time Value of Money (TVM) melalui Net Present Value (NPV) dan Internal Rate of Return (IRR). Pendekatan ini memberikan gambaran yang lebih komprehensif tentang profitabilitas dan kelayakan investasi jangka panjang (Gittinger, 1986). Berdasarkan latar belakang tersebut, penelitian ini merumuskan masalah: Bagaimana tingkat kelayakan finansial usahatani kentang di PT Fujitake Shouten Co., Ltd ditinjau dari biaya produksi, penerimaan, pendapatan bersih, NPV, IRR, dan R/C Ratio?</w:t>
      </w:r>
    </w:p>
    <w:p w14:paraId="784AF410">
      <w:pPr>
        <w:spacing w:before="80" w:after="80" w:line="276" w:lineRule="auto"/>
        <w:ind w:firstLine="709"/>
        <w:jc w:val="both"/>
      </w:pPr>
      <w:r>
        <w:rPr>
          <w:rFonts w:ascii="Times New Roman" w:hAnsi="Times New Roman" w:eastAsia="Times New Roman" w:cs="Times New Roman"/>
          <w:b w:val="0"/>
          <w:bCs w:val="0"/>
          <w:i w:val="0"/>
          <w:iCs w:val="0"/>
          <w:sz w:val="22"/>
          <w:szCs w:val="22"/>
        </w:rPr>
        <w:t>Tujuan penelitian ini adalah menganalisis kelayakan finansial usahatani kentang di PT Fujitake Shouten Co., Ltd berdasarkan seluruh indikator tersebut. Penelitian ini diharapkan dapat memberikan manfaat bagi manajemen perusahaan dalam meningkatkan efisiensi biaya, bagi pemangku kebijakan sebagai referensi pengembangan agribisnis hortikultura di Jepang, dan bagi akademisi sebagai kontribusi ilmiah dalam kajian kelayakan finansial usahatani internasional.</w:t>
      </w:r>
    </w:p>
    <w:p w14:paraId="4DCC39EC">
      <w:pPr>
        <w:spacing w:before="180" w:after="80"/>
        <w:jc w:val="left"/>
      </w:pPr>
      <w:r>
        <w:rPr>
          <w:rFonts w:ascii="Times New Roman" w:hAnsi="Times New Roman" w:eastAsia="Times New Roman" w:cs="Times New Roman"/>
          <w:b/>
          <w:bCs/>
          <w:sz w:val="22"/>
          <w:szCs w:val="22"/>
        </w:rPr>
        <w:t>KAJIAN PUSTAKA</w:t>
      </w:r>
    </w:p>
    <w:p w14:paraId="74054DC1">
      <w:pPr>
        <w:spacing w:before="140" w:after="60"/>
        <w:jc w:val="left"/>
      </w:pPr>
      <w:r>
        <w:rPr>
          <w:rFonts w:ascii="Times New Roman" w:hAnsi="Times New Roman" w:eastAsia="Times New Roman" w:cs="Times New Roman"/>
          <w:b/>
          <w:bCs/>
          <w:sz w:val="22"/>
          <w:szCs w:val="22"/>
        </w:rPr>
        <w:t>1. Analisis Kelayakan Finansial Usahatani</w:t>
      </w:r>
    </w:p>
    <w:p w14:paraId="3C7530A7">
      <w:pPr>
        <w:spacing w:before="80" w:after="80" w:line="276" w:lineRule="auto"/>
        <w:ind w:firstLine="709"/>
        <w:jc w:val="both"/>
      </w:pPr>
      <w:r>
        <w:rPr>
          <w:rFonts w:ascii="Times New Roman" w:hAnsi="Times New Roman" w:eastAsia="Times New Roman" w:cs="Times New Roman"/>
          <w:b w:val="0"/>
          <w:bCs w:val="0"/>
          <w:i w:val="0"/>
          <w:iCs w:val="0"/>
          <w:sz w:val="22"/>
          <w:szCs w:val="22"/>
        </w:rPr>
        <w:t>Analisis kelayakan finansial bertujuan mengevaluasi seberapa efektif suatu usaha dalam menghasilkan laba dengan membandingkan biaya yang dikeluarkan dan pendapatan yang diperoleh selama jangka waktu tertentu. Berbeda dengan metode operasional yang hanya menilai hasil usaha dalam satu musim tanpa mempertimbangkan nilai waktu uang, penelitian ini mengadopsi pendekatan investasi yang mencakup penilaian Time Value of Money (TVM) untuk mengevaluasi kelayakan usaha secara menyeluruh (Gittinger, 1986).</w:t>
      </w:r>
    </w:p>
    <w:p w14:paraId="72AF96E3">
      <w:pPr>
        <w:spacing w:before="80" w:after="80" w:line="276" w:lineRule="auto"/>
        <w:ind w:firstLine="709"/>
        <w:jc w:val="both"/>
      </w:pPr>
      <w:r>
        <w:rPr>
          <w:rFonts w:ascii="Times New Roman" w:hAnsi="Times New Roman" w:eastAsia="Times New Roman" w:cs="Times New Roman"/>
          <w:b w:val="0"/>
          <w:bCs w:val="0"/>
          <w:i w:val="0"/>
          <w:iCs w:val="0"/>
          <w:sz w:val="22"/>
          <w:szCs w:val="22"/>
        </w:rPr>
        <w:t>Penggunaan pendekatan nilai waktu uang dilakukan karena usahatani yang dikaji mencakup aliran biaya dan pendapatan yang berlangsung lebih dari satu periode. Indikator kelayakan finansial yang digunakan terdiri atas NPV untuk menilai selisih nilai kini pendapatan dan biaya, serta IRR untuk menghitung tingkat pengembalian internal dibandingkan suku bunga berlaku (Soekartawi, 2019; Gittinger, 1986). Penggabungan analisis operasional dan pendekatan TVM menyajikan gambaran lebih tepat tentang profitabilitas dan kelayakan finansial usahatani.</w:t>
      </w:r>
    </w:p>
    <w:p w14:paraId="753AF143">
      <w:pPr>
        <w:spacing w:before="140" w:after="60"/>
        <w:jc w:val="left"/>
      </w:pPr>
      <w:r>
        <w:rPr>
          <w:rFonts w:ascii="Times New Roman" w:hAnsi="Times New Roman" w:eastAsia="Times New Roman" w:cs="Times New Roman"/>
          <w:b/>
          <w:bCs/>
          <w:sz w:val="22"/>
          <w:szCs w:val="22"/>
        </w:rPr>
        <w:t>2. Biaya Produksi</w:t>
      </w:r>
    </w:p>
    <w:p w14:paraId="4EADD5A2">
      <w:pPr>
        <w:spacing w:before="80" w:after="80" w:line="276" w:lineRule="auto"/>
        <w:ind w:firstLine="709"/>
        <w:jc w:val="both"/>
      </w:pPr>
      <w:r>
        <w:rPr>
          <w:rFonts w:ascii="Times New Roman" w:hAnsi="Times New Roman" w:eastAsia="Times New Roman" w:cs="Times New Roman"/>
          <w:b w:val="0"/>
          <w:bCs w:val="0"/>
          <w:i w:val="0"/>
          <w:iCs w:val="0"/>
          <w:sz w:val="22"/>
          <w:szCs w:val="22"/>
        </w:rPr>
        <w:t>Biaya produksi mencakup seluruh pengeluaran yang terjadi selama proses pengelolaan komoditas kentang, meliputi biaya tetap (Fixed Cost/FC) dan biaya variabel (Variable Cost/VC). Biaya tetap adalah pengeluaran yang tidak terpengaruh oleh volume produksi seperti sewa lahan dan penyusutan alat, sedangkan biaya variabel berfluktuasi sesuai kuantitas produksi. Perhitungan biaya produksi secara cermat merupakan fondasi penting dalam analisis kelayakan finansial karena mencerminkan total pengorbanan ekonomi yang ditanggung perusahaan: TC = FC + VC (Kadariah et al., 2018).</w:t>
      </w:r>
    </w:p>
    <w:p w14:paraId="24EC7F9D">
      <w:pPr>
        <w:spacing w:before="140" w:after="60"/>
        <w:jc w:val="left"/>
      </w:pPr>
      <w:r>
        <w:rPr>
          <w:rFonts w:ascii="Times New Roman" w:hAnsi="Times New Roman" w:eastAsia="Times New Roman" w:cs="Times New Roman"/>
          <w:b/>
          <w:bCs/>
          <w:sz w:val="22"/>
          <w:szCs w:val="22"/>
        </w:rPr>
        <w:t>3. Penerimaan dan Pendapatan Usaha</w:t>
      </w:r>
    </w:p>
    <w:p w14:paraId="6CD1F345">
      <w:pPr>
        <w:spacing w:before="80" w:after="80" w:line="276" w:lineRule="auto"/>
        <w:ind w:firstLine="709"/>
        <w:jc w:val="both"/>
      </w:pPr>
      <w:r>
        <w:rPr>
          <w:rFonts w:ascii="Times New Roman" w:hAnsi="Times New Roman" w:eastAsia="Times New Roman" w:cs="Times New Roman"/>
          <w:b w:val="0"/>
          <w:bCs w:val="0"/>
          <w:i w:val="0"/>
          <w:iCs w:val="0"/>
          <w:sz w:val="22"/>
          <w:szCs w:val="22"/>
        </w:rPr>
        <w:t>Penerimaan usaha (Total Revenue/TR) adalah total nilai hasil penjualan kentang yang dihitung melalui perkalian volume produksi (Q) dengan harga jual per unit (P): TR = Q × P. Penerimaan berfungsi sebagai indikator penting yang mencerminkan kapasitas usaha dalam menciptakan nilai ekonomi (Soekartawi, 2019). Pendapatan bersih (net income) merupakan selisih antara penerimaan dan total biaya: π = TR − TC. Nilai pendapatan bersih yang positif menunjukkan bahwa usaha tersebut secara finansial menguntungkan (Gittinger, 1986; Agustina, 2022).</w:t>
      </w:r>
    </w:p>
    <w:p w14:paraId="7254E96C">
      <w:pPr>
        <w:spacing w:before="140" w:after="60"/>
        <w:jc w:val="left"/>
      </w:pPr>
      <w:r>
        <w:rPr>
          <w:rFonts w:ascii="Times New Roman" w:hAnsi="Times New Roman" w:eastAsia="Times New Roman" w:cs="Times New Roman"/>
          <w:b/>
          <w:bCs/>
          <w:sz w:val="22"/>
          <w:szCs w:val="22"/>
        </w:rPr>
        <w:t>4. R/C Ratio</w:t>
      </w:r>
    </w:p>
    <w:p w14:paraId="050EB41D">
      <w:pPr>
        <w:spacing w:before="80" w:after="80" w:line="276" w:lineRule="auto"/>
        <w:ind w:firstLine="709"/>
        <w:jc w:val="both"/>
      </w:pPr>
      <w:r>
        <w:rPr>
          <w:rFonts w:ascii="Times New Roman" w:hAnsi="Times New Roman" w:eastAsia="Times New Roman" w:cs="Times New Roman"/>
          <w:b w:val="0"/>
          <w:bCs w:val="0"/>
          <w:i w:val="0"/>
          <w:iCs w:val="0"/>
          <w:sz w:val="22"/>
          <w:szCs w:val="22"/>
        </w:rPr>
        <w:t>R/C Ratio (Revenue-Cost Ratio) merupakan perbandingan antara total penerimaan usaha dengan total biaya produksi. Nilai R/C Ratio &gt; 1 menunjukkan bahwa usaha tersebut efisien dan layak secara finansial, R/C Ratio = 1 berarti usaha impas (break even), sedangkan R/C Ratio &lt; 1 menunjukkan usaha tidak efisien dan merugi. R/C Ratio digunakan untuk menilai efisiensi operasional jangka pendek tanpa mempertimbangkan nilai waktu uang.</w:t>
      </w:r>
    </w:p>
    <w:p w14:paraId="1F2D2CFB">
      <w:pPr>
        <w:spacing w:before="140" w:after="60"/>
        <w:jc w:val="left"/>
      </w:pPr>
      <w:r>
        <w:rPr>
          <w:rFonts w:ascii="Times New Roman" w:hAnsi="Times New Roman" w:eastAsia="Times New Roman" w:cs="Times New Roman"/>
          <w:b/>
          <w:bCs/>
          <w:sz w:val="22"/>
          <w:szCs w:val="22"/>
        </w:rPr>
        <w:t>5. Net Present Value (NPV), IRR, dan Net B/C</w:t>
      </w:r>
    </w:p>
    <w:p w14:paraId="14E8F407">
      <w:pPr>
        <w:spacing w:before="80" w:after="80" w:line="276" w:lineRule="auto"/>
        <w:ind w:firstLine="709"/>
        <w:jc w:val="both"/>
      </w:pPr>
      <w:r>
        <w:rPr>
          <w:rFonts w:ascii="Times New Roman" w:hAnsi="Times New Roman" w:eastAsia="Times New Roman" w:cs="Times New Roman"/>
          <w:b w:val="0"/>
          <w:bCs w:val="0"/>
          <w:i w:val="0"/>
          <w:iCs w:val="0"/>
          <w:sz w:val="22"/>
          <w:szCs w:val="22"/>
        </w:rPr>
        <w:t>NPV mengevaluasi keuntungan bersih usaha setelah seluruh arus kas didiskontokan ke nilai saat ini. Usaha layak apabila NPV &gt; 0. IRR adalah tingkat suku bunga yang menyebabkan NPV sama dengan nol; usaha layak apabila IRR lebih besar dari tingkat diskonto yang digunakan. Net B/C membandingkan Present Value manfaat dengan Present Value biaya selama umur usaha; usaha layak apabila Net B/C &gt; 1. Ketiga indikator ini telah banyak digunakan dalam studi kelayakan pertanian di Indonesia maupun internasional (Nugroho &amp; Margana, 2022; Yakup et al., 2023; Abiyasa et al., 2025).</w:t>
      </w:r>
    </w:p>
    <w:p w14:paraId="73A18C62">
      <w:pPr>
        <w:spacing w:before="180" w:after="80"/>
        <w:jc w:val="left"/>
      </w:pPr>
      <w:r>
        <w:rPr>
          <w:rFonts w:ascii="Times New Roman" w:hAnsi="Times New Roman" w:eastAsia="Times New Roman" w:cs="Times New Roman"/>
          <w:b/>
          <w:bCs/>
          <w:sz w:val="22"/>
          <w:szCs w:val="22"/>
        </w:rPr>
        <w:t>PENELITIAN SEBELUMNYA</w:t>
      </w:r>
    </w:p>
    <w:p w14:paraId="14A26FAC">
      <w:pPr>
        <w:spacing w:before="80" w:after="80" w:line="276" w:lineRule="auto"/>
        <w:jc w:val="both"/>
      </w:pPr>
      <w:r>
        <w:rPr>
          <w:rFonts w:ascii="Times New Roman" w:hAnsi="Times New Roman" w:eastAsia="Times New Roman" w:cs="Times New Roman"/>
          <w:b w:val="0"/>
          <w:bCs w:val="0"/>
          <w:i w:val="0"/>
          <w:iCs w:val="0"/>
          <w:sz w:val="22"/>
          <w:szCs w:val="22"/>
        </w:rPr>
        <w:t>Berikut disajikan penelitian-penelitian sebelumnya yang relevan sebagai dasar perbandingan dan penguatan landasan ilmiah penelitian ini.</w:t>
      </w:r>
    </w:p>
    <w:p w14:paraId="764C8701">
      <w:pPr>
        <w:spacing w:before="100" w:after="40"/>
        <w:jc w:val="center"/>
      </w:pPr>
      <w:r>
        <w:rPr>
          <w:rFonts w:ascii="Times New Roman" w:hAnsi="Times New Roman" w:eastAsia="Times New Roman" w:cs="Times New Roman"/>
          <w:b/>
          <w:bCs/>
          <w:sz w:val="22"/>
          <w:szCs w:val="22"/>
        </w:rPr>
        <w:t>Tabel 1. Penelitian Sebelumnya yang Relevan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5"/>
        <w:gridCol w:w="2185"/>
        <w:gridCol w:w="1988"/>
        <w:gridCol w:w="2089"/>
        <w:gridCol w:w="2931"/>
      </w:tblGrid>
      <w:tr w14:paraId="6A904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38622F3F">
            <w:pPr>
              <w:spacing w:before="40" w:after="40"/>
              <w:jc w:val="center"/>
            </w:pPr>
            <w:r>
              <w:rPr>
                <w:rFonts w:ascii="Times New Roman" w:hAnsi="Times New Roman" w:eastAsia="Times New Roman" w:cs="Times New Roman"/>
                <w:b/>
                <w:bCs/>
                <w:i w:val="0"/>
                <w:iCs w:val="0"/>
                <w:sz w:val="20"/>
                <w:szCs w:val="20"/>
              </w:rPr>
              <w:t>No</w:t>
            </w:r>
          </w:p>
        </w:tc>
        <w:tc>
          <w:tcPr>
            <w:tcW w:w="2200"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5CA10246">
            <w:pPr>
              <w:spacing w:before="40" w:after="40"/>
              <w:jc w:val="center"/>
            </w:pPr>
            <w:r>
              <w:rPr>
                <w:rFonts w:ascii="Times New Roman" w:hAnsi="Times New Roman" w:eastAsia="Times New Roman" w:cs="Times New Roman"/>
                <w:b/>
                <w:bCs/>
                <w:i w:val="0"/>
                <w:iCs w:val="0"/>
                <w:sz w:val="20"/>
                <w:szCs w:val="20"/>
              </w:rPr>
              <w:t>Judul Penelitian</w:t>
            </w:r>
          </w:p>
        </w:tc>
        <w:tc>
          <w:tcPr>
            <w:tcW w:w="2000"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487C9132">
            <w:pPr>
              <w:spacing w:before="40" w:after="40"/>
              <w:jc w:val="center"/>
            </w:pPr>
            <w:r>
              <w:rPr>
                <w:rFonts w:ascii="Times New Roman" w:hAnsi="Times New Roman" w:eastAsia="Times New Roman" w:cs="Times New Roman"/>
                <w:b/>
                <w:bCs/>
                <w:i w:val="0"/>
                <w:iCs w:val="0"/>
                <w:sz w:val="20"/>
                <w:szCs w:val="20"/>
              </w:rPr>
              <w:t>Persamaan</w:t>
            </w:r>
          </w:p>
        </w:tc>
        <w:tc>
          <w:tcPr>
            <w:tcW w:w="2100"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5DF81A04">
            <w:pPr>
              <w:spacing w:before="40" w:after="40"/>
              <w:jc w:val="center"/>
            </w:pPr>
            <w:r>
              <w:rPr>
                <w:rFonts w:ascii="Times New Roman" w:hAnsi="Times New Roman" w:eastAsia="Times New Roman" w:cs="Times New Roman"/>
                <w:b/>
                <w:bCs/>
                <w:i w:val="0"/>
                <w:iCs w:val="0"/>
                <w:sz w:val="20"/>
                <w:szCs w:val="20"/>
              </w:rPr>
              <w:t>Perbedaan</w:t>
            </w:r>
          </w:p>
        </w:tc>
        <w:tc>
          <w:tcPr>
            <w:tcW w:w="2958"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08CD36A2">
            <w:pPr>
              <w:spacing w:before="40" w:after="40"/>
              <w:jc w:val="center"/>
            </w:pPr>
            <w:r>
              <w:rPr>
                <w:rFonts w:ascii="Times New Roman" w:hAnsi="Times New Roman" w:eastAsia="Times New Roman" w:cs="Times New Roman"/>
                <w:b/>
                <w:bCs/>
                <w:i w:val="0"/>
                <w:iCs w:val="0"/>
                <w:sz w:val="20"/>
                <w:szCs w:val="20"/>
              </w:rPr>
              <w:t>Hasil Utama</w:t>
            </w:r>
          </w:p>
        </w:tc>
      </w:tr>
      <w:tr w14:paraId="391D9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C9E0CE">
            <w:pPr>
              <w:spacing w:before="40" w:after="40"/>
              <w:jc w:val="center"/>
            </w:pPr>
            <w:r>
              <w:rPr>
                <w:rFonts w:ascii="Times New Roman" w:hAnsi="Times New Roman" w:eastAsia="Times New Roman" w:cs="Times New Roman"/>
                <w:b w:val="0"/>
                <w:bCs w:val="0"/>
                <w:i w:val="0"/>
                <w:iCs w:val="0"/>
                <w:sz w:val="20"/>
                <w:szCs w:val="20"/>
              </w:rPr>
              <w:t>1</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01CC8BC">
            <w:pPr>
              <w:spacing w:before="40" w:after="20"/>
            </w:pPr>
            <w:r>
              <w:rPr>
                <w:rFonts w:ascii="Times New Roman" w:hAnsi="Times New Roman" w:eastAsia="Times New Roman" w:cs="Times New Roman"/>
                <w:i/>
                <w:iCs/>
                <w:sz w:val="20"/>
                <w:szCs w:val="20"/>
              </w:rPr>
              <w:t>Agustina (2021). Analisis Kelayakan Finansial Usahatani Jeruk Siam Thailand.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4EA7AE3">
            <w:pPr>
              <w:spacing w:before="40" w:after="40"/>
              <w:jc w:val="left"/>
            </w:pPr>
            <w:r>
              <w:rPr>
                <w:rFonts w:ascii="Times New Roman" w:hAnsi="Times New Roman" w:eastAsia="Times New Roman" w:cs="Times New Roman"/>
                <w:b w:val="0"/>
                <w:bCs w:val="0"/>
                <w:i w:val="0"/>
                <w:iCs w:val="0"/>
                <w:sz w:val="20"/>
                <w:szCs w:val="20"/>
              </w:rPr>
              <w:t>Sama-sama menggunakan indikator biaya produksi, penerimaan, dan pendapatan.</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E61D7B5">
            <w:pPr>
              <w:spacing w:before="40" w:after="40"/>
              <w:jc w:val="left"/>
            </w:pPr>
            <w:r>
              <w:rPr>
                <w:rFonts w:ascii="Times New Roman" w:hAnsi="Times New Roman" w:eastAsia="Times New Roman" w:cs="Times New Roman"/>
                <w:b w:val="0"/>
                <w:bCs w:val="0"/>
                <w:i w:val="0"/>
                <w:iCs w:val="0"/>
                <w:sz w:val="20"/>
                <w:szCs w:val="20"/>
              </w:rPr>
              <w:t>Menggunakan NPV, IRR, dan Net B/C tanpa R/C Ratio; komoditas jeruk skala petani.</w:t>
            </w:r>
          </w:p>
        </w:tc>
        <w:tc>
          <w:tcPr>
            <w:tcW w:w="295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1DB6E96">
            <w:pPr>
              <w:spacing w:before="40" w:after="40"/>
              <w:jc w:val="left"/>
            </w:pPr>
            <w:r>
              <w:rPr>
                <w:rFonts w:ascii="Times New Roman" w:hAnsi="Times New Roman" w:eastAsia="Times New Roman" w:cs="Times New Roman"/>
                <w:b w:val="0"/>
                <w:bCs w:val="0"/>
                <w:i w:val="0"/>
                <w:iCs w:val="0"/>
                <w:sz w:val="20"/>
                <w:szCs w:val="20"/>
              </w:rPr>
              <w:t>Usahatani jeruk layak secara finansial: NPV positif, IRR &gt; suku bunga, Net B/C &gt; 1.</w:t>
            </w:r>
          </w:p>
        </w:tc>
      </w:tr>
      <w:tr w14:paraId="70CA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ED8E5E0">
            <w:pPr>
              <w:spacing w:before="40" w:after="40"/>
              <w:jc w:val="center"/>
            </w:pPr>
            <w:r>
              <w:rPr>
                <w:rFonts w:ascii="Times New Roman" w:hAnsi="Times New Roman" w:eastAsia="Times New Roman" w:cs="Times New Roman"/>
                <w:b w:val="0"/>
                <w:bCs w:val="0"/>
                <w:i w:val="0"/>
                <w:iCs w:val="0"/>
                <w:sz w:val="20"/>
                <w:szCs w:val="20"/>
              </w:rPr>
              <w:t>2</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3EF4396">
            <w:pPr>
              <w:spacing w:before="40" w:after="20"/>
            </w:pPr>
            <w:r>
              <w:rPr>
                <w:rFonts w:ascii="Times New Roman" w:hAnsi="Times New Roman" w:eastAsia="Times New Roman" w:cs="Times New Roman"/>
                <w:i/>
                <w:iCs/>
                <w:sz w:val="20"/>
                <w:szCs w:val="20"/>
              </w:rPr>
              <w:t>Nugroho &amp; Margana (2024). Analisis Kelayakan Investasi Usaha Pertanian Sayur Menggunakan NPV dan IRR.</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3075B98">
            <w:pPr>
              <w:spacing w:before="40" w:after="40"/>
              <w:jc w:val="left"/>
            </w:pPr>
            <w:r>
              <w:rPr>
                <w:rFonts w:ascii="Times New Roman" w:hAnsi="Times New Roman" w:eastAsia="Times New Roman" w:cs="Times New Roman"/>
                <w:b w:val="0"/>
                <w:bCs w:val="0"/>
                <w:i w:val="0"/>
                <w:iCs w:val="0"/>
                <w:sz w:val="20"/>
                <w:szCs w:val="20"/>
              </w:rPr>
              <w:t>Sama-sama menggunakan pendekatan nilai waktu uang dengan NPV dan IRR.</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D4AB4C">
            <w:pPr>
              <w:spacing w:before="40" w:after="40"/>
              <w:jc w:val="left"/>
            </w:pPr>
            <w:r>
              <w:rPr>
                <w:rFonts w:ascii="Times New Roman" w:hAnsi="Times New Roman" w:eastAsia="Times New Roman" w:cs="Times New Roman"/>
                <w:b w:val="0"/>
                <w:bCs w:val="0"/>
                <w:i w:val="0"/>
                <w:iCs w:val="0"/>
                <w:sz w:val="20"/>
                <w:szCs w:val="20"/>
              </w:rPr>
              <w:t>Fokus pada pertanian sayur di Indonesia; penelitian ini pada perusahaan agribisnis di Jepang.</w:t>
            </w:r>
          </w:p>
        </w:tc>
        <w:tc>
          <w:tcPr>
            <w:tcW w:w="295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897E1ED">
            <w:pPr>
              <w:spacing w:before="40" w:after="40"/>
              <w:jc w:val="left"/>
            </w:pPr>
            <w:r>
              <w:rPr>
                <w:rFonts w:ascii="Times New Roman" w:hAnsi="Times New Roman" w:eastAsia="Times New Roman" w:cs="Times New Roman"/>
                <w:b w:val="0"/>
                <w:bCs w:val="0"/>
                <w:i w:val="0"/>
                <w:iCs w:val="0"/>
                <w:sz w:val="20"/>
                <w:szCs w:val="20"/>
              </w:rPr>
              <w:t>Usaha pertanian sayur layak dengan NPV positif dan IRR melebihi tingkat diskonto.</w:t>
            </w:r>
          </w:p>
        </w:tc>
      </w:tr>
      <w:tr w14:paraId="30DED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23365C1">
            <w:pPr>
              <w:spacing w:before="40" w:after="40"/>
              <w:jc w:val="center"/>
            </w:pPr>
            <w:r>
              <w:rPr>
                <w:rFonts w:ascii="Times New Roman" w:hAnsi="Times New Roman" w:eastAsia="Times New Roman" w:cs="Times New Roman"/>
                <w:b w:val="0"/>
                <w:bCs w:val="0"/>
                <w:i w:val="0"/>
                <w:iCs w:val="0"/>
                <w:sz w:val="20"/>
                <w:szCs w:val="20"/>
              </w:rPr>
              <w:t>3</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D9108D7">
            <w:pPr>
              <w:spacing w:before="40" w:after="20"/>
            </w:pPr>
            <w:r>
              <w:rPr>
                <w:rFonts w:ascii="Times New Roman" w:hAnsi="Times New Roman" w:eastAsia="Times New Roman" w:cs="Times New Roman"/>
                <w:i/>
                <w:iCs/>
                <w:sz w:val="20"/>
                <w:szCs w:val="20"/>
              </w:rPr>
              <w:t>Sutarni &amp; Fitri (2023). Analisis Kelayakan Finansial Usahatani Padi Sawah Tanpa Pestisida Kimia.</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4252660">
            <w:pPr>
              <w:spacing w:before="40" w:after="40"/>
              <w:jc w:val="left"/>
            </w:pPr>
            <w:r>
              <w:rPr>
                <w:rFonts w:ascii="Times New Roman" w:hAnsi="Times New Roman" w:eastAsia="Times New Roman" w:cs="Times New Roman"/>
                <w:b w:val="0"/>
                <w:bCs w:val="0"/>
                <w:i w:val="0"/>
                <w:iCs w:val="0"/>
                <w:sz w:val="20"/>
                <w:szCs w:val="20"/>
              </w:rPr>
              <w:t>Sama-sama menilai kelayakan finansial usahatani dengan NPV dan IRR.</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308CE05">
            <w:pPr>
              <w:spacing w:before="40" w:after="40"/>
              <w:jc w:val="left"/>
            </w:pPr>
            <w:r>
              <w:rPr>
                <w:rFonts w:ascii="Times New Roman" w:hAnsi="Times New Roman" w:eastAsia="Times New Roman" w:cs="Times New Roman"/>
                <w:b w:val="0"/>
                <w:bCs w:val="0"/>
                <w:i w:val="0"/>
                <w:iCs w:val="0"/>
                <w:sz w:val="20"/>
                <w:szCs w:val="20"/>
              </w:rPr>
              <w:t>Komoditas dan sistem budidaya berbeda; menitikberatkan aspek ramah lingkungan.</w:t>
            </w:r>
          </w:p>
        </w:tc>
        <w:tc>
          <w:tcPr>
            <w:tcW w:w="295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39369F">
            <w:pPr>
              <w:spacing w:before="40" w:after="40"/>
              <w:jc w:val="left"/>
            </w:pPr>
            <w:r>
              <w:rPr>
                <w:rFonts w:ascii="Times New Roman" w:hAnsi="Times New Roman" w:eastAsia="Times New Roman" w:cs="Times New Roman"/>
                <w:b w:val="0"/>
                <w:bCs w:val="0"/>
                <w:i w:val="0"/>
                <w:iCs w:val="0"/>
                <w:sz w:val="20"/>
                <w:szCs w:val="20"/>
              </w:rPr>
              <w:t>Usahatani padi tanpa pestisida kimia terbukti layak secara finansial.</w:t>
            </w:r>
          </w:p>
        </w:tc>
      </w:tr>
      <w:tr w14:paraId="00235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FB89D30">
            <w:pPr>
              <w:spacing w:before="40" w:after="40"/>
              <w:jc w:val="center"/>
            </w:pPr>
            <w:r>
              <w:rPr>
                <w:rFonts w:ascii="Times New Roman" w:hAnsi="Times New Roman" w:eastAsia="Times New Roman" w:cs="Times New Roman"/>
                <w:b w:val="0"/>
                <w:bCs w:val="0"/>
                <w:i w:val="0"/>
                <w:iCs w:val="0"/>
                <w:sz w:val="20"/>
                <w:szCs w:val="20"/>
              </w:rPr>
              <w:t>4</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EB05D74">
            <w:pPr>
              <w:spacing w:before="40" w:after="20"/>
            </w:pPr>
            <w:r>
              <w:rPr>
                <w:rFonts w:ascii="Times New Roman" w:hAnsi="Times New Roman" w:eastAsia="Times New Roman" w:cs="Times New Roman"/>
                <w:i/>
                <w:iCs/>
                <w:sz w:val="20"/>
                <w:szCs w:val="20"/>
              </w:rPr>
              <w:t>Yakup et al. (2023). Analisis Kelayakan Finansial Usahatani Cengkeh di Kecamatan Latambaga.</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819A482">
            <w:pPr>
              <w:spacing w:before="40" w:after="40"/>
              <w:jc w:val="left"/>
            </w:pPr>
            <w:r>
              <w:rPr>
                <w:rFonts w:ascii="Times New Roman" w:hAnsi="Times New Roman" w:eastAsia="Times New Roman" w:cs="Times New Roman"/>
                <w:b w:val="0"/>
                <w:bCs w:val="0"/>
                <w:i w:val="0"/>
                <w:iCs w:val="0"/>
                <w:sz w:val="20"/>
                <w:szCs w:val="20"/>
              </w:rPr>
              <w:t>Sama-sama menggunakan NPV, IRR, dan Net B/C Ratio sebagai indikator kelayakan.</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7D7761F">
            <w:pPr>
              <w:spacing w:before="40" w:after="40"/>
              <w:jc w:val="left"/>
            </w:pPr>
            <w:r>
              <w:rPr>
                <w:rFonts w:ascii="Times New Roman" w:hAnsi="Times New Roman" w:eastAsia="Times New Roman" w:cs="Times New Roman"/>
                <w:b w:val="0"/>
                <w:bCs w:val="0"/>
                <w:i w:val="0"/>
                <w:iCs w:val="0"/>
                <w:sz w:val="20"/>
                <w:szCs w:val="20"/>
              </w:rPr>
              <w:t>Objek usahatani cengkeh skala petani; penelitian ini pada perusahaan agribisnis hortikultura.</w:t>
            </w:r>
          </w:p>
        </w:tc>
        <w:tc>
          <w:tcPr>
            <w:tcW w:w="295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E514861">
            <w:pPr>
              <w:spacing w:before="40" w:after="40"/>
              <w:jc w:val="left"/>
            </w:pPr>
            <w:r>
              <w:rPr>
                <w:rFonts w:ascii="Times New Roman" w:hAnsi="Times New Roman" w:eastAsia="Times New Roman" w:cs="Times New Roman"/>
                <w:b w:val="0"/>
                <w:bCs w:val="0"/>
                <w:i w:val="0"/>
                <w:iCs w:val="0"/>
                <w:sz w:val="20"/>
                <w:szCs w:val="20"/>
              </w:rPr>
              <w:t>Usahatani cengkeh layak: NPV positif, IRR di atas suku bunga, Net B/C &gt; 1.</w:t>
            </w:r>
          </w:p>
        </w:tc>
      </w:tr>
      <w:tr w14:paraId="4E553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E6C4039">
            <w:pPr>
              <w:spacing w:before="40" w:after="40"/>
              <w:jc w:val="center"/>
            </w:pPr>
            <w:r>
              <w:rPr>
                <w:rFonts w:ascii="Times New Roman" w:hAnsi="Times New Roman" w:eastAsia="Times New Roman" w:cs="Times New Roman"/>
                <w:b w:val="0"/>
                <w:bCs w:val="0"/>
                <w:i w:val="0"/>
                <w:iCs w:val="0"/>
                <w:sz w:val="20"/>
                <w:szCs w:val="20"/>
              </w:rPr>
              <w:t>5</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D8D51CA">
            <w:pPr>
              <w:spacing w:before="40" w:after="20"/>
            </w:pPr>
            <w:r>
              <w:rPr>
                <w:rFonts w:ascii="Times New Roman" w:hAnsi="Times New Roman" w:eastAsia="Times New Roman" w:cs="Times New Roman"/>
                <w:i/>
                <w:iCs/>
                <w:sz w:val="20"/>
                <w:szCs w:val="20"/>
              </w:rPr>
              <w:t>Hamidah et al. (2025). Analisis Pendapatan dan Kelayakan Usahatani Kentang di Kabupaten Mojokerto.</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AC24286">
            <w:pPr>
              <w:spacing w:before="40" w:after="40"/>
              <w:jc w:val="left"/>
            </w:pPr>
            <w:r>
              <w:rPr>
                <w:rFonts w:ascii="Times New Roman" w:hAnsi="Times New Roman" w:eastAsia="Times New Roman" w:cs="Times New Roman"/>
                <w:b w:val="0"/>
                <w:bCs w:val="0"/>
                <w:i w:val="0"/>
                <w:iCs w:val="0"/>
                <w:sz w:val="20"/>
                <w:szCs w:val="20"/>
              </w:rPr>
              <w:t>Sama-sama mengkaji kelayakan usahatani kentang dengan indikator finansial.</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54F887">
            <w:pPr>
              <w:spacing w:before="40" w:after="40"/>
              <w:jc w:val="left"/>
            </w:pPr>
            <w:r>
              <w:rPr>
                <w:rFonts w:ascii="Times New Roman" w:hAnsi="Times New Roman" w:eastAsia="Times New Roman" w:cs="Times New Roman"/>
                <w:b w:val="0"/>
                <w:bCs w:val="0"/>
                <w:i w:val="0"/>
                <w:iCs w:val="0"/>
                <w:sz w:val="20"/>
                <w:szCs w:val="20"/>
              </w:rPr>
              <w:t>Dilakukan pada skala petani lokal Indonesia; penelitian ini pada perusahaan agribisnis Jepang.</w:t>
            </w:r>
          </w:p>
        </w:tc>
        <w:tc>
          <w:tcPr>
            <w:tcW w:w="295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5B24ADC">
            <w:pPr>
              <w:spacing w:before="40" w:after="40"/>
              <w:jc w:val="left"/>
            </w:pPr>
            <w:r>
              <w:rPr>
                <w:rFonts w:ascii="Times New Roman" w:hAnsi="Times New Roman" w:eastAsia="Times New Roman" w:cs="Times New Roman"/>
                <w:b w:val="0"/>
                <w:bCs w:val="0"/>
                <w:i w:val="0"/>
                <w:iCs w:val="0"/>
                <w:sz w:val="20"/>
                <w:szCs w:val="20"/>
              </w:rPr>
              <w:t>Usahatani kentang layak dikembangkan dengan pendapatan bersih dan R/C Ratio yang positif.</w:t>
            </w:r>
          </w:p>
        </w:tc>
      </w:tr>
    </w:tbl>
    <w:p w14:paraId="0D19E50E">
      <w:pPr>
        <w:spacing w:before="40" w:after="100"/>
        <w:jc w:val="left"/>
      </w:pPr>
      <w:r>
        <w:rPr>
          <w:rFonts w:ascii="Times New Roman" w:hAnsi="Times New Roman" w:eastAsia="Times New Roman" w:cs="Times New Roman"/>
          <w:i/>
          <w:iCs/>
          <w:sz w:val="20"/>
          <w:szCs w:val="20"/>
        </w:rPr>
        <w:t>Sumber: Dikompilasi dari berbagai sumber (2021–2025)</w:t>
      </w:r>
    </w:p>
    <w:p w14:paraId="515050DB">
      <w:pPr>
        <w:spacing w:before="80" w:after="80" w:line="276" w:lineRule="auto"/>
        <w:ind w:firstLine="709"/>
        <w:jc w:val="both"/>
      </w:pPr>
      <w:r>
        <w:rPr>
          <w:rFonts w:ascii="Times New Roman" w:hAnsi="Times New Roman" w:eastAsia="Times New Roman" w:cs="Times New Roman"/>
          <w:b w:val="0"/>
          <w:bCs w:val="0"/>
          <w:i w:val="0"/>
          <w:iCs w:val="0"/>
          <w:sz w:val="22"/>
          <w:szCs w:val="22"/>
        </w:rPr>
        <w:t>Berdasarkan tabel 1, seluruh penelitian terdahulu yang relevan konsisten menunjukkan hasil kelayakan finansial yang positif pada berbagai komoditas pertanian. Perbedaan utama penelitian ini terletak pada lokasi (Jepang), skala usaha (perusahaan agribisnis), serta penggunaan indikator yang lebih komprehensif mencakup NPV, IRR, Net B/C, dan R/C Ratio secara bersamaan dalam konteks usahatani hortikultura di negara maju.</w:t>
      </w:r>
    </w:p>
    <w:p w14:paraId="4E9CAD0D">
      <w:pPr>
        <w:spacing w:before="180" w:after="80"/>
        <w:jc w:val="left"/>
      </w:pPr>
      <w:r>
        <w:rPr>
          <w:rFonts w:ascii="Times New Roman" w:hAnsi="Times New Roman" w:eastAsia="Times New Roman" w:cs="Times New Roman"/>
          <w:b/>
          <w:bCs/>
          <w:sz w:val="22"/>
          <w:szCs w:val="22"/>
        </w:rPr>
        <w:t>METODE PENELITIAN</w:t>
      </w:r>
    </w:p>
    <w:p w14:paraId="7EFB460A">
      <w:pPr>
        <w:spacing w:before="140" w:after="60"/>
        <w:jc w:val="left"/>
      </w:pPr>
      <w:r>
        <w:rPr>
          <w:rFonts w:ascii="Times New Roman" w:hAnsi="Times New Roman" w:eastAsia="Times New Roman" w:cs="Times New Roman"/>
          <w:b/>
          <w:bCs/>
          <w:sz w:val="22"/>
          <w:szCs w:val="22"/>
        </w:rPr>
        <w:t>1. Metode dan Desain Penelitian</w:t>
      </w:r>
    </w:p>
    <w:p w14:paraId="2DF785C4">
      <w:pPr>
        <w:spacing w:before="80" w:after="80" w:line="276" w:lineRule="auto"/>
        <w:ind w:firstLine="709"/>
        <w:jc w:val="both"/>
      </w:pPr>
      <w:r>
        <w:rPr>
          <w:rFonts w:ascii="Times New Roman" w:hAnsi="Times New Roman" w:eastAsia="Times New Roman" w:cs="Times New Roman"/>
          <w:b w:val="0"/>
          <w:bCs w:val="0"/>
          <w:i w:val="0"/>
          <w:iCs w:val="0"/>
          <w:sz w:val="22"/>
          <w:szCs w:val="22"/>
        </w:rPr>
        <w:t>Penelitian ini menggunakan desain deskriptif kuantitatif dengan metode studi kasus, difokuskan pada pengelolaan komoditas kentang di PT Fujitake Shouten Co., Ltd, Prefektur Nagasaki, Jepang. Desain deskriptif kuantitatif digunakan untuk menggambarkan dan menganalisis kondisi kelayakan finansial usahatani berdasarkan data biaya dan penerimaan usaha secara numerik. Metode studi kasus dipilih karena penelitian difokuskan pada satu objek usaha secara mendalam sehingga hasil analisis mencerminkan kondisi aktual perusahaan (Soekartawi, 2019).</w:t>
      </w:r>
    </w:p>
    <w:p w14:paraId="3E93C096">
      <w:pPr>
        <w:spacing w:before="140" w:after="60"/>
        <w:jc w:val="left"/>
      </w:pPr>
      <w:r>
        <w:rPr>
          <w:rFonts w:ascii="Times New Roman" w:hAnsi="Times New Roman" w:eastAsia="Times New Roman" w:cs="Times New Roman"/>
          <w:b/>
          <w:bCs/>
          <w:sz w:val="22"/>
          <w:szCs w:val="22"/>
        </w:rPr>
        <w:t>2. Lokasi dan Waktu Penelitian</w:t>
      </w:r>
    </w:p>
    <w:p w14:paraId="71DE21D8">
      <w:pPr>
        <w:spacing w:before="80" w:after="80" w:line="276" w:lineRule="auto"/>
        <w:ind w:firstLine="709"/>
        <w:jc w:val="both"/>
      </w:pPr>
      <w:r>
        <w:rPr>
          <w:rFonts w:ascii="Times New Roman" w:hAnsi="Times New Roman" w:eastAsia="Times New Roman" w:cs="Times New Roman"/>
          <w:b w:val="0"/>
          <w:bCs w:val="0"/>
          <w:i w:val="0"/>
          <w:iCs w:val="0"/>
          <w:sz w:val="22"/>
          <w:szCs w:val="22"/>
        </w:rPr>
        <w:t>Penelitian dilaksanakan di PT Fujitake Shouten Co., Ltd, yang berlokasi di 1447-4 Uehara, Iimori-cho, Isahaya-shi, Prefektur Nagasaki, Jepang. Wilayah Isahaya memiliki luas sekitar 170,03 km² dengan populasi sekitar 133.000 jiwa. Isahaya dikenal memiliki lahan pertanian yang subur, sistem irigasi yang baik, dan iklim sedang dengan suhu tahunan rata-rata 16°C yang mendukung budidaya tanaman hortikultura. Pemilihan lokasi dilakukan secara purposive karena perusahaan menerapkan sistem pengelolaan pertanian modern dan merupakan tempat pelaksanaan kegiatan magang peneliti pada November 2023 hingga Juli 2024. Data dikumpulkan melalui observasi lapangan, wawancara terstruktur, dan dokumentasi.</w:t>
      </w:r>
    </w:p>
    <w:p w14:paraId="76254B30">
      <w:pPr>
        <w:spacing w:before="140" w:after="60"/>
        <w:jc w:val="left"/>
      </w:pPr>
      <w:r>
        <w:rPr>
          <w:rFonts w:ascii="Times New Roman" w:hAnsi="Times New Roman" w:eastAsia="Times New Roman" w:cs="Times New Roman"/>
          <w:b/>
          <w:bCs/>
          <w:sz w:val="22"/>
          <w:szCs w:val="22"/>
        </w:rPr>
        <w:t>3. Operasionalisasi Variabel</w:t>
      </w:r>
    </w:p>
    <w:p w14:paraId="24656D85">
      <w:pPr>
        <w:spacing w:before="80" w:after="80" w:line="276" w:lineRule="auto"/>
        <w:jc w:val="both"/>
      </w:pPr>
      <w:r>
        <w:rPr>
          <w:rFonts w:ascii="Times New Roman" w:hAnsi="Times New Roman" w:eastAsia="Times New Roman" w:cs="Times New Roman"/>
          <w:b w:val="0"/>
          <w:bCs w:val="0"/>
          <w:i w:val="0"/>
          <w:iCs w:val="0"/>
          <w:sz w:val="22"/>
          <w:szCs w:val="22"/>
        </w:rPr>
        <w:t>Berikut disajikan operasionalisasi variabel penelitian yang menggambarkan definisi operasional, indikator, dan skala pengukuran masing-masing variabel:</w:t>
      </w:r>
    </w:p>
    <w:p w14:paraId="56B2A834">
      <w:pPr>
        <w:spacing w:before="100" w:after="40"/>
        <w:jc w:val="center"/>
      </w:pPr>
      <w:r>
        <w:rPr>
          <w:rFonts w:ascii="Times New Roman" w:hAnsi="Times New Roman" w:eastAsia="Times New Roman" w:cs="Times New Roman"/>
          <w:b/>
          <w:bCs/>
          <w:sz w:val="22"/>
          <w:szCs w:val="22"/>
        </w:rPr>
        <w:t>Tabel 2. Operasionalisasi Variabel Penelitian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5"/>
        <w:gridCol w:w="1988"/>
        <w:gridCol w:w="2977"/>
        <w:gridCol w:w="2381"/>
        <w:gridCol w:w="1847"/>
      </w:tblGrid>
      <w:tr w14:paraId="4C826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3A0A9F33">
            <w:pPr>
              <w:spacing w:before="40" w:after="40"/>
              <w:jc w:val="center"/>
            </w:pPr>
            <w:r>
              <w:rPr>
                <w:rFonts w:ascii="Times New Roman" w:hAnsi="Times New Roman" w:eastAsia="Times New Roman" w:cs="Times New Roman"/>
                <w:b/>
                <w:bCs/>
                <w:i w:val="0"/>
                <w:iCs w:val="0"/>
                <w:sz w:val="20"/>
                <w:szCs w:val="20"/>
              </w:rPr>
              <w:t>No</w:t>
            </w:r>
          </w:p>
        </w:tc>
        <w:tc>
          <w:tcPr>
            <w:tcW w:w="2000"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120AFF74">
            <w:pPr>
              <w:spacing w:before="40" w:after="40"/>
              <w:jc w:val="center"/>
            </w:pPr>
            <w:r>
              <w:rPr>
                <w:rFonts w:ascii="Times New Roman" w:hAnsi="Times New Roman" w:eastAsia="Times New Roman" w:cs="Times New Roman"/>
                <w:b/>
                <w:bCs/>
                <w:i w:val="0"/>
                <w:iCs w:val="0"/>
                <w:sz w:val="20"/>
                <w:szCs w:val="20"/>
              </w:rPr>
              <w:t>Variabel</w:t>
            </w:r>
          </w:p>
        </w:tc>
        <w:tc>
          <w:tcPr>
            <w:tcW w:w="3000"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72312987">
            <w:pPr>
              <w:spacing w:before="40" w:after="40"/>
              <w:jc w:val="center"/>
            </w:pPr>
            <w:r>
              <w:rPr>
                <w:rFonts w:ascii="Times New Roman" w:hAnsi="Times New Roman" w:eastAsia="Times New Roman" w:cs="Times New Roman"/>
                <w:b/>
                <w:bCs/>
                <w:i w:val="0"/>
                <w:iCs w:val="0"/>
                <w:sz w:val="20"/>
                <w:szCs w:val="20"/>
              </w:rPr>
              <w:t>Definisi Operasional</w:t>
            </w:r>
          </w:p>
        </w:tc>
        <w:tc>
          <w:tcPr>
            <w:tcW w:w="2400"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22FDCF3F">
            <w:pPr>
              <w:spacing w:before="40" w:after="40"/>
              <w:jc w:val="center"/>
            </w:pPr>
            <w:r>
              <w:rPr>
                <w:rFonts w:ascii="Times New Roman" w:hAnsi="Times New Roman" w:eastAsia="Times New Roman" w:cs="Times New Roman"/>
                <w:b/>
                <w:bCs/>
                <w:i w:val="0"/>
                <w:iCs w:val="0"/>
                <w:sz w:val="20"/>
                <w:szCs w:val="20"/>
              </w:rPr>
              <w:t>Indikator</w:t>
            </w:r>
          </w:p>
        </w:tc>
        <w:tc>
          <w:tcPr>
            <w:tcW w:w="1858"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4B0E090F">
            <w:pPr>
              <w:spacing w:before="40" w:after="40"/>
              <w:jc w:val="center"/>
            </w:pPr>
            <w:r>
              <w:rPr>
                <w:rFonts w:ascii="Times New Roman" w:hAnsi="Times New Roman" w:eastAsia="Times New Roman" w:cs="Times New Roman"/>
                <w:b/>
                <w:bCs/>
                <w:i w:val="0"/>
                <w:iCs w:val="0"/>
                <w:sz w:val="20"/>
                <w:szCs w:val="20"/>
              </w:rPr>
              <w:t>Skala</w:t>
            </w:r>
          </w:p>
        </w:tc>
      </w:tr>
      <w:tr w14:paraId="3E990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F7504ED">
            <w:pPr>
              <w:spacing w:before="40" w:after="40"/>
              <w:jc w:val="center"/>
            </w:pPr>
            <w:r>
              <w:rPr>
                <w:rFonts w:ascii="Times New Roman" w:hAnsi="Times New Roman" w:eastAsia="Times New Roman" w:cs="Times New Roman"/>
                <w:b w:val="0"/>
                <w:bCs w:val="0"/>
                <w:i w:val="0"/>
                <w:iCs w:val="0"/>
                <w:sz w:val="20"/>
                <w:szCs w:val="20"/>
              </w:rPr>
              <w:t>1</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7B99D74">
            <w:pPr>
              <w:spacing w:before="40" w:after="40"/>
              <w:jc w:val="left"/>
            </w:pPr>
            <w:r>
              <w:rPr>
                <w:rFonts w:ascii="Times New Roman" w:hAnsi="Times New Roman" w:eastAsia="Times New Roman" w:cs="Times New Roman"/>
                <w:b w:val="0"/>
                <w:bCs w:val="0"/>
                <w:i w:val="0"/>
                <w:iCs w:val="0"/>
                <w:sz w:val="20"/>
                <w:szCs w:val="20"/>
              </w:rPr>
              <w:t>Biaya Produksi</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8762335">
            <w:pPr>
              <w:spacing w:before="40" w:after="40"/>
              <w:jc w:val="left"/>
            </w:pPr>
            <w:r>
              <w:rPr>
                <w:rFonts w:ascii="Times New Roman" w:hAnsi="Times New Roman" w:eastAsia="Times New Roman" w:cs="Times New Roman"/>
                <w:b w:val="0"/>
                <w:bCs w:val="0"/>
                <w:i w:val="0"/>
                <w:iCs w:val="0"/>
                <w:sz w:val="20"/>
                <w:szCs w:val="20"/>
              </w:rPr>
              <w:t>Seluruh pengeluaran yang terjadi selama proses produksi kentang, meliputi biaya tetap dan biaya variabel.</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BD56E48">
            <w:pPr>
              <w:spacing w:before="40" w:after="40"/>
              <w:jc w:val="left"/>
            </w:pPr>
            <w:r>
              <w:rPr>
                <w:rFonts w:ascii="Times New Roman" w:hAnsi="Times New Roman" w:eastAsia="Times New Roman" w:cs="Times New Roman"/>
                <w:b w:val="0"/>
                <w:bCs w:val="0"/>
                <w:i w:val="0"/>
                <w:iCs w:val="0"/>
                <w:sz w:val="20"/>
                <w:szCs w:val="20"/>
              </w:rPr>
              <w:t>FC, VC, TC (Rp)</w:t>
            </w:r>
          </w:p>
        </w:tc>
        <w:tc>
          <w:tcPr>
            <w:tcW w:w="185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09EEC9D">
            <w:pPr>
              <w:spacing w:before="40" w:after="40"/>
              <w:jc w:val="left"/>
            </w:pPr>
            <w:r>
              <w:rPr>
                <w:rFonts w:ascii="Times New Roman" w:hAnsi="Times New Roman" w:eastAsia="Times New Roman" w:cs="Times New Roman"/>
                <w:b w:val="0"/>
                <w:bCs w:val="0"/>
                <w:i w:val="0"/>
                <w:iCs w:val="0"/>
                <w:sz w:val="20"/>
                <w:szCs w:val="20"/>
              </w:rPr>
              <w:t>Rupiah (Rp)</w:t>
            </w:r>
          </w:p>
        </w:tc>
      </w:tr>
      <w:tr w14:paraId="159AE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B27DD79">
            <w:pPr>
              <w:spacing w:before="40" w:after="40"/>
              <w:jc w:val="center"/>
            </w:pPr>
            <w:r>
              <w:rPr>
                <w:rFonts w:ascii="Times New Roman" w:hAnsi="Times New Roman" w:eastAsia="Times New Roman" w:cs="Times New Roman"/>
                <w:b w:val="0"/>
                <w:bCs w:val="0"/>
                <w:i w:val="0"/>
                <w:iCs w:val="0"/>
                <w:sz w:val="20"/>
                <w:szCs w:val="20"/>
              </w:rPr>
              <w:t>2</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19E2465">
            <w:pPr>
              <w:spacing w:before="40" w:after="40"/>
              <w:jc w:val="left"/>
            </w:pPr>
            <w:r>
              <w:rPr>
                <w:rFonts w:ascii="Times New Roman" w:hAnsi="Times New Roman" w:eastAsia="Times New Roman" w:cs="Times New Roman"/>
                <w:b w:val="0"/>
                <w:bCs w:val="0"/>
                <w:i w:val="0"/>
                <w:iCs w:val="0"/>
                <w:sz w:val="20"/>
                <w:szCs w:val="20"/>
              </w:rPr>
              <w:t>Penerimaan Usaha</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333D515">
            <w:pPr>
              <w:spacing w:before="40" w:after="40"/>
              <w:jc w:val="left"/>
            </w:pPr>
            <w:r>
              <w:rPr>
                <w:rFonts w:ascii="Times New Roman" w:hAnsi="Times New Roman" w:eastAsia="Times New Roman" w:cs="Times New Roman"/>
                <w:b w:val="0"/>
                <w:bCs w:val="0"/>
                <w:i w:val="0"/>
                <w:iCs w:val="0"/>
                <w:sz w:val="20"/>
                <w:szCs w:val="20"/>
              </w:rPr>
              <w:t>Total nilai hasil penjualan kentang yang diperoleh perusahaan dalam satu periode produksi.</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624DCE6">
            <w:pPr>
              <w:spacing w:before="40" w:after="40"/>
              <w:jc w:val="left"/>
            </w:pPr>
            <w:r>
              <w:rPr>
                <w:rFonts w:ascii="Times New Roman" w:hAnsi="Times New Roman" w:eastAsia="Times New Roman" w:cs="Times New Roman"/>
                <w:b w:val="0"/>
                <w:bCs w:val="0"/>
                <w:i w:val="0"/>
                <w:iCs w:val="0"/>
                <w:sz w:val="20"/>
                <w:szCs w:val="20"/>
              </w:rPr>
              <w:t>TR = Q × P</w:t>
            </w:r>
          </w:p>
        </w:tc>
        <w:tc>
          <w:tcPr>
            <w:tcW w:w="185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9B5CFC7">
            <w:pPr>
              <w:spacing w:before="40" w:after="40"/>
              <w:jc w:val="left"/>
            </w:pPr>
            <w:r>
              <w:rPr>
                <w:rFonts w:ascii="Times New Roman" w:hAnsi="Times New Roman" w:eastAsia="Times New Roman" w:cs="Times New Roman"/>
                <w:b w:val="0"/>
                <w:bCs w:val="0"/>
                <w:i w:val="0"/>
                <w:iCs w:val="0"/>
                <w:sz w:val="20"/>
                <w:szCs w:val="20"/>
              </w:rPr>
              <w:t>Rupiah (Rp)</w:t>
            </w:r>
          </w:p>
        </w:tc>
      </w:tr>
      <w:tr w14:paraId="05C99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7730215">
            <w:pPr>
              <w:spacing w:before="40" w:after="40"/>
              <w:jc w:val="center"/>
            </w:pPr>
            <w:r>
              <w:rPr>
                <w:rFonts w:ascii="Times New Roman" w:hAnsi="Times New Roman" w:eastAsia="Times New Roman" w:cs="Times New Roman"/>
                <w:b w:val="0"/>
                <w:bCs w:val="0"/>
                <w:i w:val="0"/>
                <w:iCs w:val="0"/>
                <w:sz w:val="20"/>
                <w:szCs w:val="20"/>
              </w:rPr>
              <w:t>3</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14197C5">
            <w:pPr>
              <w:spacing w:before="40" w:after="40"/>
              <w:jc w:val="left"/>
            </w:pPr>
            <w:r>
              <w:rPr>
                <w:rFonts w:ascii="Times New Roman" w:hAnsi="Times New Roman" w:eastAsia="Times New Roman" w:cs="Times New Roman"/>
                <w:b w:val="0"/>
                <w:bCs w:val="0"/>
                <w:i w:val="0"/>
                <w:iCs w:val="0"/>
                <w:sz w:val="20"/>
                <w:szCs w:val="20"/>
              </w:rPr>
              <w:t>Pendapatan Bersih</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9510925">
            <w:pPr>
              <w:spacing w:before="40" w:after="40"/>
              <w:jc w:val="left"/>
            </w:pPr>
            <w:r>
              <w:rPr>
                <w:rFonts w:ascii="Times New Roman" w:hAnsi="Times New Roman" w:eastAsia="Times New Roman" w:cs="Times New Roman"/>
                <w:b w:val="0"/>
                <w:bCs w:val="0"/>
                <w:i w:val="0"/>
                <w:iCs w:val="0"/>
                <w:sz w:val="20"/>
                <w:szCs w:val="20"/>
              </w:rPr>
              <w:t>Selisih antara penerimaan usaha dan total biaya produksi yang dikeluarkan.</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3ECC6C7">
            <w:pPr>
              <w:spacing w:before="40" w:after="40"/>
              <w:jc w:val="left"/>
            </w:pPr>
            <w:r>
              <w:rPr>
                <w:rFonts w:ascii="Times New Roman" w:hAnsi="Times New Roman" w:eastAsia="Times New Roman" w:cs="Times New Roman"/>
                <w:b w:val="0"/>
                <w:bCs w:val="0"/>
                <w:i w:val="0"/>
                <w:iCs w:val="0"/>
                <w:sz w:val="20"/>
                <w:szCs w:val="20"/>
              </w:rPr>
              <w:t>π = TR − TC</w:t>
            </w:r>
          </w:p>
        </w:tc>
        <w:tc>
          <w:tcPr>
            <w:tcW w:w="185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BFEE1B4">
            <w:pPr>
              <w:spacing w:before="40" w:after="40"/>
              <w:jc w:val="left"/>
            </w:pPr>
            <w:r>
              <w:rPr>
                <w:rFonts w:ascii="Times New Roman" w:hAnsi="Times New Roman" w:eastAsia="Times New Roman" w:cs="Times New Roman"/>
                <w:b w:val="0"/>
                <w:bCs w:val="0"/>
                <w:i w:val="0"/>
                <w:iCs w:val="0"/>
                <w:sz w:val="20"/>
                <w:szCs w:val="20"/>
              </w:rPr>
              <w:t>Rupiah (Rp)</w:t>
            </w:r>
          </w:p>
        </w:tc>
      </w:tr>
      <w:tr w14:paraId="0319F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8BAA830">
            <w:pPr>
              <w:spacing w:before="40" w:after="40"/>
              <w:jc w:val="center"/>
            </w:pPr>
            <w:r>
              <w:rPr>
                <w:rFonts w:ascii="Times New Roman" w:hAnsi="Times New Roman" w:eastAsia="Times New Roman" w:cs="Times New Roman"/>
                <w:b w:val="0"/>
                <w:bCs w:val="0"/>
                <w:i w:val="0"/>
                <w:iCs w:val="0"/>
                <w:sz w:val="20"/>
                <w:szCs w:val="20"/>
              </w:rPr>
              <w:t>4</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0051DDF">
            <w:pPr>
              <w:spacing w:before="40" w:after="40"/>
              <w:jc w:val="left"/>
            </w:pPr>
            <w:r>
              <w:rPr>
                <w:rFonts w:ascii="Times New Roman" w:hAnsi="Times New Roman" w:eastAsia="Times New Roman" w:cs="Times New Roman"/>
                <w:b w:val="0"/>
                <w:bCs w:val="0"/>
                <w:i w:val="0"/>
                <w:iCs w:val="0"/>
                <w:sz w:val="20"/>
                <w:szCs w:val="20"/>
              </w:rPr>
              <w:t>R/C Ratio</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31AF859">
            <w:pPr>
              <w:spacing w:before="40" w:after="40"/>
              <w:jc w:val="left"/>
            </w:pPr>
            <w:r>
              <w:rPr>
                <w:rFonts w:ascii="Times New Roman" w:hAnsi="Times New Roman" w:eastAsia="Times New Roman" w:cs="Times New Roman"/>
                <w:b w:val="0"/>
                <w:bCs w:val="0"/>
                <w:i w:val="0"/>
                <w:iCs w:val="0"/>
                <w:sz w:val="20"/>
                <w:szCs w:val="20"/>
              </w:rPr>
              <w:t>Perbandingan antara total penerimaan dan total biaya. Nilai &gt; 1 berarti usaha layak dan efisien.</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CA43A5D">
            <w:pPr>
              <w:spacing w:before="40" w:after="40"/>
              <w:jc w:val="left"/>
            </w:pPr>
            <w:r>
              <w:rPr>
                <w:rFonts w:ascii="Times New Roman" w:hAnsi="Times New Roman" w:eastAsia="Times New Roman" w:cs="Times New Roman"/>
                <w:b w:val="0"/>
                <w:bCs w:val="0"/>
                <w:i w:val="0"/>
                <w:iCs w:val="0"/>
                <w:sz w:val="20"/>
                <w:szCs w:val="20"/>
              </w:rPr>
              <w:t>R/C = TR / TC</w:t>
            </w:r>
          </w:p>
        </w:tc>
        <w:tc>
          <w:tcPr>
            <w:tcW w:w="185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42D8095">
            <w:pPr>
              <w:spacing w:before="40" w:after="40"/>
              <w:jc w:val="left"/>
            </w:pPr>
            <w:r>
              <w:rPr>
                <w:rFonts w:ascii="Times New Roman" w:hAnsi="Times New Roman" w:eastAsia="Times New Roman" w:cs="Times New Roman"/>
                <w:b w:val="0"/>
                <w:bCs w:val="0"/>
                <w:i w:val="0"/>
                <w:iCs w:val="0"/>
                <w:sz w:val="20"/>
                <w:szCs w:val="20"/>
              </w:rPr>
              <w:t>Rasio</w:t>
            </w:r>
          </w:p>
        </w:tc>
      </w:tr>
      <w:tr w14:paraId="47CE7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E13D5A6">
            <w:pPr>
              <w:spacing w:before="40" w:after="40"/>
              <w:jc w:val="center"/>
            </w:pPr>
            <w:r>
              <w:rPr>
                <w:rFonts w:ascii="Times New Roman" w:hAnsi="Times New Roman" w:eastAsia="Times New Roman" w:cs="Times New Roman"/>
                <w:b w:val="0"/>
                <w:bCs w:val="0"/>
                <w:i w:val="0"/>
                <w:iCs w:val="0"/>
                <w:sz w:val="20"/>
                <w:szCs w:val="20"/>
              </w:rPr>
              <w:t>5</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D351EA4">
            <w:pPr>
              <w:spacing w:before="40" w:after="40"/>
              <w:jc w:val="left"/>
            </w:pPr>
            <w:r>
              <w:rPr>
                <w:rFonts w:ascii="Times New Roman" w:hAnsi="Times New Roman" w:eastAsia="Times New Roman" w:cs="Times New Roman"/>
                <w:b w:val="0"/>
                <w:bCs w:val="0"/>
                <w:i w:val="0"/>
                <w:iCs w:val="0"/>
                <w:sz w:val="20"/>
                <w:szCs w:val="20"/>
              </w:rPr>
              <w:t>NPV</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42205BF">
            <w:pPr>
              <w:spacing w:before="40" w:after="40"/>
              <w:jc w:val="left"/>
            </w:pPr>
            <w:r>
              <w:rPr>
                <w:rFonts w:ascii="Times New Roman" w:hAnsi="Times New Roman" w:eastAsia="Times New Roman" w:cs="Times New Roman"/>
                <w:b w:val="0"/>
                <w:bCs w:val="0"/>
                <w:i w:val="0"/>
                <w:iCs w:val="0"/>
                <w:sz w:val="20"/>
                <w:szCs w:val="20"/>
              </w:rPr>
              <w:t>Selisih antara nilai kini arus kas masuk dan arus kas keluar. Usaha layak jika NPV &gt; 0.</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4E9CC98">
            <w:pPr>
              <w:spacing w:before="40" w:after="40"/>
              <w:jc w:val="left"/>
            </w:pPr>
            <w:r>
              <w:rPr>
                <w:rFonts w:ascii="Times New Roman" w:hAnsi="Times New Roman" w:eastAsia="Times New Roman" w:cs="Times New Roman"/>
                <w:b w:val="0"/>
                <w:bCs w:val="0"/>
                <w:i w:val="0"/>
                <w:iCs w:val="0"/>
                <w:sz w:val="20"/>
                <w:szCs w:val="20"/>
              </w:rPr>
              <w:t>Nilai kini arus kas 5 tahun, diskonto 5%</w:t>
            </w:r>
          </w:p>
        </w:tc>
        <w:tc>
          <w:tcPr>
            <w:tcW w:w="185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1E1819">
            <w:pPr>
              <w:spacing w:before="40" w:after="40"/>
              <w:jc w:val="left"/>
            </w:pPr>
            <w:r>
              <w:rPr>
                <w:rFonts w:ascii="Times New Roman" w:hAnsi="Times New Roman" w:eastAsia="Times New Roman" w:cs="Times New Roman"/>
                <w:b w:val="0"/>
                <w:bCs w:val="0"/>
                <w:i w:val="0"/>
                <w:iCs w:val="0"/>
                <w:sz w:val="20"/>
                <w:szCs w:val="20"/>
              </w:rPr>
              <w:t>Rupiah (Rp)</w:t>
            </w:r>
          </w:p>
        </w:tc>
      </w:tr>
      <w:tr w14:paraId="17D35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A8539E">
            <w:pPr>
              <w:spacing w:before="40" w:after="40"/>
              <w:jc w:val="center"/>
            </w:pPr>
            <w:r>
              <w:rPr>
                <w:rFonts w:ascii="Times New Roman" w:hAnsi="Times New Roman" w:eastAsia="Times New Roman" w:cs="Times New Roman"/>
                <w:b w:val="0"/>
                <w:bCs w:val="0"/>
                <w:i w:val="0"/>
                <w:iCs w:val="0"/>
                <w:sz w:val="20"/>
                <w:szCs w:val="20"/>
              </w:rPr>
              <w:t>6</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E5F0B46">
            <w:pPr>
              <w:spacing w:before="40" w:after="40"/>
              <w:jc w:val="left"/>
            </w:pPr>
            <w:r>
              <w:rPr>
                <w:rFonts w:ascii="Times New Roman" w:hAnsi="Times New Roman" w:eastAsia="Times New Roman" w:cs="Times New Roman"/>
                <w:b w:val="0"/>
                <w:bCs w:val="0"/>
                <w:i w:val="0"/>
                <w:iCs w:val="0"/>
                <w:sz w:val="20"/>
                <w:szCs w:val="20"/>
              </w:rPr>
              <w:t>IRR</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05638F5">
            <w:pPr>
              <w:spacing w:before="40" w:after="40"/>
              <w:jc w:val="left"/>
            </w:pPr>
            <w:r>
              <w:rPr>
                <w:rFonts w:ascii="Times New Roman" w:hAnsi="Times New Roman" w:eastAsia="Times New Roman" w:cs="Times New Roman"/>
                <w:b w:val="0"/>
                <w:bCs w:val="0"/>
                <w:i w:val="0"/>
                <w:iCs w:val="0"/>
                <w:sz w:val="20"/>
                <w:szCs w:val="20"/>
              </w:rPr>
              <w:t>Tingkat suku bunga yang menjadikan NPV sama dengan nol. Layak jika IRR &gt; tingkat diskonto.</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8761860">
            <w:pPr>
              <w:spacing w:before="40" w:after="40"/>
              <w:jc w:val="left"/>
            </w:pPr>
            <w:r>
              <w:rPr>
                <w:rFonts w:ascii="Times New Roman" w:hAnsi="Times New Roman" w:eastAsia="Times New Roman" w:cs="Times New Roman"/>
                <w:b w:val="0"/>
                <w:bCs w:val="0"/>
                <w:i w:val="0"/>
                <w:iCs w:val="0"/>
                <w:sz w:val="20"/>
                <w:szCs w:val="20"/>
              </w:rPr>
              <w:t>Metode interpolasi</w:t>
            </w:r>
          </w:p>
        </w:tc>
        <w:tc>
          <w:tcPr>
            <w:tcW w:w="185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37CBA7A">
            <w:pPr>
              <w:spacing w:before="40" w:after="40"/>
              <w:jc w:val="left"/>
            </w:pPr>
            <w:r>
              <w:rPr>
                <w:rFonts w:ascii="Times New Roman" w:hAnsi="Times New Roman" w:eastAsia="Times New Roman" w:cs="Times New Roman"/>
                <w:b w:val="0"/>
                <w:bCs w:val="0"/>
                <w:i w:val="0"/>
                <w:iCs w:val="0"/>
                <w:sz w:val="20"/>
                <w:szCs w:val="20"/>
              </w:rPr>
              <w:t>Persentase (%)</w:t>
            </w:r>
          </w:p>
        </w:tc>
      </w:tr>
      <w:tr w14:paraId="3ED0F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81767F0">
            <w:pPr>
              <w:spacing w:before="40" w:after="40"/>
              <w:jc w:val="center"/>
            </w:pPr>
            <w:r>
              <w:rPr>
                <w:rFonts w:ascii="Times New Roman" w:hAnsi="Times New Roman" w:eastAsia="Times New Roman" w:cs="Times New Roman"/>
                <w:b w:val="0"/>
                <w:bCs w:val="0"/>
                <w:i w:val="0"/>
                <w:iCs w:val="0"/>
                <w:sz w:val="20"/>
                <w:szCs w:val="20"/>
              </w:rPr>
              <w:t>7</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5A8127E">
            <w:pPr>
              <w:spacing w:before="40" w:after="40"/>
              <w:jc w:val="left"/>
            </w:pPr>
            <w:r>
              <w:rPr>
                <w:rFonts w:ascii="Times New Roman" w:hAnsi="Times New Roman" w:eastAsia="Times New Roman" w:cs="Times New Roman"/>
                <w:b w:val="0"/>
                <w:bCs w:val="0"/>
                <w:i w:val="0"/>
                <w:iCs w:val="0"/>
                <w:sz w:val="20"/>
                <w:szCs w:val="20"/>
              </w:rPr>
              <w:t>Net B/C</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0F92C9A">
            <w:pPr>
              <w:spacing w:before="40" w:after="40"/>
              <w:jc w:val="left"/>
            </w:pPr>
            <w:r>
              <w:rPr>
                <w:rFonts w:ascii="Times New Roman" w:hAnsi="Times New Roman" w:eastAsia="Times New Roman" w:cs="Times New Roman"/>
                <w:b w:val="0"/>
                <w:bCs w:val="0"/>
                <w:i w:val="0"/>
                <w:iCs w:val="0"/>
                <w:sz w:val="20"/>
                <w:szCs w:val="20"/>
              </w:rPr>
              <w:t>Perbandingan PV manfaat dengan PV biaya selama umur usaha. Layak jika Net B/C &gt; 1.</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7134694">
            <w:pPr>
              <w:spacing w:before="40" w:after="40"/>
              <w:jc w:val="left"/>
            </w:pPr>
            <w:r>
              <w:rPr>
                <w:rFonts w:ascii="Times New Roman" w:hAnsi="Times New Roman" w:eastAsia="Times New Roman" w:cs="Times New Roman"/>
                <w:b w:val="0"/>
                <w:bCs w:val="0"/>
                <w:i w:val="0"/>
                <w:iCs w:val="0"/>
                <w:sz w:val="20"/>
                <w:szCs w:val="20"/>
              </w:rPr>
              <w:t>Net B/C = PV Benefit / PV Cost</w:t>
            </w:r>
          </w:p>
        </w:tc>
        <w:tc>
          <w:tcPr>
            <w:tcW w:w="185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06F16E3">
            <w:pPr>
              <w:spacing w:before="40" w:after="40"/>
              <w:jc w:val="left"/>
            </w:pPr>
            <w:r>
              <w:rPr>
                <w:rFonts w:ascii="Times New Roman" w:hAnsi="Times New Roman" w:eastAsia="Times New Roman" w:cs="Times New Roman"/>
                <w:b w:val="0"/>
                <w:bCs w:val="0"/>
                <w:i w:val="0"/>
                <w:iCs w:val="0"/>
                <w:sz w:val="20"/>
                <w:szCs w:val="20"/>
              </w:rPr>
              <w:t>Rasio</w:t>
            </w:r>
          </w:p>
        </w:tc>
      </w:tr>
    </w:tbl>
    <w:p w14:paraId="3FEA9889">
      <w:pPr>
        <w:spacing w:before="40" w:after="100"/>
        <w:jc w:val="left"/>
      </w:pPr>
      <w:r>
        <w:rPr>
          <w:rFonts w:ascii="Times New Roman" w:hAnsi="Times New Roman" w:eastAsia="Times New Roman" w:cs="Times New Roman"/>
          <w:i/>
          <w:iCs/>
          <w:sz w:val="20"/>
          <w:szCs w:val="20"/>
        </w:rPr>
        <w:t>Sumber: Disusun berdasarkan kajian pustaka (2024)</w:t>
      </w:r>
    </w:p>
    <w:p w14:paraId="433224B7">
      <w:pPr>
        <w:spacing w:before="140" w:after="60"/>
        <w:jc w:val="left"/>
      </w:pPr>
      <w:r>
        <w:rPr>
          <w:rFonts w:ascii="Times New Roman" w:hAnsi="Times New Roman" w:eastAsia="Times New Roman" w:cs="Times New Roman"/>
          <w:b/>
          <w:bCs/>
          <w:sz w:val="22"/>
          <w:szCs w:val="22"/>
        </w:rPr>
        <w:t>4. Metode Analisis Data</w:t>
      </w:r>
    </w:p>
    <w:p w14:paraId="77E6F30E">
      <w:pPr>
        <w:spacing w:before="80" w:after="80" w:line="276" w:lineRule="auto"/>
        <w:ind w:firstLine="709"/>
        <w:jc w:val="both"/>
      </w:pPr>
      <w:r>
        <w:rPr>
          <w:rFonts w:ascii="Times New Roman" w:hAnsi="Times New Roman" w:eastAsia="Times New Roman" w:cs="Times New Roman"/>
          <w:b w:val="0"/>
          <w:bCs w:val="0"/>
          <w:i w:val="0"/>
          <w:iCs w:val="0"/>
          <w:sz w:val="22"/>
          <w:szCs w:val="22"/>
        </w:rPr>
        <w:t>Analisis data dilakukan secara kuantitatif menggunakan: (1) TC = FC + VC untuk biaya produksi; (2) TR = Q × P untuk penerimaan usaha; (3) π = TR − TC untuk pendapatan bersih; (4) R/C = TR/TC untuk efisiensi usaha, layak jika R/C &gt; 1; (5) NPV dengan tingkat diskonto 5% selama 5 tahun, layak jika NPV &gt; 0; (6) IRR menggunakan metode interpolasi, layak jika IRR &gt; diskonto; dan (7) Net B/C = PV Manfaat / PV Biaya, layak jika Net B/C &gt; 1. Semua nilai dalam satuan Rupiah setelah konversi dari mata uang Yen Jepang menggunakan kurs referensi Bank Indonesia.</w:t>
      </w:r>
    </w:p>
    <w:p w14:paraId="1595809D">
      <w:pPr>
        <w:spacing w:before="180" w:after="80"/>
        <w:jc w:val="left"/>
      </w:pPr>
      <w:r>
        <w:rPr>
          <w:rFonts w:ascii="Times New Roman" w:hAnsi="Times New Roman" w:eastAsia="Times New Roman" w:cs="Times New Roman"/>
          <w:b/>
          <w:bCs/>
          <w:sz w:val="22"/>
          <w:szCs w:val="22"/>
        </w:rPr>
        <w:t>HASIL DAN PEMBAHASAN</w:t>
      </w:r>
    </w:p>
    <w:p w14:paraId="15E9EFE3">
      <w:pPr>
        <w:spacing w:before="140" w:after="60"/>
        <w:jc w:val="left"/>
      </w:pPr>
      <w:r>
        <w:rPr>
          <w:rFonts w:ascii="Times New Roman" w:hAnsi="Times New Roman" w:eastAsia="Times New Roman" w:cs="Times New Roman"/>
          <w:b/>
          <w:bCs/>
          <w:sz w:val="22"/>
          <w:szCs w:val="22"/>
        </w:rPr>
        <w:t>1. Gambaran Umum Perusahaan</w:t>
      </w:r>
    </w:p>
    <w:p w14:paraId="592C15E4">
      <w:pPr>
        <w:spacing w:before="80" w:after="80" w:line="276" w:lineRule="auto"/>
        <w:ind w:firstLine="709"/>
        <w:jc w:val="both"/>
      </w:pPr>
      <w:r>
        <w:rPr>
          <w:rFonts w:ascii="Times New Roman" w:hAnsi="Times New Roman" w:eastAsia="Times New Roman" w:cs="Times New Roman"/>
          <w:b w:val="0"/>
          <w:bCs w:val="0"/>
          <w:i w:val="0"/>
          <w:iCs w:val="0"/>
          <w:sz w:val="22"/>
          <w:szCs w:val="22"/>
        </w:rPr>
        <w:t>PT Fujitake Shouten Co., Ltd merupakan perusahaan agribisnis hortikultura yang berlokasi di 1447-4 Uehara, Iimori-cho, Isahaya-shi, Prefektur Nagasaki, Jepang. Perusahaan bergerak dalam pengelolaan komoditas pertanian, khususnya kentang, wortel, lobak (daikon), dan jahe, yang mencakup kegiatan mulai dari persiapan lahan, penanaman, pemeliharaan, panen, hingga penanganan pascapanen. Luas lahan usaha sekitar 2,73 hektar dengan kondisi agroklimat yang sangat mendukung pertumbuhan kentang. Proses produksi didukung oleh tenaga kerja lokal Jepang dan tenaga kerja asing yang bekerja terkoordinasi di bawah pengawasan manajer lapangan. Kegiatan operasional mencakup pengolahan lahan, penggunaan pupuk organik dan kimia, pengendalian hama dan penyakit, serta distribusi hasil panen ke pasar dan mitra usaha, termasuk kontrak jangka panjang dengan McDonald's Jepang.</w:t>
      </w:r>
    </w:p>
    <w:p w14:paraId="304E672D">
      <w:pPr>
        <w:spacing w:before="140" w:after="60"/>
        <w:jc w:val="left"/>
      </w:pPr>
      <w:r>
        <w:rPr>
          <w:rFonts w:ascii="Times New Roman" w:hAnsi="Times New Roman" w:eastAsia="Times New Roman" w:cs="Times New Roman"/>
          <w:b/>
          <w:bCs/>
          <w:sz w:val="22"/>
          <w:szCs w:val="22"/>
        </w:rPr>
        <w:t>2. Analisis Biaya Produksi</w:t>
      </w:r>
    </w:p>
    <w:p w14:paraId="4D7F52BB">
      <w:pPr>
        <w:spacing w:before="80" w:after="80" w:line="276" w:lineRule="auto"/>
        <w:jc w:val="both"/>
      </w:pPr>
      <w:r>
        <w:rPr>
          <w:rFonts w:ascii="Times New Roman" w:hAnsi="Times New Roman" w:eastAsia="Times New Roman" w:cs="Times New Roman"/>
          <w:b w:val="0"/>
          <w:bCs w:val="0"/>
          <w:i w:val="0"/>
          <w:iCs w:val="0"/>
          <w:sz w:val="22"/>
          <w:szCs w:val="22"/>
        </w:rPr>
        <w:t>Analisis biaya produksi dilakukan untuk mengetahui besarnya pengeluaran perusahaan dalam satu periode produksi kentang. Sesuai prinsip akuntansi pertanian, total biaya dihitung dari penjumlahan Biaya Tetap dan Biaya Variabel. Berikut rincian biaya produksi:</w:t>
      </w:r>
    </w:p>
    <w:p w14:paraId="665BB945">
      <w:pPr>
        <w:spacing w:before="100" w:after="40"/>
        <w:jc w:val="center"/>
      </w:pPr>
      <w:r>
        <w:rPr>
          <w:rFonts w:ascii="Times New Roman" w:hAnsi="Times New Roman" w:eastAsia="Times New Roman" w:cs="Times New Roman"/>
          <w:b/>
          <w:bCs/>
          <w:sz w:val="22"/>
          <w:szCs w:val="22"/>
        </w:rPr>
        <w:t>Tabel 3. Biaya Produksi Usahatani Kentang di PT Fujitake Shouten Co., Ltd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5"/>
        <w:gridCol w:w="3180"/>
        <w:gridCol w:w="1396"/>
        <w:gridCol w:w="2607"/>
        <w:gridCol w:w="2010"/>
      </w:tblGrid>
      <w:tr w14:paraId="6516F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0C92080A">
            <w:pPr>
              <w:spacing w:before="40" w:after="40"/>
              <w:jc w:val="center"/>
            </w:pPr>
            <w:r>
              <w:rPr>
                <w:rFonts w:ascii="Times New Roman" w:hAnsi="Times New Roman" w:eastAsia="Times New Roman" w:cs="Times New Roman"/>
                <w:b/>
                <w:bCs/>
                <w:i w:val="0"/>
                <w:iCs w:val="0"/>
                <w:sz w:val="20"/>
                <w:szCs w:val="20"/>
              </w:rPr>
              <w:t>No</w:t>
            </w:r>
          </w:p>
        </w:tc>
        <w:tc>
          <w:tcPr>
            <w:tcW w:w="3200"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5DC708D3">
            <w:pPr>
              <w:spacing w:before="40" w:after="40"/>
              <w:jc w:val="center"/>
            </w:pPr>
            <w:r>
              <w:rPr>
                <w:rFonts w:ascii="Times New Roman" w:hAnsi="Times New Roman" w:eastAsia="Times New Roman" w:cs="Times New Roman"/>
                <w:b/>
                <w:bCs/>
                <w:i w:val="0"/>
                <w:iCs w:val="0"/>
                <w:sz w:val="20"/>
                <w:szCs w:val="20"/>
              </w:rPr>
              <w:t>Komponen Biaya</w:t>
            </w:r>
          </w:p>
        </w:tc>
        <w:tc>
          <w:tcPr>
            <w:tcW w:w="1400"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2ECE265E">
            <w:pPr>
              <w:spacing w:before="40" w:after="40"/>
              <w:jc w:val="center"/>
            </w:pPr>
            <w:r>
              <w:rPr>
                <w:rFonts w:ascii="Times New Roman" w:hAnsi="Times New Roman" w:eastAsia="Times New Roman" w:cs="Times New Roman"/>
                <w:b/>
                <w:bCs/>
                <w:i w:val="0"/>
                <w:iCs w:val="0"/>
                <w:sz w:val="20"/>
                <w:szCs w:val="20"/>
              </w:rPr>
              <w:t>Kategori</w:t>
            </w:r>
          </w:p>
        </w:tc>
        <w:tc>
          <w:tcPr>
            <w:tcW w:w="2619"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59C83143">
            <w:pPr>
              <w:spacing w:before="40" w:after="40"/>
              <w:jc w:val="center"/>
            </w:pPr>
            <w:r>
              <w:rPr>
                <w:rFonts w:ascii="Times New Roman" w:hAnsi="Times New Roman" w:eastAsia="Times New Roman" w:cs="Times New Roman"/>
                <w:b/>
                <w:bCs/>
                <w:i w:val="0"/>
                <w:iCs w:val="0"/>
                <w:sz w:val="20"/>
                <w:szCs w:val="20"/>
              </w:rPr>
              <w:t>Biaya (Rp)</w:t>
            </w:r>
          </w:p>
        </w:tc>
        <w:tc>
          <w:tcPr>
            <w:tcW w:w="2019"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73A734B8">
            <w:pPr>
              <w:spacing w:before="40" w:after="40"/>
              <w:jc w:val="center"/>
            </w:pPr>
            <w:r>
              <w:rPr>
                <w:rFonts w:ascii="Times New Roman" w:hAnsi="Times New Roman" w:eastAsia="Times New Roman" w:cs="Times New Roman"/>
                <w:b/>
                <w:bCs/>
                <w:i w:val="0"/>
                <w:iCs w:val="0"/>
                <w:sz w:val="20"/>
                <w:szCs w:val="20"/>
              </w:rPr>
              <w:t>Persentase (%)</w:t>
            </w:r>
          </w:p>
        </w:tc>
      </w:tr>
      <w:tr w14:paraId="5EDBC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0DA03B1">
            <w:pPr>
              <w:spacing w:before="40" w:after="40"/>
              <w:jc w:val="center"/>
            </w:pPr>
            <w:r>
              <w:rPr>
                <w:rFonts w:ascii="Times New Roman" w:hAnsi="Times New Roman" w:eastAsia="Times New Roman" w:cs="Times New Roman"/>
                <w:b w:val="0"/>
                <w:bCs w:val="0"/>
                <w:i w:val="0"/>
                <w:iCs w:val="0"/>
                <w:sz w:val="20"/>
                <w:szCs w:val="20"/>
              </w:rPr>
              <w:t>A</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7B2E7EA">
            <w:pPr>
              <w:spacing w:before="40" w:after="40"/>
              <w:jc w:val="left"/>
            </w:pPr>
            <w:r>
              <w:rPr>
                <w:rFonts w:ascii="Times New Roman" w:hAnsi="Times New Roman" w:eastAsia="Times New Roman" w:cs="Times New Roman"/>
                <w:b/>
                <w:bCs/>
                <w:i w:val="0"/>
                <w:iCs w:val="0"/>
                <w:sz w:val="20"/>
                <w:szCs w:val="20"/>
              </w:rPr>
              <w:t>Biaya Tetap (Fixed Cost)</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9598250">
            <w:pPr>
              <w:spacing w:before="40" w:after="40"/>
              <w:jc w:val="center"/>
            </w:pPr>
          </w:p>
        </w:tc>
        <w:tc>
          <w:tcPr>
            <w:tcW w:w="26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229FBF3">
            <w:pPr>
              <w:spacing w:before="40" w:after="40"/>
              <w:jc w:val="center"/>
            </w:pPr>
          </w:p>
        </w:tc>
        <w:tc>
          <w:tcPr>
            <w:tcW w:w="20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31AF745">
            <w:pPr>
              <w:spacing w:before="40" w:after="40"/>
              <w:jc w:val="center"/>
            </w:pPr>
          </w:p>
        </w:tc>
      </w:tr>
      <w:tr w14:paraId="19766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82DAD14">
            <w:pPr>
              <w:spacing w:before="40" w:after="40"/>
              <w:jc w:val="center"/>
            </w:pPr>
            <w:r>
              <w:rPr>
                <w:rFonts w:ascii="Times New Roman" w:hAnsi="Times New Roman" w:eastAsia="Times New Roman" w:cs="Times New Roman"/>
                <w:b w:val="0"/>
                <w:bCs w:val="0"/>
                <w:i w:val="0"/>
                <w:iCs w:val="0"/>
                <w:sz w:val="20"/>
                <w:szCs w:val="20"/>
              </w:rPr>
              <w:t>1</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D61FE40">
            <w:pPr>
              <w:spacing w:before="40" w:after="40"/>
              <w:jc w:val="left"/>
            </w:pPr>
            <w:r>
              <w:rPr>
                <w:rFonts w:ascii="Times New Roman" w:hAnsi="Times New Roman" w:eastAsia="Times New Roman" w:cs="Times New Roman"/>
                <w:b w:val="0"/>
                <w:bCs w:val="0"/>
                <w:i w:val="0"/>
                <w:iCs w:val="0"/>
                <w:sz w:val="20"/>
                <w:szCs w:val="20"/>
              </w:rPr>
              <w:t>Sewa Lahan &amp; Penyusutan Alat</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1361B9">
            <w:pPr>
              <w:spacing w:before="40" w:after="40"/>
              <w:jc w:val="center"/>
            </w:pPr>
            <w:r>
              <w:rPr>
                <w:rFonts w:ascii="Times New Roman" w:hAnsi="Times New Roman" w:eastAsia="Times New Roman" w:cs="Times New Roman"/>
                <w:b w:val="0"/>
                <w:bCs w:val="0"/>
                <w:i w:val="0"/>
                <w:iCs w:val="0"/>
                <w:sz w:val="20"/>
                <w:szCs w:val="20"/>
              </w:rPr>
              <w:t>FC</w:t>
            </w:r>
          </w:p>
        </w:tc>
        <w:tc>
          <w:tcPr>
            <w:tcW w:w="26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2A04124">
            <w:pPr>
              <w:spacing w:before="40" w:after="40"/>
              <w:jc w:val="center"/>
            </w:pPr>
            <w:r>
              <w:rPr>
                <w:rFonts w:ascii="Times New Roman" w:hAnsi="Times New Roman" w:eastAsia="Times New Roman" w:cs="Times New Roman"/>
                <w:b w:val="0"/>
                <w:bCs w:val="0"/>
                <w:i w:val="0"/>
                <w:iCs w:val="0"/>
                <w:sz w:val="20"/>
                <w:szCs w:val="20"/>
              </w:rPr>
              <w:t>200.000.000</w:t>
            </w:r>
          </w:p>
        </w:tc>
        <w:tc>
          <w:tcPr>
            <w:tcW w:w="20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638CFDA">
            <w:pPr>
              <w:spacing w:before="40" w:after="40"/>
              <w:jc w:val="center"/>
            </w:pPr>
            <w:r>
              <w:rPr>
                <w:rFonts w:ascii="Times New Roman" w:hAnsi="Times New Roman" w:eastAsia="Times New Roman" w:cs="Times New Roman"/>
                <w:b w:val="0"/>
                <w:bCs w:val="0"/>
                <w:i w:val="0"/>
                <w:iCs w:val="0"/>
                <w:sz w:val="20"/>
                <w:szCs w:val="20"/>
              </w:rPr>
              <w:t>16,00</w:t>
            </w:r>
          </w:p>
        </w:tc>
      </w:tr>
      <w:tr w14:paraId="6B770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349B59">
            <w:pPr>
              <w:spacing w:before="40" w:after="40"/>
              <w:jc w:val="center"/>
            </w:pPr>
            <w:r>
              <w:rPr>
                <w:rFonts w:ascii="Times New Roman" w:hAnsi="Times New Roman" w:eastAsia="Times New Roman" w:cs="Times New Roman"/>
                <w:b w:val="0"/>
                <w:bCs w:val="0"/>
                <w:i w:val="0"/>
                <w:iCs w:val="0"/>
                <w:sz w:val="20"/>
                <w:szCs w:val="20"/>
              </w:rPr>
              <w:t>B</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2C5ACC4">
            <w:pPr>
              <w:spacing w:before="40" w:after="40"/>
              <w:jc w:val="left"/>
            </w:pPr>
            <w:r>
              <w:rPr>
                <w:rFonts w:ascii="Times New Roman" w:hAnsi="Times New Roman" w:eastAsia="Times New Roman" w:cs="Times New Roman"/>
                <w:b/>
                <w:bCs/>
                <w:i w:val="0"/>
                <w:iCs w:val="0"/>
                <w:sz w:val="20"/>
                <w:szCs w:val="20"/>
              </w:rPr>
              <w:t>Biaya Variabel (Variable Cost)</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6FA2622">
            <w:pPr>
              <w:spacing w:before="40" w:after="40"/>
              <w:jc w:val="center"/>
            </w:pPr>
          </w:p>
        </w:tc>
        <w:tc>
          <w:tcPr>
            <w:tcW w:w="26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A8D9C0E">
            <w:pPr>
              <w:spacing w:before="40" w:after="40"/>
              <w:jc w:val="center"/>
            </w:pPr>
          </w:p>
        </w:tc>
        <w:tc>
          <w:tcPr>
            <w:tcW w:w="20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0811599">
            <w:pPr>
              <w:spacing w:before="40" w:after="40"/>
              <w:jc w:val="center"/>
            </w:pPr>
          </w:p>
        </w:tc>
      </w:tr>
      <w:tr w14:paraId="789A7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0CAA90C">
            <w:pPr>
              <w:spacing w:before="40" w:after="40"/>
              <w:jc w:val="center"/>
            </w:pPr>
            <w:r>
              <w:rPr>
                <w:rFonts w:ascii="Times New Roman" w:hAnsi="Times New Roman" w:eastAsia="Times New Roman" w:cs="Times New Roman"/>
                <w:b w:val="0"/>
                <w:bCs w:val="0"/>
                <w:i w:val="0"/>
                <w:iCs w:val="0"/>
                <w:sz w:val="20"/>
                <w:szCs w:val="20"/>
              </w:rPr>
              <w:t>2</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BC825F">
            <w:pPr>
              <w:spacing w:before="40" w:after="40"/>
              <w:jc w:val="left"/>
            </w:pPr>
            <w:r>
              <w:rPr>
                <w:rFonts w:ascii="Times New Roman" w:hAnsi="Times New Roman" w:eastAsia="Times New Roman" w:cs="Times New Roman"/>
                <w:b w:val="0"/>
                <w:bCs w:val="0"/>
                <w:i w:val="0"/>
                <w:iCs w:val="0"/>
                <w:sz w:val="20"/>
                <w:szCs w:val="20"/>
              </w:rPr>
              <w:t>Bibit</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4743B67">
            <w:pPr>
              <w:spacing w:before="40" w:after="40"/>
              <w:jc w:val="center"/>
            </w:pPr>
            <w:r>
              <w:rPr>
                <w:rFonts w:ascii="Times New Roman" w:hAnsi="Times New Roman" w:eastAsia="Times New Roman" w:cs="Times New Roman"/>
                <w:b w:val="0"/>
                <w:bCs w:val="0"/>
                <w:i w:val="0"/>
                <w:iCs w:val="0"/>
                <w:sz w:val="20"/>
                <w:szCs w:val="20"/>
              </w:rPr>
              <w:t>VC</w:t>
            </w:r>
          </w:p>
        </w:tc>
        <w:tc>
          <w:tcPr>
            <w:tcW w:w="26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9E251F1">
            <w:pPr>
              <w:spacing w:before="40" w:after="40"/>
              <w:jc w:val="center"/>
            </w:pPr>
            <w:r>
              <w:rPr>
                <w:rFonts w:ascii="Times New Roman" w:hAnsi="Times New Roman" w:eastAsia="Times New Roman" w:cs="Times New Roman"/>
                <w:b w:val="0"/>
                <w:bCs w:val="0"/>
                <w:i w:val="0"/>
                <w:iCs w:val="0"/>
                <w:sz w:val="20"/>
                <w:szCs w:val="20"/>
              </w:rPr>
              <w:t>220.000.000</w:t>
            </w:r>
          </w:p>
        </w:tc>
        <w:tc>
          <w:tcPr>
            <w:tcW w:w="20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BBAEC48">
            <w:pPr>
              <w:spacing w:before="40" w:after="40"/>
              <w:jc w:val="center"/>
            </w:pPr>
            <w:r>
              <w:rPr>
                <w:rFonts w:ascii="Times New Roman" w:hAnsi="Times New Roman" w:eastAsia="Times New Roman" w:cs="Times New Roman"/>
                <w:b w:val="0"/>
                <w:bCs w:val="0"/>
                <w:i w:val="0"/>
                <w:iCs w:val="0"/>
                <w:sz w:val="20"/>
                <w:szCs w:val="20"/>
              </w:rPr>
              <w:t>17,60</w:t>
            </w:r>
          </w:p>
        </w:tc>
      </w:tr>
      <w:tr w14:paraId="74E36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5FDB780">
            <w:pPr>
              <w:spacing w:before="40" w:after="40"/>
              <w:jc w:val="center"/>
            </w:pPr>
            <w:r>
              <w:rPr>
                <w:rFonts w:ascii="Times New Roman" w:hAnsi="Times New Roman" w:eastAsia="Times New Roman" w:cs="Times New Roman"/>
                <w:b w:val="0"/>
                <w:bCs w:val="0"/>
                <w:i w:val="0"/>
                <w:iCs w:val="0"/>
                <w:sz w:val="20"/>
                <w:szCs w:val="20"/>
              </w:rPr>
              <w:t>3</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8EA5167">
            <w:pPr>
              <w:spacing w:before="40" w:after="40"/>
              <w:jc w:val="left"/>
            </w:pPr>
            <w:r>
              <w:rPr>
                <w:rFonts w:ascii="Times New Roman" w:hAnsi="Times New Roman" w:eastAsia="Times New Roman" w:cs="Times New Roman"/>
                <w:b w:val="0"/>
                <w:bCs w:val="0"/>
                <w:i w:val="0"/>
                <w:iCs w:val="0"/>
                <w:sz w:val="20"/>
                <w:szCs w:val="20"/>
              </w:rPr>
              <w:t>Pupuk Organik</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C8ACE1A">
            <w:pPr>
              <w:spacing w:before="40" w:after="40"/>
              <w:jc w:val="center"/>
            </w:pPr>
            <w:r>
              <w:rPr>
                <w:rFonts w:ascii="Times New Roman" w:hAnsi="Times New Roman" w:eastAsia="Times New Roman" w:cs="Times New Roman"/>
                <w:b w:val="0"/>
                <w:bCs w:val="0"/>
                <w:i w:val="0"/>
                <w:iCs w:val="0"/>
                <w:sz w:val="20"/>
                <w:szCs w:val="20"/>
              </w:rPr>
              <w:t>VC</w:t>
            </w:r>
          </w:p>
        </w:tc>
        <w:tc>
          <w:tcPr>
            <w:tcW w:w="26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362443B">
            <w:pPr>
              <w:spacing w:before="40" w:after="40"/>
              <w:jc w:val="center"/>
            </w:pPr>
            <w:r>
              <w:rPr>
                <w:rFonts w:ascii="Times New Roman" w:hAnsi="Times New Roman" w:eastAsia="Times New Roman" w:cs="Times New Roman"/>
                <w:b w:val="0"/>
                <w:bCs w:val="0"/>
                <w:i w:val="0"/>
                <w:iCs w:val="0"/>
                <w:sz w:val="20"/>
                <w:szCs w:val="20"/>
              </w:rPr>
              <w:t>110.000.000</w:t>
            </w:r>
          </w:p>
        </w:tc>
        <w:tc>
          <w:tcPr>
            <w:tcW w:w="20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9CF5C46">
            <w:pPr>
              <w:spacing w:before="40" w:after="40"/>
              <w:jc w:val="center"/>
            </w:pPr>
            <w:r>
              <w:rPr>
                <w:rFonts w:ascii="Times New Roman" w:hAnsi="Times New Roman" w:eastAsia="Times New Roman" w:cs="Times New Roman"/>
                <w:b w:val="0"/>
                <w:bCs w:val="0"/>
                <w:i w:val="0"/>
                <w:iCs w:val="0"/>
                <w:sz w:val="20"/>
                <w:szCs w:val="20"/>
              </w:rPr>
              <w:t>8,80</w:t>
            </w:r>
          </w:p>
        </w:tc>
      </w:tr>
      <w:tr w14:paraId="355FC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271610B">
            <w:pPr>
              <w:spacing w:before="40" w:after="40"/>
              <w:jc w:val="center"/>
            </w:pPr>
            <w:r>
              <w:rPr>
                <w:rFonts w:ascii="Times New Roman" w:hAnsi="Times New Roman" w:eastAsia="Times New Roman" w:cs="Times New Roman"/>
                <w:b w:val="0"/>
                <w:bCs w:val="0"/>
                <w:i w:val="0"/>
                <w:iCs w:val="0"/>
                <w:sz w:val="20"/>
                <w:szCs w:val="20"/>
              </w:rPr>
              <w:t>4</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3E2873B">
            <w:pPr>
              <w:spacing w:before="40" w:after="40"/>
              <w:jc w:val="left"/>
            </w:pPr>
            <w:r>
              <w:rPr>
                <w:rFonts w:ascii="Times New Roman" w:hAnsi="Times New Roman" w:eastAsia="Times New Roman" w:cs="Times New Roman"/>
                <w:b w:val="0"/>
                <w:bCs w:val="0"/>
                <w:i w:val="0"/>
                <w:iCs w:val="0"/>
                <w:sz w:val="20"/>
                <w:szCs w:val="20"/>
              </w:rPr>
              <w:t>Pupuk Kimia</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A27C97E">
            <w:pPr>
              <w:spacing w:before="40" w:after="40"/>
              <w:jc w:val="center"/>
            </w:pPr>
            <w:r>
              <w:rPr>
                <w:rFonts w:ascii="Times New Roman" w:hAnsi="Times New Roman" w:eastAsia="Times New Roman" w:cs="Times New Roman"/>
                <w:b w:val="0"/>
                <w:bCs w:val="0"/>
                <w:i w:val="0"/>
                <w:iCs w:val="0"/>
                <w:sz w:val="20"/>
                <w:szCs w:val="20"/>
              </w:rPr>
              <w:t>VC</w:t>
            </w:r>
          </w:p>
        </w:tc>
        <w:tc>
          <w:tcPr>
            <w:tcW w:w="26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5B5BDAE">
            <w:pPr>
              <w:spacing w:before="40" w:after="40"/>
              <w:jc w:val="center"/>
            </w:pPr>
            <w:r>
              <w:rPr>
                <w:rFonts w:ascii="Times New Roman" w:hAnsi="Times New Roman" w:eastAsia="Times New Roman" w:cs="Times New Roman"/>
                <w:b w:val="0"/>
                <w:bCs w:val="0"/>
                <w:i w:val="0"/>
                <w:iCs w:val="0"/>
                <w:sz w:val="20"/>
                <w:szCs w:val="20"/>
              </w:rPr>
              <w:t>250.000.000</w:t>
            </w:r>
          </w:p>
        </w:tc>
        <w:tc>
          <w:tcPr>
            <w:tcW w:w="20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2047039">
            <w:pPr>
              <w:spacing w:before="40" w:after="40"/>
              <w:jc w:val="center"/>
            </w:pPr>
            <w:r>
              <w:rPr>
                <w:rFonts w:ascii="Times New Roman" w:hAnsi="Times New Roman" w:eastAsia="Times New Roman" w:cs="Times New Roman"/>
                <w:b w:val="0"/>
                <w:bCs w:val="0"/>
                <w:i w:val="0"/>
                <w:iCs w:val="0"/>
                <w:sz w:val="20"/>
                <w:szCs w:val="20"/>
              </w:rPr>
              <w:t>20,00</w:t>
            </w:r>
          </w:p>
        </w:tc>
      </w:tr>
      <w:tr w14:paraId="52251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CDA21C4">
            <w:pPr>
              <w:spacing w:before="40" w:after="40"/>
              <w:jc w:val="center"/>
            </w:pPr>
            <w:r>
              <w:rPr>
                <w:rFonts w:ascii="Times New Roman" w:hAnsi="Times New Roman" w:eastAsia="Times New Roman" w:cs="Times New Roman"/>
                <w:b w:val="0"/>
                <w:bCs w:val="0"/>
                <w:i w:val="0"/>
                <w:iCs w:val="0"/>
                <w:sz w:val="20"/>
                <w:szCs w:val="20"/>
              </w:rPr>
              <w:t>5</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47D3B36">
            <w:pPr>
              <w:spacing w:before="40" w:after="40"/>
              <w:jc w:val="left"/>
            </w:pPr>
            <w:r>
              <w:rPr>
                <w:rFonts w:ascii="Times New Roman" w:hAnsi="Times New Roman" w:eastAsia="Times New Roman" w:cs="Times New Roman"/>
                <w:b w:val="0"/>
                <w:bCs w:val="0"/>
                <w:i w:val="0"/>
                <w:iCs w:val="0"/>
                <w:sz w:val="20"/>
                <w:szCs w:val="20"/>
              </w:rPr>
              <w:t>Pestisida</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BFAFACD">
            <w:pPr>
              <w:spacing w:before="40" w:after="40"/>
              <w:jc w:val="center"/>
            </w:pPr>
            <w:r>
              <w:rPr>
                <w:rFonts w:ascii="Times New Roman" w:hAnsi="Times New Roman" w:eastAsia="Times New Roman" w:cs="Times New Roman"/>
                <w:b w:val="0"/>
                <w:bCs w:val="0"/>
                <w:i w:val="0"/>
                <w:iCs w:val="0"/>
                <w:sz w:val="20"/>
                <w:szCs w:val="20"/>
              </w:rPr>
              <w:t>VC</w:t>
            </w:r>
          </w:p>
        </w:tc>
        <w:tc>
          <w:tcPr>
            <w:tcW w:w="26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ACA3AA">
            <w:pPr>
              <w:spacing w:before="40" w:after="40"/>
              <w:jc w:val="center"/>
            </w:pPr>
            <w:r>
              <w:rPr>
                <w:rFonts w:ascii="Times New Roman" w:hAnsi="Times New Roman" w:eastAsia="Times New Roman" w:cs="Times New Roman"/>
                <w:b w:val="0"/>
                <w:bCs w:val="0"/>
                <w:i w:val="0"/>
                <w:iCs w:val="0"/>
                <w:sz w:val="20"/>
                <w:szCs w:val="20"/>
              </w:rPr>
              <w:t>90.000.000</w:t>
            </w:r>
          </w:p>
        </w:tc>
        <w:tc>
          <w:tcPr>
            <w:tcW w:w="20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9CF41A">
            <w:pPr>
              <w:spacing w:before="40" w:after="40"/>
              <w:jc w:val="center"/>
            </w:pPr>
            <w:r>
              <w:rPr>
                <w:rFonts w:ascii="Times New Roman" w:hAnsi="Times New Roman" w:eastAsia="Times New Roman" w:cs="Times New Roman"/>
                <w:b w:val="0"/>
                <w:bCs w:val="0"/>
                <w:i w:val="0"/>
                <w:iCs w:val="0"/>
                <w:sz w:val="20"/>
                <w:szCs w:val="20"/>
              </w:rPr>
              <w:t>7,20</w:t>
            </w:r>
          </w:p>
        </w:tc>
      </w:tr>
      <w:tr w14:paraId="51B28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8DE2D8E">
            <w:pPr>
              <w:spacing w:before="40" w:after="40"/>
              <w:jc w:val="center"/>
            </w:pPr>
            <w:r>
              <w:rPr>
                <w:rFonts w:ascii="Times New Roman" w:hAnsi="Times New Roman" w:eastAsia="Times New Roman" w:cs="Times New Roman"/>
                <w:b w:val="0"/>
                <w:bCs w:val="0"/>
                <w:i w:val="0"/>
                <w:iCs w:val="0"/>
                <w:sz w:val="20"/>
                <w:szCs w:val="20"/>
              </w:rPr>
              <w:t>6</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294A48">
            <w:pPr>
              <w:spacing w:before="40" w:after="40"/>
              <w:jc w:val="left"/>
            </w:pPr>
            <w:r>
              <w:rPr>
                <w:rFonts w:ascii="Times New Roman" w:hAnsi="Times New Roman" w:eastAsia="Times New Roman" w:cs="Times New Roman"/>
                <w:b w:val="0"/>
                <w:bCs w:val="0"/>
                <w:i w:val="0"/>
                <w:iCs w:val="0"/>
                <w:sz w:val="20"/>
                <w:szCs w:val="20"/>
              </w:rPr>
              <w:t>Tenaga Kerja</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9F37EDE">
            <w:pPr>
              <w:spacing w:before="40" w:after="40"/>
              <w:jc w:val="center"/>
            </w:pPr>
            <w:r>
              <w:rPr>
                <w:rFonts w:ascii="Times New Roman" w:hAnsi="Times New Roman" w:eastAsia="Times New Roman" w:cs="Times New Roman"/>
                <w:b w:val="0"/>
                <w:bCs w:val="0"/>
                <w:i w:val="0"/>
                <w:iCs w:val="0"/>
                <w:sz w:val="20"/>
                <w:szCs w:val="20"/>
              </w:rPr>
              <w:t>VC</w:t>
            </w:r>
          </w:p>
        </w:tc>
        <w:tc>
          <w:tcPr>
            <w:tcW w:w="26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EFC4236">
            <w:pPr>
              <w:spacing w:before="40" w:after="40"/>
              <w:jc w:val="center"/>
            </w:pPr>
            <w:r>
              <w:rPr>
                <w:rFonts w:ascii="Times New Roman" w:hAnsi="Times New Roman" w:eastAsia="Times New Roman" w:cs="Times New Roman"/>
                <w:b w:val="0"/>
                <w:bCs w:val="0"/>
                <w:i w:val="0"/>
                <w:iCs w:val="0"/>
                <w:sz w:val="20"/>
                <w:szCs w:val="20"/>
              </w:rPr>
              <w:t>380.000.000</w:t>
            </w:r>
          </w:p>
        </w:tc>
        <w:tc>
          <w:tcPr>
            <w:tcW w:w="20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0F0BFC7">
            <w:pPr>
              <w:spacing w:before="40" w:after="40"/>
              <w:jc w:val="center"/>
            </w:pPr>
            <w:r>
              <w:rPr>
                <w:rFonts w:ascii="Times New Roman" w:hAnsi="Times New Roman" w:eastAsia="Times New Roman" w:cs="Times New Roman"/>
                <w:b w:val="0"/>
                <w:bCs w:val="0"/>
                <w:i w:val="0"/>
                <w:iCs w:val="0"/>
                <w:sz w:val="20"/>
                <w:szCs w:val="20"/>
              </w:rPr>
              <w:t>30,40</w:t>
            </w:r>
          </w:p>
        </w:tc>
      </w:tr>
      <w:tr w14:paraId="7AA9D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3E8F9013">
            <w:pPr>
              <w:spacing w:before="40" w:after="40"/>
              <w:jc w:val="center"/>
            </w:pPr>
          </w:p>
        </w:tc>
        <w:tc>
          <w:tcPr>
            <w:tcW w:w="3200"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14D24A50">
            <w:pPr>
              <w:spacing w:before="40" w:after="40"/>
              <w:jc w:val="left"/>
            </w:pPr>
            <w:r>
              <w:rPr>
                <w:rFonts w:ascii="Times New Roman" w:hAnsi="Times New Roman" w:eastAsia="Times New Roman" w:cs="Times New Roman"/>
                <w:b/>
                <w:bCs/>
                <w:i w:val="0"/>
                <w:iCs w:val="0"/>
                <w:sz w:val="20"/>
                <w:szCs w:val="20"/>
              </w:rPr>
              <w:t>Total Biaya Produksi (TC = FC + VC)</w:t>
            </w:r>
          </w:p>
        </w:tc>
        <w:tc>
          <w:tcPr>
            <w:tcW w:w="1400"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177C026D">
            <w:pPr>
              <w:spacing w:before="40" w:after="40"/>
              <w:jc w:val="center"/>
            </w:pPr>
          </w:p>
        </w:tc>
        <w:tc>
          <w:tcPr>
            <w:tcW w:w="2619"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5C77EC94">
            <w:pPr>
              <w:spacing w:before="40" w:after="40"/>
              <w:jc w:val="center"/>
            </w:pPr>
            <w:r>
              <w:rPr>
                <w:rFonts w:ascii="Times New Roman" w:hAnsi="Times New Roman" w:eastAsia="Times New Roman" w:cs="Times New Roman"/>
                <w:b/>
                <w:bCs/>
                <w:i w:val="0"/>
                <w:iCs w:val="0"/>
                <w:sz w:val="20"/>
                <w:szCs w:val="20"/>
              </w:rPr>
              <w:t>1.250.000.000</w:t>
            </w:r>
          </w:p>
        </w:tc>
        <w:tc>
          <w:tcPr>
            <w:tcW w:w="2019"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287045CC">
            <w:pPr>
              <w:spacing w:before="40" w:after="40"/>
              <w:jc w:val="center"/>
            </w:pPr>
            <w:r>
              <w:rPr>
                <w:rFonts w:ascii="Times New Roman" w:hAnsi="Times New Roman" w:eastAsia="Times New Roman" w:cs="Times New Roman"/>
                <w:b/>
                <w:bCs/>
                <w:i w:val="0"/>
                <w:iCs w:val="0"/>
                <w:sz w:val="20"/>
                <w:szCs w:val="20"/>
              </w:rPr>
              <w:t>100,00</w:t>
            </w:r>
          </w:p>
        </w:tc>
      </w:tr>
    </w:tbl>
    <w:p w14:paraId="2D8A3B35">
      <w:pPr>
        <w:spacing w:before="40" w:after="100"/>
        <w:jc w:val="left"/>
      </w:pPr>
      <w:r>
        <w:rPr>
          <w:rFonts w:ascii="Times New Roman" w:hAnsi="Times New Roman" w:eastAsia="Times New Roman" w:cs="Times New Roman"/>
          <w:i/>
          <w:iCs/>
          <w:sz w:val="20"/>
          <w:szCs w:val="20"/>
        </w:rPr>
        <w:t>Sumber: Data primer, diolah (2024)</w:t>
      </w:r>
    </w:p>
    <w:p w14:paraId="48E24F54">
      <w:pPr>
        <w:spacing w:before="80" w:after="80" w:line="276" w:lineRule="auto"/>
        <w:ind w:firstLine="709"/>
        <w:jc w:val="both"/>
      </w:pPr>
      <w:r>
        <w:rPr>
          <w:rFonts w:ascii="Times New Roman" w:hAnsi="Times New Roman" w:eastAsia="Times New Roman" w:cs="Times New Roman"/>
          <w:b w:val="0"/>
          <w:bCs w:val="0"/>
          <w:i w:val="0"/>
          <w:iCs w:val="0"/>
          <w:sz w:val="22"/>
          <w:szCs w:val="22"/>
        </w:rPr>
        <w:t>Berdasarkan Tabel 3, total biaya produksi adalah Rp1.250.000.000, terdiri atas Biaya Tetap (FC) Rp200.000.000 dan Biaya Variabel (VC) Rp1.050.000.000. Komponen biaya variabel terbesar berasal dari tenaga kerja sebesar Rp380.000.000 (30,40%), diikuti pupuk kimia Rp250.000.000 (20,00%) dan bibit Rp220.000.000 (17,60%). Tingginya proporsi biaya tenaga kerja mencerminkan karakteristik budidaya kentang yang memerlukan penanganan intensif secara manual pada tahapan seleksi benih, penyiangan gulma, pemanenan yang cermat agar umbi tidak rusak, hingga proses penyortiran (grading) berdasarkan bobot di gudang pascapanen. Kondisi ini diperkuat oleh Yamashita (2022) dan Otsuka &amp; Liu (2021) yang menyatakan bahwa kelangkaan tenaga kerja domestik akibat penuaan populasi di sektor pertanian Jepang memaksa perusahaan agribisnis menaikkan standar upah operasional.</w:t>
      </w:r>
    </w:p>
    <w:p w14:paraId="1E72D528">
      <w:pPr>
        <w:spacing w:before="80" w:after="80" w:line="276" w:lineRule="auto"/>
        <w:ind w:firstLine="709"/>
        <w:jc w:val="both"/>
      </w:pPr>
      <w:r>
        <w:rPr>
          <w:rFonts w:ascii="Times New Roman" w:hAnsi="Times New Roman" w:eastAsia="Times New Roman" w:cs="Times New Roman"/>
          <w:b w:val="0"/>
          <w:bCs w:val="0"/>
          <w:i w:val="0"/>
          <w:iCs w:val="0"/>
          <w:sz w:val="22"/>
          <w:szCs w:val="22"/>
        </w:rPr>
        <w:t>Penggunaan pupuk kimia yang cukup besar (Rp250.000.000) merupakan investasi penting untuk meningkatkan produktivitas lahan. Menurut Kadariah et al. (2018), pengeluaran input produksi yang besar secara ekonomi dibenarkan selama penambahan input tersebut mampu menstimulasi volume output secara proporsional. Dalam kasus ini, kombinasi input modern berhasil memicu produktivitas lahan hingga menghasilkan total panen 40.000 kg pada lahan aktif 2,73 hektar, atau setara dengan produktivitas sekitar 14.652 kg/hektar.</w:t>
      </w:r>
    </w:p>
    <w:p w14:paraId="1F72A827">
      <w:pPr>
        <w:spacing w:before="140" w:after="60"/>
        <w:jc w:val="left"/>
      </w:pPr>
      <w:r>
        <w:rPr>
          <w:rFonts w:ascii="Times New Roman" w:hAnsi="Times New Roman" w:eastAsia="Times New Roman" w:cs="Times New Roman"/>
          <w:b/>
          <w:bCs/>
          <w:sz w:val="22"/>
          <w:szCs w:val="22"/>
        </w:rPr>
        <w:t>3. Analisis Penerimaan dan Pendapatan Usaha</w:t>
      </w:r>
    </w:p>
    <w:p w14:paraId="30CA4FD3">
      <w:pPr>
        <w:spacing w:before="80" w:after="80" w:line="276" w:lineRule="auto"/>
        <w:ind w:firstLine="709"/>
        <w:jc w:val="both"/>
      </w:pPr>
      <w:r>
        <w:rPr>
          <w:rFonts w:ascii="Times New Roman" w:hAnsi="Times New Roman" w:eastAsia="Times New Roman" w:cs="Times New Roman"/>
          <w:b w:val="0"/>
          <w:bCs w:val="0"/>
          <w:i w:val="0"/>
          <w:iCs w:val="0"/>
          <w:sz w:val="22"/>
          <w:szCs w:val="22"/>
        </w:rPr>
        <w:t>Penerimaan usaha diperoleh dari perkalian jumlah produksi dengan harga jual. Produksi kentang yang dihasilkan mencapai 40.000 kg dengan harga jual rata-rata Rp42.900/kg. Stabilitas harga jual yang relatif premium ini terjaga melalui kerja sama kontrak jangka panjang dengan korporasi besar termasuk McDonald's. Menurut Fathurrohman (2021), sistem pertanian kontrak (contract farming) memberikan kepastian harga beli dan volume penyerapan sehingga melindungi pendapatan dari volatilitas harga pasar bebas. Perhitungan penerimaan:</w:t>
      </w:r>
    </w:p>
    <w:p w14:paraId="35EF5195">
      <w:pPr>
        <w:spacing w:before="40" w:after="40" w:line="276" w:lineRule="auto"/>
        <w:jc w:val="left"/>
      </w:pPr>
      <w:r>
        <w:rPr>
          <w:rFonts w:ascii="Times New Roman" w:hAnsi="Times New Roman" w:eastAsia="Times New Roman" w:cs="Times New Roman"/>
          <w:b w:val="0"/>
          <w:bCs w:val="0"/>
          <w:i w:val="0"/>
          <w:iCs w:val="0"/>
          <w:sz w:val="22"/>
          <w:szCs w:val="22"/>
        </w:rPr>
        <w:t xml:space="preserve">TR = Q × P = 40.000 × Rp42.900 = </w:t>
      </w:r>
      <w:r>
        <w:rPr>
          <w:rFonts w:ascii="Times New Roman" w:hAnsi="Times New Roman" w:eastAsia="Times New Roman" w:cs="Times New Roman"/>
          <w:b/>
          <w:bCs/>
          <w:i w:val="0"/>
          <w:iCs w:val="0"/>
          <w:sz w:val="22"/>
          <w:szCs w:val="22"/>
        </w:rPr>
        <w:t>Rp1.716.000.000</w:t>
      </w:r>
    </w:p>
    <w:p w14:paraId="150B0672">
      <w:pPr>
        <w:spacing w:before="40" w:after="40" w:line="276" w:lineRule="auto"/>
        <w:jc w:val="both"/>
      </w:pPr>
      <w:r>
        <w:rPr>
          <w:rFonts w:ascii="Times New Roman" w:hAnsi="Times New Roman" w:eastAsia="Times New Roman" w:cs="Times New Roman"/>
          <w:b w:val="0"/>
          <w:bCs w:val="0"/>
          <w:i w:val="0"/>
          <w:iCs w:val="0"/>
          <w:sz w:val="22"/>
          <w:szCs w:val="22"/>
        </w:rPr>
        <w:t>Pendapatan bersih dihitung sebagai selisih antara penerimaan dan total biaya:</w:t>
      </w:r>
    </w:p>
    <w:p w14:paraId="0492326C">
      <w:pPr>
        <w:spacing w:before="40" w:after="40" w:line="276" w:lineRule="auto"/>
        <w:jc w:val="left"/>
      </w:pPr>
      <w:r>
        <w:rPr>
          <w:rFonts w:ascii="Times New Roman" w:hAnsi="Times New Roman" w:eastAsia="Times New Roman" w:cs="Times New Roman"/>
          <w:b w:val="0"/>
          <w:bCs w:val="0"/>
          <w:i w:val="0"/>
          <w:iCs w:val="0"/>
          <w:sz w:val="22"/>
          <w:szCs w:val="22"/>
        </w:rPr>
        <w:t xml:space="preserve">π = TR − TC = Rp1.716.000.000 − Rp1.250.000.000 = </w:t>
      </w:r>
      <w:r>
        <w:rPr>
          <w:rFonts w:ascii="Times New Roman" w:hAnsi="Times New Roman" w:eastAsia="Times New Roman" w:cs="Times New Roman"/>
          <w:b/>
          <w:bCs/>
          <w:i w:val="0"/>
          <w:iCs w:val="0"/>
          <w:sz w:val="22"/>
          <w:szCs w:val="22"/>
        </w:rPr>
        <w:t>Rp466.000.000</w:t>
      </w:r>
    </w:p>
    <w:p w14:paraId="5849EF2D">
      <w:pPr>
        <w:spacing w:before="40" w:after="40" w:line="276" w:lineRule="auto"/>
        <w:jc w:val="both"/>
      </w:pPr>
      <w:r>
        <w:rPr>
          <w:rFonts w:ascii="Times New Roman" w:hAnsi="Times New Roman" w:eastAsia="Times New Roman" w:cs="Times New Roman"/>
          <w:b w:val="0"/>
          <w:bCs w:val="0"/>
          <w:i w:val="0"/>
          <w:iCs w:val="0"/>
          <w:sz w:val="22"/>
          <w:szCs w:val="22"/>
        </w:rPr>
        <w:t>Nilai efisiensi operasional (R/C Ratio) yang dihasilkan adalah:</w:t>
      </w:r>
    </w:p>
    <w:p w14:paraId="7EF620E3">
      <w:pPr>
        <w:spacing w:before="40" w:after="80" w:line="276" w:lineRule="auto"/>
        <w:jc w:val="left"/>
      </w:pPr>
      <w:r>
        <w:rPr>
          <w:rFonts w:ascii="Times New Roman" w:hAnsi="Times New Roman" w:eastAsia="Times New Roman" w:cs="Times New Roman"/>
          <w:b w:val="0"/>
          <w:bCs w:val="0"/>
          <w:i w:val="0"/>
          <w:iCs w:val="0"/>
          <w:sz w:val="22"/>
          <w:szCs w:val="22"/>
        </w:rPr>
        <w:t xml:space="preserve">R/C Ratio = Rp1.716.000.000 / Rp1.250.000.000 = </w:t>
      </w:r>
      <w:r>
        <w:rPr>
          <w:rFonts w:ascii="Times New Roman" w:hAnsi="Times New Roman" w:eastAsia="Times New Roman" w:cs="Times New Roman"/>
          <w:b/>
          <w:bCs/>
          <w:i w:val="0"/>
          <w:iCs w:val="0"/>
          <w:sz w:val="22"/>
          <w:szCs w:val="22"/>
        </w:rPr>
        <w:t>1,37</w:t>
      </w:r>
    </w:p>
    <w:p w14:paraId="05105297">
      <w:pPr>
        <w:spacing w:before="80" w:after="80" w:line="276" w:lineRule="auto"/>
        <w:ind w:firstLine="709"/>
        <w:jc w:val="both"/>
      </w:pPr>
      <w:r>
        <w:rPr>
          <w:rFonts w:ascii="Times New Roman" w:hAnsi="Times New Roman" w:eastAsia="Times New Roman" w:cs="Times New Roman"/>
          <w:b w:val="0"/>
          <w:bCs w:val="0"/>
          <w:i w:val="0"/>
          <w:iCs w:val="0"/>
          <w:sz w:val="22"/>
          <w:szCs w:val="22"/>
        </w:rPr>
        <w:t>Nilai R/C Ratio sebesar 1,37 berarti setiap pengeluaran biaya Rp1 menghasilkan penerimaan Rp1,37. Karena nilai ini lebih besar dari 1, maka usahatani kentang dinyatakan efisien dan layak secara finansial dari aspek operasional.</w:t>
      </w:r>
    </w:p>
    <w:p w14:paraId="105607D3">
      <w:pPr>
        <w:spacing w:before="140" w:after="60"/>
        <w:jc w:val="left"/>
      </w:pPr>
      <w:r>
        <w:rPr>
          <w:rFonts w:ascii="Times New Roman" w:hAnsi="Times New Roman" w:eastAsia="Times New Roman" w:cs="Times New Roman"/>
          <w:b/>
          <w:bCs/>
          <w:sz w:val="22"/>
          <w:szCs w:val="22"/>
        </w:rPr>
        <w:t>4. Risiko Usahatani Kentang</w:t>
      </w:r>
    </w:p>
    <w:p w14:paraId="0E476EB0">
      <w:pPr>
        <w:spacing w:before="80" w:after="80" w:line="276" w:lineRule="auto"/>
        <w:jc w:val="both"/>
      </w:pPr>
      <w:r>
        <w:rPr>
          <w:rFonts w:ascii="Times New Roman" w:hAnsi="Times New Roman" w:eastAsia="Times New Roman" w:cs="Times New Roman"/>
          <w:b w:val="0"/>
          <w:bCs w:val="0"/>
          <w:i w:val="0"/>
          <w:iCs w:val="0"/>
          <w:sz w:val="22"/>
          <w:szCs w:val="22"/>
        </w:rPr>
        <w:t>Risiko merupakan faktor penting yang tidak dapat dipisahkan dari kegiatan usahatani. Dalam konteks usahatani kentang di Jepang, terdapat beberapa jenis risiko yang perlu diidentifikasi dan dimitigasi:</w:t>
      </w:r>
    </w:p>
    <w:p w14:paraId="3651C708">
      <w:pPr>
        <w:spacing w:before="100" w:after="40"/>
        <w:jc w:val="center"/>
      </w:pPr>
      <w:r>
        <w:rPr>
          <w:rFonts w:ascii="Times New Roman" w:hAnsi="Times New Roman" w:eastAsia="Times New Roman" w:cs="Times New Roman"/>
          <w:b/>
          <w:bCs/>
          <w:sz w:val="22"/>
          <w:szCs w:val="22"/>
        </w:rPr>
        <w:t>Tabel 4. Identifikasi Risiko dan Strategi Mitigasi Usahatani Kentang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5"/>
        <w:gridCol w:w="2383"/>
        <w:gridCol w:w="3180"/>
        <w:gridCol w:w="3630"/>
      </w:tblGrid>
      <w:tr w14:paraId="5FECB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407ADC7B">
            <w:pPr>
              <w:spacing w:before="40" w:after="40"/>
              <w:jc w:val="center"/>
            </w:pPr>
            <w:r>
              <w:rPr>
                <w:rFonts w:ascii="Times New Roman" w:hAnsi="Times New Roman" w:eastAsia="Times New Roman" w:cs="Times New Roman"/>
                <w:b/>
                <w:bCs/>
                <w:i w:val="0"/>
                <w:iCs w:val="0"/>
                <w:sz w:val="20"/>
                <w:szCs w:val="20"/>
              </w:rPr>
              <w:t>No</w:t>
            </w:r>
          </w:p>
        </w:tc>
        <w:tc>
          <w:tcPr>
            <w:tcW w:w="2400"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26E50193">
            <w:pPr>
              <w:spacing w:before="40" w:after="40"/>
              <w:jc w:val="center"/>
            </w:pPr>
            <w:r>
              <w:rPr>
                <w:rFonts w:ascii="Times New Roman" w:hAnsi="Times New Roman" w:eastAsia="Times New Roman" w:cs="Times New Roman"/>
                <w:b/>
                <w:bCs/>
                <w:i w:val="0"/>
                <w:iCs w:val="0"/>
                <w:sz w:val="20"/>
                <w:szCs w:val="20"/>
              </w:rPr>
              <w:t>Jenis Risiko</w:t>
            </w:r>
          </w:p>
        </w:tc>
        <w:tc>
          <w:tcPr>
            <w:tcW w:w="3200"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6CB363E3">
            <w:pPr>
              <w:spacing w:before="40" w:after="40"/>
              <w:jc w:val="center"/>
            </w:pPr>
            <w:r>
              <w:rPr>
                <w:rFonts w:ascii="Times New Roman" w:hAnsi="Times New Roman" w:eastAsia="Times New Roman" w:cs="Times New Roman"/>
                <w:b/>
                <w:bCs/>
                <w:i w:val="0"/>
                <w:iCs w:val="0"/>
                <w:sz w:val="20"/>
                <w:szCs w:val="20"/>
              </w:rPr>
              <w:t>Deskripsi</w:t>
            </w:r>
          </w:p>
        </w:tc>
        <w:tc>
          <w:tcPr>
            <w:tcW w:w="3658"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68801AA2">
            <w:pPr>
              <w:spacing w:before="40" w:after="40"/>
              <w:jc w:val="center"/>
            </w:pPr>
            <w:r>
              <w:rPr>
                <w:rFonts w:ascii="Times New Roman" w:hAnsi="Times New Roman" w:eastAsia="Times New Roman" w:cs="Times New Roman"/>
                <w:b/>
                <w:bCs/>
                <w:i w:val="0"/>
                <w:iCs w:val="0"/>
                <w:sz w:val="20"/>
                <w:szCs w:val="20"/>
              </w:rPr>
              <w:t>Strategi Mitigasi</w:t>
            </w:r>
          </w:p>
        </w:tc>
      </w:tr>
      <w:tr w14:paraId="77CB4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CBCE7C2">
            <w:pPr>
              <w:spacing w:before="40" w:after="40"/>
              <w:jc w:val="center"/>
            </w:pPr>
            <w:r>
              <w:rPr>
                <w:rFonts w:ascii="Times New Roman" w:hAnsi="Times New Roman" w:eastAsia="Times New Roman" w:cs="Times New Roman"/>
                <w:b w:val="0"/>
                <w:bCs w:val="0"/>
                <w:i w:val="0"/>
                <w:iCs w:val="0"/>
                <w:sz w:val="20"/>
                <w:szCs w:val="20"/>
              </w:rPr>
              <w:t>1</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7D77145">
            <w:pPr>
              <w:spacing w:before="40" w:after="40"/>
              <w:jc w:val="left"/>
            </w:pPr>
            <w:r>
              <w:rPr>
                <w:rFonts w:ascii="Times New Roman" w:hAnsi="Times New Roman" w:eastAsia="Times New Roman" w:cs="Times New Roman"/>
                <w:b w:val="0"/>
                <w:bCs w:val="0"/>
                <w:i w:val="0"/>
                <w:iCs w:val="0"/>
                <w:sz w:val="20"/>
                <w:szCs w:val="20"/>
              </w:rPr>
              <w:t>Risiko Produksi – Penyakit Tanaman</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0391B40">
            <w:pPr>
              <w:spacing w:before="40" w:after="40"/>
              <w:jc w:val="left"/>
            </w:pPr>
            <w:r>
              <w:rPr>
                <w:rFonts w:ascii="Times New Roman" w:hAnsi="Times New Roman" w:eastAsia="Times New Roman" w:cs="Times New Roman"/>
                <w:b w:val="0"/>
                <w:bCs w:val="0"/>
                <w:i w:val="0"/>
                <w:iCs w:val="0"/>
                <w:sz w:val="20"/>
                <w:szCs w:val="20"/>
              </w:rPr>
              <w:t>Serangan penyakit busuk daun (late blight) yang menyebar cepat pada kondisi lembab dan curah hujan tinggi.</w:t>
            </w:r>
          </w:p>
        </w:tc>
        <w:tc>
          <w:tcPr>
            <w:tcW w:w="365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E8396AB">
            <w:pPr>
              <w:spacing w:before="40" w:after="40"/>
              <w:jc w:val="left"/>
            </w:pPr>
            <w:r>
              <w:rPr>
                <w:rFonts w:ascii="Times New Roman" w:hAnsi="Times New Roman" w:eastAsia="Times New Roman" w:cs="Times New Roman"/>
                <w:b w:val="0"/>
                <w:bCs w:val="0"/>
                <w:i w:val="0"/>
                <w:iCs w:val="0"/>
                <w:sz w:val="20"/>
                <w:szCs w:val="20"/>
              </w:rPr>
              <w:t>Penggunaan pestisida fungisida secara terjadwal, pemantauan kondisi cuaca harian, dan pemilihan varietas tahan penyakit.</w:t>
            </w:r>
          </w:p>
        </w:tc>
      </w:tr>
      <w:tr w14:paraId="0E2A7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1ED9850">
            <w:pPr>
              <w:spacing w:before="40" w:after="40"/>
              <w:jc w:val="center"/>
            </w:pPr>
            <w:r>
              <w:rPr>
                <w:rFonts w:ascii="Times New Roman" w:hAnsi="Times New Roman" w:eastAsia="Times New Roman" w:cs="Times New Roman"/>
                <w:b w:val="0"/>
                <w:bCs w:val="0"/>
                <w:i w:val="0"/>
                <w:iCs w:val="0"/>
                <w:sz w:val="20"/>
                <w:szCs w:val="20"/>
              </w:rPr>
              <w:t>2</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D481ECB">
            <w:pPr>
              <w:spacing w:before="40" w:after="40"/>
              <w:jc w:val="left"/>
            </w:pPr>
            <w:r>
              <w:rPr>
                <w:rFonts w:ascii="Times New Roman" w:hAnsi="Times New Roman" w:eastAsia="Times New Roman" w:cs="Times New Roman"/>
                <w:b w:val="0"/>
                <w:bCs w:val="0"/>
                <w:i w:val="0"/>
                <w:iCs w:val="0"/>
                <w:sz w:val="20"/>
                <w:szCs w:val="20"/>
              </w:rPr>
              <w:t>Risiko Pasar – Fluktuasi Harga</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7E8D404">
            <w:pPr>
              <w:spacing w:before="40" w:after="40"/>
              <w:jc w:val="left"/>
            </w:pPr>
            <w:r>
              <w:rPr>
                <w:rFonts w:ascii="Times New Roman" w:hAnsi="Times New Roman" w:eastAsia="Times New Roman" w:cs="Times New Roman"/>
                <w:b w:val="0"/>
                <w:bCs w:val="0"/>
                <w:i w:val="0"/>
                <w:iCs w:val="0"/>
                <w:sz w:val="20"/>
                <w:szCs w:val="20"/>
              </w:rPr>
              <w:t>Ketidakstabilan harga jual kentang di pasar bebas akibat dinamika penawaran dan permintaan.</w:t>
            </w:r>
          </w:p>
        </w:tc>
        <w:tc>
          <w:tcPr>
            <w:tcW w:w="365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15A07AA">
            <w:pPr>
              <w:spacing w:before="40" w:after="40"/>
              <w:jc w:val="left"/>
            </w:pPr>
            <w:r>
              <w:rPr>
                <w:rFonts w:ascii="Times New Roman" w:hAnsi="Times New Roman" w:eastAsia="Times New Roman" w:cs="Times New Roman"/>
                <w:b w:val="0"/>
                <w:bCs w:val="0"/>
                <w:i w:val="0"/>
                <w:iCs w:val="0"/>
                <w:sz w:val="20"/>
                <w:szCs w:val="20"/>
              </w:rPr>
              <w:t>Menjalin kontrak penjualan dengan korporasi besar (McDonald's) untuk mendapatkan kepastian harga dan volume penyerapan.</w:t>
            </w:r>
          </w:p>
        </w:tc>
      </w:tr>
      <w:tr w14:paraId="6D3EC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EB006D9">
            <w:pPr>
              <w:spacing w:before="40" w:after="40"/>
              <w:jc w:val="center"/>
            </w:pPr>
            <w:r>
              <w:rPr>
                <w:rFonts w:ascii="Times New Roman" w:hAnsi="Times New Roman" w:eastAsia="Times New Roman" w:cs="Times New Roman"/>
                <w:b w:val="0"/>
                <w:bCs w:val="0"/>
                <w:i w:val="0"/>
                <w:iCs w:val="0"/>
                <w:sz w:val="20"/>
                <w:szCs w:val="20"/>
              </w:rPr>
              <w:t>3</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BE820E8">
            <w:pPr>
              <w:spacing w:before="40" w:after="40"/>
              <w:jc w:val="left"/>
            </w:pPr>
            <w:r>
              <w:rPr>
                <w:rFonts w:ascii="Times New Roman" w:hAnsi="Times New Roman" w:eastAsia="Times New Roman" w:cs="Times New Roman"/>
                <w:b w:val="0"/>
                <w:bCs w:val="0"/>
                <w:i w:val="0"/>
                <w:iCs w:val="0"/>
                <w:sz w:val="20"/>
                <w:szCs w:val="20"/>
              </w:rPr>
              <w:t>Risiko Tenaga Kerja</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F8DC722">
            <w:pPr>
              <w:spacing w:before="40" w:after="40"/>
              <w:jc w:val="left"/>
            </w:pPr>
            <w:r>
              <w:rPr>
                <w:rFonts w:ascii="Times New Roman" w:hAnsi="Times New Roman" w:eastAsia="Times New Roman" w:cs="Times New Roman"/>
                <w:b w:val="0"/>
                <w:bCs w:val="0"/>
                <w:i w:val="0"/>
                <w:iCs w:val="0"/>
                <w:sz w:val="20"/>
                <w:szCs w:val="20"/>
              </w:rPr>
              <w:t>Kelangkaan tenaga kerja lokal akibat penuaan populasi (aging population) di sektor pertanian Jepang.</w:t>
            </w:r>
          </w:p>
        </w:tc>
        <w:tc>
          <w:tcPr>
            <w:tcW w:w="365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3D99643">
            <w:pPr>
              <w:spacing w:before="40" w:after="40"/>
              <w:jc w:val="left"/>
            </w:pPr>
            <w:r>
              <w:rPr>
                <w:rFonts w:ascii="Times New Roman" w:hAnsi="Times New Roman" w:eastAsia="Times New Roman" w:cs="Times New Roman"/>
                <w:b w:val="0"/>
                <w:bCs w:val="0"/>
                <w:i w:val="0"/>
                <w:iCs w:val="0"/>
                <w:sz w:val="20"/>
                <w:szCs w:val="20"/>
              </w:rPr>
              <w:t>Rekrutmen tenaga kerja asing melalui program magang internasional dan peningkatan mekanisasi pertanian secara bertahap.</w:t>
            </w:r>
          </w:p>
        </w:tc>
      </w:tr>
      <w:tr w14:paraId="34881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2B9C82F">
            <w:pPr>
              <w:spacing w:before="40" w:after="40"/>
              <w:jc w:val="center"/>
            </w:pPr>
            <w:r>
              <w:rPr>
                <w:rFonts w:ascii="Times New Roman" w:hAnsi="Times New Roman" w:eastAsia="Times New Roman" w:cs="Times New Roman"/>
                <w:b w:val="0"/>
                <w:bCs w:val="0"/>
                <w:i w:val="0"/>
                <w:iCs w:val="0"/>
                <w:sz w:val="20"/>
                <w:szCs w:val="20"/>
              </w:rPr>
              <w:t>4</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503AF24">
            <w:pPr>
              <w:spacing w:before="40" w:after="40"/>
              <w:jc w:val="left"/>
            </w:pPr>
            <w:r>
              <w:rPr>
                <w:rFonts w:ascii="Times New Roman" w:hAnsi="Times New Roman" w:eastAsia="Times New Roman" w:cs="Times New Roman"/>
                <w:b w:val="0"/>
                <w:bCs w:val="0"/>
                <w:i w:val="0"/>
                <w:iCs w:val="0"/>
                <w:sz w:val="20"/>
                <w:szCs w:val="20"/>
              </w:rPr>
              <w:t>Risiko Cuaca &amp; Iklim</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52D091">
            <w:pPr>
              <w:spacing w:before="40" w:after="40"/>
              <w:jc w:val="left"/>
            </w:pPr>
            <w:r>
              <w:rPr>
                <w:rFonts w:ascii="Times New Roman" w:hAnsi="Times New Roman" w:eastAsia="Times New Roman" w:cs="Times New Roman"/>
                <w:b w:val="0"/>
                <w:bCs w:val="0"/>
                <w:i w:val="0"/>
                <w:iCs w:val="0"/>
                <w:sz w:val="20"/>
                <w:szCs w:val="20"/>
              </w:rPr>
              <w:t>Perubahan cuaca ekstrem seperti hujan lebat atau kekeringan yang dapat menurunkan produktivitas lahan.</w:t>
            </w:r>
          </w:p>
        </w:tc>
        <w:tc>
          <w:tcPr>
            <w:tcW w:w="365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181537B">
            <w:pPr>
              <w:spacing w:before="40" w:after="40"/>
              <w:jc w:val="left"/>
            </w:pPr>
            <w:r>
              <w:rPr>
                <w:rFonts w:ascii="Times New Roman" w:hAnsi="Times New Roman" w:eastAsia="Times New Roman" w:cs="Times New Roman"/>
                <w:b w:val="0"/>
                <w:bCs w:val="0"/>
                <w:i w:val="0"/>
                <w:iCs w:val="0"/>
                <w:sz w:val="20"/>
                <w:szCs w:val="20"/>
              </w:rPr>
              <w:t>Pemasangan sistem irigasi dan drainase yang baik, serta penjadwalan tanam yang mengacu pada data iklim musiman.</w:t>
            </w:r>
          </w:p>
        </w:tc>
      </w:tr>
    </w:tbl>
    <w:p w14:paraId="3CD04B97">
      <w:pPr>
        <w:spacing w:before="40" w:after="100"/>
        <w:jc w:val="left"/>
      </w:pPr>
      <w:r>
        <w:rPr>
          <w:rFonts w:ascii="Times New Roman" w:hAnsi="Times New Roman" w:eastAsia="Times New Roman" w:cs="Times New Roman"/>
          <w:i/>
          <w:iCs/>
          <w:sz w:val="20"/>
          <w:szCs w:val="20"/>
        </w:rPr>
        <w:t>Sumber: Hasil wawancara dengan manajer lapangan, diolah (2024)</w:t>
      </w:r>
    </w:p>
    <w:p w14:paraId="632AEC79">
      <w:pPr>
        <w:spacing w:before="80" w:after="80" w:line="276" w:lineRule="auto"/>
        <w:ind w:firstLine="709"/>
        <w:jc w:val="both"/>
      </w:pPr>
      <w:r>
        <w:rPr>
          <w:rFonts w:ascii="Times New Roman" w:hAnsi="Times New Roman" w:eastAsia="Times New Roman" w:cs="Times New Roman"/>
          <w:b w:val="0"/>
          <w:bCs w:val="0"/>
          <w:i w:val="0"/>
          <w:iCs w:val="0"/>
          <w:sz w:val="22"/>
          <w:szCs w:val="22"/>
        </w:rPr>
        <w:t>Berdasarkan Tabel 4, risiko utama yang dihadapi adalah serangan penyakit busuk daun (late blight) dan fluktuasi harga pasar. Strategi mitigasi yang diterapkan perusahaan terbukti efektif: kerja sama kontrak dengan McDonald's menjamin stabilitas harga dan volume penyerapan, sehingga risiko pasar dapat diminimalkan secara signifikan.</w:t>
      </w:r>
    </w:p>
    <w:p w14:paraId="28B4B4C0">
      <w:pPr>
        <w:spacing w:before="140" w:after="60"/>
        <w:jc w:val="left"/>
      </w:pPr>
      <w:r>
        <w:rPr>
          <w:rFonts w:ascii="Times New Roman" w:hAnsi="Times New Roman" w:eastAsia="Times New Roman" w:cs="Times New Roman"/>
          <w:b/>
          <w:bCs/>
          <w:sz w:val="22"/>
          <w:szCs w:val="22"/>
        </w:rPr>
        <w:t>5. Analisis Arus Kas dan NPV</w:t>
      </w:r>
    </w:p>
    <w:p w14:paraId="356B5F52">
      <w:pPr>
        <w:spacing w:before="80" w:after="80" w:line="276" w:lineRule="auto"/>
        <w:jc w:val="both"/>
      </w:pPr>
      <w:r>
        <w:rPr>
          <w:rFonts w:ascii="Times New Roman" w:hAnsi="Times New Roman" w:eastAsia="Times New Roman" w:cs="Times New Roman"/>
          <w:b w:val="0"/>
          <w:bCs w:val="0"/>
          <w:i w:val="0"/>
          <w:iCs w:val="0"/>
          <w:sz w:val="22"/>
          <w:szCs w:val="22"/>
        </w:rPr>
        <w:t>Analisis arus kas dilakukan dengan periode lima tahun. Pada tahun ke-0 terjadi arus kas negatif sebesar Rp1.250.000.000 karena merupakan tahap pengeluaran biaya produksi awal. Pada tahun ke-1 hingga ke-5, diperoleh arus kas positif stabil Rp466.000.000 per tahun. Dengan tingkat diskonto 5%, berikut hasil perhitungan NPV:</w:t>
      </w:r>
    </w:p>
    <w:p w14:paraId="76C67F14">
      <w:pPr>
        <w:spacing w:before="100" w:after="40"/>
        <w:jc w:val="center"/>
      </w:pPr>
      <w:r>
        <w:rPr>
          <w:rFonts w:ascii="Times New Roman" w:hAnsi="Times New Roman" w:eastAsia="Times New Roman" w:cs="Times New Roman"/>
          <w:b/>
          <w:bCs/>
          <w:sz w:val="22"/>
          <w:szCs w:val="22"/>
        </w:rPr>
        <w:t>Tabel 5. Perhitungan Arus Kas dan Net Present Value (NPV) Usahatani Kentang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800"/>
        <w:gridCol w:w="2819"/>
        <w:gridCol w:w="2819"/>
      </w:tblGrid>
      <w:tr w14:paraId="2238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257C12A8">
            <w:pPr>
              <w:spacing w:before="40" w:after="40"/>
              <w:jc w:val="center"/>
            </w:pPr>
            <w:r>
              <w:rPr>
                <w:rFonts w:ascii="Times New Roman" w:hAnsi="Times New Roman" w:eastAsia="Times New Roman" w:cs="Times New Roman"/>
                <w:b/>
                <w:bCs/>
                <w:i w:val="0"/>
                <w:iCs w:val="0"/>
                <w:sz w:val="20"/>
                <w:szCs w:val="20"/>
              </w:rPr>
              <w:t>Tahun</w:t>
            </w:r>
          </w:p>
        </w:tc>
        <w:tc>
          <w:tcPr>
            <w:tcW w:w="2800"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4573BAB7">
            <w:pPr>
              <w:spacing w:before="40" w:after="40"/>
              <w:jc w:val="center"/>
            </w:pPr>
            <w:r>
              <w:rPr>
                <w:rFonts w:ascii="Times New Roman" w:hAnsi="Times New Roman" w:eastAsia="Times New Roman" w:cs="Times New Roman"/>
                <w:b/>
                <w:bCs/>
                <w:i w:val="0"/>
                <w:iCs w:val="0"/>
                <w:sz w:val="20"/>
                <w:szCs w:val="20"/>
              </w:rPr>
              <w:t>Arus Kas (Rp)</w:t>
            </w:r>
          </w:p>
        </w:tc>
        <w:tc>
          <w:tcPr>
            <w:tcW w:w="2819"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6F32338F">
            <w:pPr>
              <w:spacing w:before="40" w:after="40"/>
              <w:jc w:val="center"/>
            </w:pPr>
            <w:r>
              <w:rPr>
                <w:rFonts w:ascii="Times New Roman" w:hAnsi="Times New Roman" w:eastAsia="Times New Roman" w:cs="Times New Roman"/>
                <w:b/>
                <w:bCs/>
                <w:i w:val="0"/>
                <w:iCs w:val="0"/>
                <w:sz w:val="20"/>
                <w:szCs w:val="20"/>
              </w:rPr>
              <w:t>Faktor Diskonto 5%</w:t>
            </w:r>
          </w:p>
        </w:tc>
        <w:tc>
          <w:tcPr>
            <w:tcW w:w="2819"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11CF1AC6">
            <w:pPr>
              <w:spacing w:before="40" w:after="40"/>
              <w:jc w:val="center"/>
            </w:pPr>
            <w:r>
              <w:rPr>
                <w:rFonts w:ascii="Times New Roman" w:hAnsi="Times New Roman" w:eastAsia="Times New Roman" w:cs="Times New Roman"/>
                <w:b/>
                <w:bCs/>
                <w:i w:val="0"/>
                <w:iCs w:val="0"/>
                <w:sz w:val="20"/>
                <w:szCs w:val="20"/>
              </w:rPr>
              <w:t>Present Value (Rp)</w:t>
            </w:r>
          </w:p>
        </w:tc>
      </w:tr>
      <w:tr w14:paraId="4D447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9C42BE4">
            <w:pPr>
              <w:spacing w:before="40" w:after="40"/>
              <w:jc w:val="center"/>
            </w:pPr>
            <w:r>
              <w:rPr>
                <w:rFonts w:ascii="Times New Roman" w:hAnsi="Times New Roman" w:eastAsia="Times New Roman" w:cs="Times New Roman"/>
                <w:b w:val="0"/>
                <w:bCs w:val="0"/>
                <w:i w:val="0"/>
                <w:iCs w:val="0"/>
                <w:sz w:val="20"/>
                <w:szCs w:val="20"/>
              </w:rPr>
              <w:t>0</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BE0191A">
            <w:pPr>
              <w:spacing w:before="40" w:after="40"/>
              <w:jc w:val="center"/>
            </w:pPr>
            <w:r>
              <w:rPr>
                <w:rFonts w:ascii="Times New Roman" w:hAnsi="Times New Roman" w:eastAsia="Times New Roman" w:cs="Times New Roman"/>
                <w:b w:val="0"/>
                <w:bCs w:val="0"/>
                <w:i w:val="0"/>
                <w:iCs w:val="0"/>
                <w:sz w:val="20"/>
                <w:szCs w:val="20"/>
              </w:rPr>
              <w:t>(1.250.000.000)</w:t>
            </w:r>
          </w:p>
        </w:tc>
        <w:tc>
          <w:tcPr>
            <w:tcW w:w="2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302FDDB">
            <w:pPr>
              <w:spacing w:before="40" w:after="40"/>
              <w:jc w:val="center"/>
            </w:pPr>
            <w:r>
              <w:rPr>
                <w:rFonts w:ascii="Times New Roman" w:hAnsi="Times New Roman" w:eastAsia="Times New Roman" w:cs="Times New Roman"/>
                <w:b w:val="0"/>
                <w:bCs w:val="0"/>
                <w:i w:val="0"/>
                <w:iCs w:val="0"/>
                <w:sz w:val="20"/>
                <w:szCs w:val="20"/>
              </w:rPr>
              <w:t>1,000</w:t>
            </w:r>
          </w:p>
        </w:tc>
        <w:tc>
          <w:tcPr>
            <w:tcW w:w="2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B1A0FBE">
            <w:pPr>
              <w:spacing w:before="40" w:after="40"/>
              <w:jc w:val="center"/>
            </w:pPr>
            <w:r>
              <w:rPr>
                <w:rFonts w:ascii="Times New Roman" w:hAnsi="Times New Roman" w:eastAsia="Times New Roman" w:cs="Times New Roman"/>
                <w:b w:val="0"/>
                <w:bCs w:val="0"/>
                <w:i w:val="0"/>
                <w:iCs w:val="0"/>
                <w:sz w:val="20"/>
                <w:szCs w:val="20"/>
              </w:rPr>
              <w:t>(1.250.000.000)</w:t>
            </w:r>
          </w:p>
        </w:tc>
      </w:tr>
      <w:tr w14:paraId="3F930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A75AC4D">
            <w:pPr>
              <w:spacing w:before="40" w:after="40"/>
              <w:jc w:val="center"/>
            </w:pPr>
            <w:r>
              <w:rPr>
                <w:rFonts w:ascii="Times New Roman" w:hAnsi="Times New Roman" w:eastAsia="Times New Roman" w:cs="Times New Roman"/>
                <w:b w:val="0"/>
                <w:bCs w:val="0"/>
                <w:i w:val="0"/>
                <w:iCs w:val="0"/>
                <w:sz w:val="20"/>
                <w:szCs w:val="20"/>
              </w:rPr>
              <w:t>1</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FAB14CA">
            <w:pPr>
              <w:spacing w:before="40" w:after="40"/>
              <w:jc w:val="center"/>
            </w:pPr>
            <w:r>
              <w:rPr>
                <w:rFonts w:ascii="Times New Roman" w:hAnsi="Times New Roman" w:eastAsia="Times New Roman" w:cs="Times New Roman"/>
                <w:b w:val="0"/>
                <w:bCs w:val="0"/>
                <w:i w:val="0"/>
                <w:iCs w:val="0"/>
                <w:sz w:val="20"/>
                <w:szCs w:val="20"/>
              </w:rPr>
              <w:t>466.000.000</w:t>
            </w:r>
          </w:p>
        </w:tc>
        <w:tc>
          <w:tcPr>
            <w:tcW w:w="2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6C1B88">
            <w:pPr>
              <w:spacing w:before="40" w:after="40"/>
              <w:jc w:val="center"/>
            </w:pPr>
            <w:r>
              <w:rPr>
                <w:rFonts w:ascii="Times New Roman" w:hAnsi="Times New Roman" w:eastAsia="Times New Roman" w:cs="Times New Roman"/>
                <w:b w:val="0"/>
                <w:bCs w:val="0"/>
                <w:i w:val="0"/>
                <w:iCs w:val="0"/>
                <w:sz w:val="20"/>
                <w:szCs w:val="20"/>
              </w:rPr>
              <w:t>0,952</w:t>
            </w:r>
          </w:p>
        </w:tc>
        <w:tc>
          <w:tcPr>
            <w:tcW w:w="2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6F3EE21">
            <w:pPr>
              <w:spacing w:before="40" w:after="40"/>
              <w:jc w:val="center"/>
            </w:pPr>
            <w:r>
              <w:rPr>
                <w:rFonts w:ascii="Times New Roman" w:hAnsi="Times New Roman" w:eastAsia="Times New Roman" w:cs="Times New Roman"/>
                <w:b w:val="0"/>
                <w:bCs w:val="0"/>
                <w:i w:val="0"/>
                <w:iCs w:val="0"/>
                <w:sz w:val="20"/>
                <w:szCs w:val="20"/>
              </w:rPr>
              <w:t>443.632.000</w:t>
            </w:r>
          </w:p>
        </w:tc>
      </w:tr>
      <w:tr w14:paraId="2E40D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0CEDF0A">
            <w:pPr>
              <w:spacing w:before="40" w:after="40"/>
              <w:jc w:val="center"/>
            </w:pPr>
            <w:r>
              <w:rPr>
                <w:rFonts w:ascii="Times New Roman" w:hAnsi="Times New Roman" w:eastAsia="Times New Roman" w:cs="Times New Roman"/>
                <w:b w:val="0"/>
                <w:bCs w:val="0"/>
                <w:i w:val="0"/>
                <w:iCs w:val="0"/>
                <w:sz w:val="20"/>
                <w:szCs w:val="20"/>
              </w:rPr>
              <w:t>2</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26757E0">
            <w:pPr>
              <w:spacing w:before="40" w:after="40"/>
              <w:jc w:val="center"/>
            </w:pPr>
            <w:r>
              <w:rPr>
                <w:rFonts w:ascii="Times New Roman" w:hAnsi="Times New Roman" w:eastAsia="Times New Roman" w:cs="Times New Roman"/>
                <w:b w:val="0"/>
                <w:bCs w:val="0"/>
                <w:i w:val="0"/>
                <w:iCs w:val="0"/>
                <w:sz w:val="20"/>
                <w:szCs w:val="20"/>
              </w:rPr>
              <w:t>466.000.000</w:t>
            </w:r>
          </w:p>
        </w:tc>
        <w:tc>
          <w:tcPr>
            <w:tcW w:w="2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D686E02">
            <w:pPr>
              <w:spacing w:before="40" w:after="40"/>
              <w:jc w:val="center"/>
            </w:pPr>
            <w:r>
              <w:rPr>
                <w:rFonts w:ascii="Times New Roman" w:hAnsi="Times New Roman" w:eastAsia="Times New Roman" w:cs="Times New Roman"/>
                <w:b w:val="0"/>
                <w:bCs w:val="0"/>
                <w:i w:val="0"/>
                <w:iCs w:val="0"/>
                <w:sz w:val="20"/>
                <w:szCs w:val="20"/>
              </w:rPr>
              <w:t>0,907</w:t>
            </w:r>
          </w:p>
        </w:tc>
        <w:tc>
          <w:tcPr>
            <w:tcW w:w="2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324764B">
            <w:pPr>
              <w:spacing w:before="40" w:after="40"/>
              <w:jc w:val="center"/>
            </w:pPr>
            <w:r>
              <w:rPr>
                <w:rFonts w:ascii="Times New Roman" w:hAnsi="Times New Roman" w:eastAsia="Times New Roman" w:cs="Times New Roman"/>
                <w:b w:val="0"/>
                <w:bCs w:val="0"/>
                <w:i w:val="0"/>
                <w:iCs w:val="0"/>
                <w:sz w:val="20"/>
                <w:szCs w:val="20"/>
              </w:rPr>
              <w:t>422.662.000</w:t>
            </w:r>
          </w:p>
        </w:tc>
      </w:tr>
      <w:tr w14:paraId="71CA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05E1AED">
            <w:pPr>
              <w:spacing w:before="40" w:after="40"/>
              <w:jc w:val="center"/>
            </w:pPr>
            <w:r>
              <w:rPr>
                <w:rFonts w:ascii="Times New Roman" w:hAnsi="Times New Roman" w:eastAsia="Times New Roman" w:cs="Times New Roman"/>
                <w:b w:val="0"/>
                <w:bCs w:val="0"/>
                <w:i w:val="0"/>
                <w:iCs w:val="0"/>
                <w:sz w:val="20"/>
                <w:szCs w:val="20"/>
              </w:rPr>
              <w:t>3</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569FC84">
            <w:pPr>
              <w:spacing w:before="40" w:after="40"/>
              <w:jc w:val="center"/>
            </w:pPr>
            <w:r>
              <w:rPr>
                <w:rFonts w:ascii="Times New Roman" w:hAnsi="Times New Roman" w:eastAsia="Times New Roman" w:cs="Times New Roman"/>
                <w:b w:val="0"/>
                <w:bCs w:val="0"/>
                <w:i w:val="0"/>
                <w:iCs w:val="0"/>
                <w:sz w:val="20"/>
                <w:szCs w:val="20"/>
              </w:rPr>
              <w:t>466.000.000</w:t>
            </w:r>
          </w:p>
        </w:tc>
        <w:tc>
          <w:tcPr>
            <w:tcW w:w="2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ACAB7FC">
            <w:pPr>
              <w:spacing w:before="40" w:after="40"/>
              <w:jc w:val="center"/>
            </w:pPr>
            <w:r>
              <w:rPr>
                <w:rFonts w:ascii="Times New Roman" w:hAnsi="Times New Roman" w:eastAsia="Times New Roman" w:cs="Times New Roman"/>
                <w:b w:val="0"/>
                <w:bCs w:val="0"/>
                <w:i w:val="0"/>
                <w:iCs w:val="0"/>
                <w:sz w:val="20"/>
                <w:szCs w:val="20"/>
              </w:rPr>
              <w:t>0,864</w:t>
            </w:r>
          </w:p>
        </w:tc>
        <w:tc>
          <w:tcPr>
            <w:tcW w:w="2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C67C20D">
            <w:pPr>
              <w:spacing w:before="40" w:after="40"/>
              <w:jc w:val="center"/>
            </w:pPr>
            <w:r>
              <w:rPr>
                <w:rFonts w:ascii="Times New Roman" w:hAnsi="Times New Roman" w:eastAsia="Times New Roman" w:cs="Times New Roman"/>
                <w:b w:val="0"/>
                <w:bCs w:val="0"/>
                <w:i w:val="0"/>
                <w:iCs w:val="0"/>
                <w:sz w:val="20"/>
                <w:szCs w:val="20"/>
              </w:rPr>
              <w:t>402.624.000</w:t>
            </w:r>
          </w:p>
        </w:tc>
      </w:tr>
      <w:tr w14:paraId="36146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E204AF6">
            <w:pPr>
              <w:spacing w:before="40" w:after="40"/>
              <w:jc w:val="center"/>
            </w:pPr>
            <w:r>
              <w:rPr>
                <w:rFonts w:ascii="Times New Roman" w:hAnsi="Times New Roman" w:eastAsia="Times New Roman" w:cs="Times New Roman"/>
                <w:b w:val="0"/>
                <w:bCs w:val="0"/>
                <w:i w:val="0"/>
                <w:iCs w:val="0"/>
                <w:sz w:val="20"/>
                <w:szCs w:val="20"/>
              </w:rPr>
              <w:t>4</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4D4C3F3">
            <w:pPr>
              <w:spacing w:before="40" w:after="40"/>
              <w:jc w:val="center"/>
            </w:pPr>
            <w:r>
              <w:rPr>
                <w:rFonts w:ascii="Times New Roman" w:hAnsi="Times New Roman" w:eastAsia="Times New Roman" w:cs="Times New Roman"/>
                <w:b w:val="0"/>
                <w:bCs w:val="0"/>
                <w:i w:val="0"/>
                <w:iCs w:val="0"/>
                <w:sz w:val="20"/>
                <w:szCs w:val="20"/>
              </w:rPr>
              <w:t>466.000.000</w:t>
            </w:r>
          </w:p>
        </w:tc>
        <w:tc>
          <w:tcPr>
            <w:tcW w:w="2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3616982">
            <w:pPr>
              <w:spacing w:before="40" w:after="40"/>
              <w:jc w:val="center"/>
            </w:pPr>
            <w:r>
              <w:rPr>
                <w:rFonts w:ascii="Times New Roman" w:hAnsi="Times New Roman" w:eastAsia="Times New Roman" w:cs="Times New Roman"/>
                <w:b w:val="0"/>
                <w:bCs w:val="0"/>
                <w:i w:val="0"/>
                <w:iCs w:val="0"/>
                <w:sz w:val="20"/>
                <w:szCs w:val="20"/>
              </w:rPr>
              <w:t>0,823</w:t>
            </w:r>
          </w:p>
        </w:tc>
        <w:tc>
          <w:tcPr>
            <w:tcW w:w="2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BEE4CDD">
            <w:pPr>
              <w:spacing w:before="40" w:after="40"/>
              <w:jc w:val="center"/>
            </w:pPr>
            <w:r>
              <w:rPr>
                <w:rFonts w:ascii="Times New Roman" w:hAnsi="Times New Roman" w:eastAsia="Times New Roman" w:cs="Times New Roman"/>
                <w:b w:val="0"/>
                <w:bCs w:val="0"/>
                <w:i w:val="0"/>
                <w:iCs w:val="0"/>
                <w:sz w:val="20"/>
                <w:szCs w:val="20"/>
              </w:rPr>
              <w:t>383.518.000</w:t>
            </w:r>
          </w:p>
        </w:tc>
      </w:tr>
      <w:tr w14:paraId="0F74B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20674EF">
            <w:pPr>
              <w:spacing w:before="40" w:after="40"/>
              <w:jc w:val="center"/>
            </w:pPr>
            <w:r>
              <w:rPr>
                <w:rFonts w:ascii="Times New Roman" w:hAnsi="Times New Roman" w:eastAsia="Times New Roman" w:cs="Times New Roman"/>
                <w:b w:val="0"/>
                <w:bCs w:val="0"/>
                <w:i w:val="0"/>
                <w:iCs w:val="0"/>
                <w:sz w:val="20"/>
                <w:szCs w:val="20"/>
              </w:rPr>
              <w:t>5</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039A99F">
            <w:pPr>
              <w:spacing w:before="40" w:after="40"/>
              <w:jc w:val="center"/>
            </w:pPr>
            <w:r>
              <w:rPr>
                <w:rFonts w:ascii="Times New Roman" w:hAnsi="Times New Roman" w:eastAsia="Times New Roman" w:cs="Times New Roman"/>
                <w:b w:val="0"/>
                <w:bCs w:val="0"/>
                <w:i w:val="0"/>
                <w:iCs w:val="0"/>
                <w:sz w:val="20"/>
                <w:szCs w:val="20"/>
              </w:rPr>
              <w:t>466.000.000</w:t>
            </w:r>
          </w:p>
        </w:tc>
        <w:tc>
          <w:tcPr>
            <w:tcW w:w="2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A7E90F">
            <w:pPr>
              <w:spacing w:before="40" w:after="40"/>
              <w:jc w:val="center"/>
            </w:pPr>
            <w:r>
              <w:rPr>
                <w:rFonts w:ascii="Times New Roman" w:hAnsi="Times New Roman" w:eastAsia="Times New Roman" w:cs="Times New Roman"/>
                <w:b w:val="0"/>
                <w:bCs w:val="0"/>
                <w:i w:val="0"/>
                <w:iCs w:val="0"/>
                <w:sz w:val="20"/>
                <w:szCs w:val="20"/>
              </w:rPr>
              <w:t>0,784</w:t>
            </w:r>
          </w:p>
        </w:tc>
        <w:tc>
          <w:tcPr>
            <w:tcW w:w="28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93866D4">
            <w:pPr>
              <w:spacing w:before="40" w:after="40"/>
              <w:jc w:val="center"/>
            </w:pPr>
            <w:r>
              <w:rPr>
                <w:rFonts w:ascii="Times New Roman" w:hAnsi="Times New Roman" w:eastAsia="Times New Roman" w:cs="Times New Roman"/>
                <w:b w:val="0"/>
                <w:bCs w:val="0"/>
                <w:i w:val="0"/>
                <w:iCs w:val="0"/>
                <w:sz w:val="20"/>
                <w:szCs w:val="20"/>
              </w:rPr>
              <w:t>365.344.000</w:t>
            </w:r>
          </w:p>
        </w:tc>
      </w:tr>
      <w:tr w14:paraId="239A6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2F7D57C7">
            <w:pPr>
              <w:spacing w:before="40" w:after="40"/>
              <w:jc w:val="center"/>
            </w:pPr>
          </w:p>
        </w:tc>
        <w:tc>
          <w:tcPr>
            <w:tcW w:w="2800"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2D0E37C8">
            <w:pPr>
              <w:spacing w:before="40" w:after="40"/>
              <w:jc w:val="center"/>
            </w:pPr>
          </w:p>
        </w:tc>
        <w:tc>
          <w:tcPr>
            <w:tcW w:w="2819"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220354AD">
            <w:pPr>
              <w:spacing w:before="40" w:after="40"/>
              <w:jc w:val="center"/>
            </w:pPr>
            <w:r>
              <w:rPr>
                <w:rFonts w:ascii="Times New Roman" w:hAnsi="Times New Roman" w:eastAsia="Times New Roman" w:cs="Times New Roman"/>
                <w:b/>
                <w:bCs/>
                <w:i w:val="0"/>
                <w:iCs w:val="0"/>
                <w:sz w:val="20"/>
                <w:szCs w:val="20"/>
              </w:rPr>
              <w:t>Total NPV</w:t>
            </w:r>
          </w:p>
        </w:tc>
        <w:tc>
          <w:tcPr>
            <w:tcW w:w="2819"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5540085D">
            <w:pPr>
              <w:spacing w:before="40" w:after="40"/>
              <w:jc w:val="center"/>
            </w:pPr>
            <w:r>
              <w:rPr>
                <w:rFonts w:ascii="Times New Roman" w:hAnsi="Times New Roman" w:eastAsia="Times New Roman" w:cs="Times New Roman"/>
                <w:b/>
                <w:bCs/>
                <w:i w:val="0"/>
                <w:iCs w:val="0"/>
                <w:sz w:val="20"/>
                <w:szCs w:val="20"/>
              </w:rPr>
              <w:t>Rp767.780.000</w:t>
            </w:r>
          </w:p>
        </w:tc>
      </w:tr>
    </w:tbl>
    <w:p w14:paraId="3A7AEEAE">
      <w:pPr>
        <w:spacing w:before="40" w:after="100"/>
        <w:jc w:val="left"/>
      </w:pPr>
      <w:r>
        <w:rPr>
          <w:rFonts w:ascii="Times New Roman" w:hAnsi="Times New Roman" w:eastAsia="Times New Roman" w:cs="Times New Roman"/>
          <w:i/>
          <w:iCs/>
          <w:sz w:val="20"/>
          <w:szCs w:val="20"/>
        </w:rPr>
        <w:t>Sumber: Data primer, diolah (2024)</w:t>
      </w:r>
    </w:p>
    <w:p w14:paraId="122AB00B">
      <w:pPr>
        <w:spacing w:before="80" w:after="80" w:line="276" w:lineRule="auto"/>
        <w:ind w:firstLine="709"/>
        <w:jc w:val="both"/>
      </w:pPr>
      <w:r>
        <w:rPr>
          <w:rFonts w:ascii="Times New Roman" w:hAnsi="Times New Roman" w:eastAsia="Times New Roman" w:cs="Times New Roman"/>
          <w:b w:val="0"/>
          <w:bCs w:val="0"/>
          <w:i w:val="0"/>
          <w:iCs w:val="0"/>
          <w:sz w:val="22"/>
          <w:szCs w:val="22"/>
        </w:rPr>
        <w:t>Nilai NPV sebesar Rp767.780.000 (positif) menunjukkan bahwa manfaat bersih selama 5 tahun setelah diperhitungkan nilai waktu uang lebih besar dibandingkan biaya yang dikeluarkan. Artinya, investasi pada usahatani kentang di PT Fujitake Shouten Co., Ltd tidak hanya mengembalikan modal awal tetapi juga menciptakan nilai tambah (kekayaan) bagi perusahaan. Hasil ini sejalan dengan Nugroho &amp; Margana (2024) yang menyatakan bahwa investasi pertanian dengan NPV positif terbukti memberikan keuntungan nyata dan sangat layak direkomendasikan.</w:t>
      </w:r>
    </w:p>
    <w:p w14:paraId="5C8D1528">
      <w:pPr>
        <w:spacing w:before="140" w:after="60"/>
        <w:jc w:val="left"/>
      </w:pPr>
      <w:r>
        <w:rPr>
          <w:rFonts w:ascii="Times New Roman" w:hAnsi="Times New Roman" w:eastAsia="Times New Roman" w:cs="Times New Roman"/>
          <w:b/>
          <w:bCs/>
          <w:sz w:val="22"/>
          <w:szCs w:val="22"/>
        </w:rPr>
        <w:t>6. Analisis Internal Rate of Return (IRR)</w:t>
      </w:r>
    </w:p>
    <w:p w14:paraId="4214F7D0">
      <w:pPr>
        <w:spacing w:before="80" w:after="80" w:line="276" w:lineRule="auto"/>
        <w:ind w:firstLine="709"/>
        <w:jc w:val="both"/>
      </w:pPr>
      <w:r>
        <w:rPr>
          <w:rFonts w:ascii="Times New Roman" w:hAnsi="Times New Roman" w:eastAsia="Times New Roman" w:cs="Times New Roman"/>
          <w:b w:val="0"/>
          <w:bCs w:val="0"/>
          <w:i w:val="0"/>
          <w:iCs w:val="0"/>
          <w:sz w:val="22"/>
          <w:szCs w:val="22"/>
        </w:rPr>
        <w:t>Berdasarkan perhitungan menggunakan metode interpolasi, diperoleh nilai IRR sebesar 37,5%. Nilai ini jauh melampaui tingkat diskonto yang digunakan sebesar 5%. Secara finansial, nilai IRR yang tinggi ini bermakna bahwa usaha memiliki daya tahan yang sangat kuat terhadap risiko makroekonomi; bahkan jika suku bunga pinjaman naik hingga di bawah 37,5%, usaha ini tetap akan menghasilkan keuntungan. Tingginya nilai IRR dipicu oleh margin keuntungan tahunan yang tebal (Rp466.000.000) yang didapatkan secara stabil sejak tahun pertama. Temuan ini mendukung hasil Agustina (2021) dan Sutarni &amp; Fitri (2023) yang menunjukkan bahwa IRR melebihi tingkat diskonto mengindikasikan usaha yang sangat menguntungkan secara finansial.</w:t>
      </w:r>
    </w:p>
    <w:p w14:paraId="1A4F5727">
      <w:pPr>
        <w:spacing w:before="140" w:after="60"/>
        <w:jc w:val="left"/>
      </w:pPr>
      <w:r>
        <w:rPr>
          <w:rFonts w:ascii="Times New Roman" w:hAnsi="Times New Roman" w:eastAsia="Times New Roman" w:cs="Times New Roman"/>
          <w:b/>
          <w:bCs/>
          <w:sz w:val="22"/>
          <w:szCs w:val="22"/>
        </w:rPr>
        <w:t>7. Analisis Net Benefit Cost (Net B/C)</w:t>
      </w:r>
    </w:p>
    <w:p w14:paraId="7B799564">
      <w:pPr>
        <w:spacing w:before="80" w:after="80" w:line="276" w:lineRule="auto"/>
        <w:jc w:val="both"/>
      </w:pPr>
      <w:r>
        <w:rPr>
          <w:rFonts w:ascii="Times New Roman" w:hAnsi="Times New Roman" w:eastAsia="Times New Roman" w:cs="Times New Roman"/>
          <w:b w:val="0"/>
          <w:bCs w:val="0"/>
          <w:i w:val="0"/>
          <w:iCs w:val="0"/>
          <w:sz w:val="22"/>
          <w:szCs w:val="22"/>
        </w:rPr>
        <w:t>Berdasarkan hasil analisis, diperoleh total present value manfaat sebesar Rp2.017.800.000 dan total present value biaya sebesar Rp1.250.000.000:</w:t>
      </w:r>
    </w:p>
    <w:p w14:paraId="0CFC32BA">
      <w:pPr>
        <w:spacing w:before="40" w:after="80" w:line="276" w:lineRule="auto"/>
        <w:jc w:val="left"/>
      </w:pPr>
      <w:r>
        <w:rPr>
          <w:rFonts w:ascii="Times New Roman" w:hAnsi="Times New Roman" w:eastAsia="Times New Roman" w:cs="Times New Roman"/>
          <w:b w:val="0"/>
          <w:bCs w:val="0"/>
          <w:i w:val="0"/>
          <w:iCs w:val="0"/>
          <w:sz w:val="22"/>
          <w:szCs w:val="22"/>
        </w:rPr>
        <w:t xml:space="preserve">Net B/C = Rp2.017.800.000 / Rp1.250.000.000 = </w:t>
      </w:r>
      <w:r>
        <w:rPr>
          <w:rFonts w:ascii="Times New Roman" w:hAnsi="Times New Roman" w:eastAsia="Times New Roman" w:cs="Times New Roman"/>
          <w:b/>
          <w:bCs/>
          <w:i w:val="0"/>
          <w:iCs w:val="0"/>
          <w:sz w:val="22"/>
          <w:szCs w:val="22"/>
        </w:rPr>
        <w:t>1,61</w:t>
      </w:r>
    </w:p>
    <w:p w14:paraId="42A28E1D">
      <w:pPr>
        <w:spacing w:before="80" w:after="80" w:line="276" w:lineRule="auto"/>
        <w:ind w:firstLine="709"/>
        <w:jc w:val="both"/>
      </w:pPr>
      <w:r>
        <w:rPr>
          <w:rFonts w:ascii="Times New Roman" w:hAnsi="Times New Roman" w:eastAsia="Times New Roman" w:cs="Times New Roman"/>
          <w:b w:val="0"/>
          <w:bCs w:val="0"/>
          <w:i w:val="0"/>
          <w:iCs w:val="0"/>
          <w:sz w:val="22"/>
          <w:szCs w:val="22"/>
        </w:rPr>
        <w:t>Nilai Net B/C sebesar 1,61 menunjukkan bahwa setiap pengeluaran biaya Rp1 menghasilkan manfaat Rp1,61 selama umur usaha 5 tahun. Rasio ini terjadi karena efisiensi penggunaan input produksi yang mampu menghasilkan output 40.000 kg dengan harga jual premium. Hasil ini memperkuat studi Abiyasa et al. (2025) dan Hamidah et al. (2025) yang menyimpulkan bahwa usahatani kentang dengan manajemen input modern dan kepastian kontrak pasar global selalu menghasilkan Net B/C &gt; 1.</w:t>
      </w:r>
    </w:p>
    <w:p w14:paraId="1574F792">
      <w:pPr>
        <w:spacing w:before="140" w:after="60"/>
        <w:jc w:val="left"/>
      </w:pPr>
      <w:r>
        <w:rPr>
          <w:rFonts w:ascii="Times New Roman" w:hAnsi="Times New Roman" w:eastAsia="Times New Roman" w:cs="Times New Roman"/>
          <w:b/>
          <w:bCs/>
          <w:sz w:val="22"/>
          <w:szCs w:val="22"/>
        </w:rPr>
        <w:t>8. Ringkasan Kelayakan Finansial</w:t>
      </w:r>
    </w:p>
    <w:p w14:paraId="6E6327FA">
      <w:pPr>
        <w:spacing w:before="80" w:after="80" w:line="276" w:lineRule="auto"/>
        <w:jc w:val="both"/>
      </w:pPr>
      <w:r>
        <w:rPr>
          <w:rFonts w:ascii="Times New Roman" w:hAnsi="Times New Roman" w:eastAsia="Times New Roman" w:cs="Times New Roman"/>
          <w:b w:val="0"/>
          <w:bCs w:val="0"/>
          <w:i w:val="0"/>
          <w:iCs w:val="0"/>
          <w:sz w:val="22"/>
          <w:szCs w:val="22"/>
        </w:rPr>
        <w:t>Berikut disajikan rangkuman seluruh indikator kelayakan finansial usahatani kentang di PT Fujitake Shouten Co., Ltd:</w:t>
      </w:r>
    </w:p>
    <w:p w14:paraId="27D489AC">
      <w:pPr>
        <w:spacing w:before="100" w:after="40"/>
        <w:jc w:val="center"/>
      </w:pPr>
      <w:r>
        <w:rPr>
          <w:rFonts w:ascii="Times New Roman" w:hAnsi="Times New Roman" w:eastAsia="Times New Roman" w:cs="Times New Roman"/>
          <w:b/>
          <w:bCs/>
          <w:sz w:val="22"/>
          <w:szCs w:val="22"/>
        </w:rPr>
        <w:t>Tabel 6. Ringkasan Indikator Kelayakan Finansial Usahatani Kentang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5"/>
        <w:gridCol w:w="2188"/>
        <w:gridCol w:w="2211"/>
        <w:gridCol w:w="2406"/>
        <w:gridCol w:w="2388"/>
      </w:tblGrid>
      <w:tr w14:paraId="145A5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30DA5526">
            <w:pPr>
              <w:spacing w:before="40" w:after="40"/>
              <w:jc w:val="center"/>
            </w:pPr>
            <w:r>
              <w:rPr>
                <w:rFonts w:ascii="Times New Roman" w:hAnsi="Times New Roman" w:eastAsia="Times New Roman" w:cs="Times New Roman"/>
                <w:b/>
                <w:bCs/>
                <w:i w:val="0"/>
                <w:iCs w:val="0"/>
                <w:sz w:val="20"/>
                <w:szCs w:val="20"/>
              </w:rPr>
              <w:t>No</w:t>
            </w:r>
          </w:p>
        </w:tc>
        <w:tc>
          <w:tcPr>
            <w:tcW w:w="2200"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20689346">
            <w:pPr>
              <w:spacing w:before="40" w:after="40"/>
              <w:jc w:val="center"/>
            </w:pPr>
            <w:r>
              <w:rPr>
                <w:rFonts w:ascii="Times New Roman" w:hAnsi="Times New Roman" w:eastAsia="Times New Roman" w:cs="Times New Roman"/>
                <w:b/>
                <w:bCs/>
                <w:i w:val="0"/>
                <w:iCs w:val="0"/>
                <w:sz w:val="20"/>
                <w:szCs w:val="20"/>
              </w:rPr>
              <w:t>Indikator</w:t>
            </w:r>
          </w:p>
        </w:tc>
        <w:tc>
          <w:tcPr>
            <w:tcW w:w="2219"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30C3FE4A">
            <w:pPr>
              <w:spacing w:before="40" w:after="40"/>
              <w:jc w:val="center"/>
            </w:pPr>
            <w:r>
              <w:rPr>
                <w:rFonts w:ascii="Times New Roman" w:hAnsi="Times New Roman" w:eastAsia="Times New Roman" w:cs="Times New Roman"/>
                <w:b/>
                <w:bCs/>
                <w:i w:val="0"/>
                <w:iCs w:val="0"/>
                <w:sz w:val="20"/>
                <w:szCs w:val="20"/>
              </w:rPr>
              <w:t>Nilai</w:t>
            </w:r>
          </w:p>
        </w:tc>
        <w:tc>
          <w:tcPr>
            <w:tcW w:w="2419"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405A0E91">
            <w:pPr>
              <w:spacing w:before="40" w:after="40"/>
              <w:jc w:val="center"/>
            </w:pPr>
            <w:r>
              <w:rPr>
                <w:rFonts w:ascii="Times New Roman" w:hAnsi="Times New Roman" w:eastAsia="Times New Roman" w:cs="Times New Roman"/>
                <w:b/>
                <w:bCs/>
                <w:i w:val="0"/>
                <w:iCs w:val="0"/>
                <w:sz w:val="20"/>
                <w:szCs w:val="20"/>
              </w:rPr>
              <w:t>Standar Kelayakan</w:t>
            </w:r>
          </w:p>
        </w:tc>
        <w:tc>
          <w:tcPr>
            <w:tcW w:w="2400"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0304293E">
            <w:pPr>
              <w:spacing w:before="40" w:after="40"/>
              <w:jc w:val="center"/>
            </w:pPr>
            <w:r>
              <w:rPr>
                <w:rFonts w:ascii="Times New Roman" w:hAnsi="Times New Roman" w:eastAsia="Times New Roman" w:cs="Times New Roman"/>
                <w:b/>
                <w:bCs/>
                <w:i w:val="0"/>
                <w:iCs w:val="0"/>
                <w:sz w:val="20"/>
                <w:szCs w:val="20"/>
              </w:rPr>
              <w:t>Keterangan</w:t>
            </w:r>
          </w:p>
        </w:tc>
      </w:tr>
      <w:tr w14:paraId="3B1F9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E3B2FB">
            <w:pPr>
              <w:spacing w:before="40" w:after="40"/>
              <w:jc w:val="center"/>
            </w:pPr>
            <w:r>
              <w:rPr>
                <w:rFonts w:ascii="Times New Roman" w:hAnsi="Times New Roman" w:eastAsia="Times New Roman" w:cs="Times New Roman"/>
                <w:b w:val="0"/>
                <w:bCs w:val="0"/>
                <w:i w:val="0"/>
                <w:iCs w:val="0"/>
                <w:sz w:val="20"/>
                <w:szCs w:val="20"/>
              </w:rPr>
              <w:t>1</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67DB13">
            <w:pPr>
              <w:spacing w:before="40" w:after="40"/>
              <w:jc w:val="left"/>
            </w:pPr>
            <w:r>
              <w:rPr>
                <w:rFonts w:ascii="Times New Roman" w:hAnsi="Times New Roman" w:eastAsia="Times New Roman" w:cs="Times New Roman"/>
                <w:b w:val="0"/>
                <w:bCs w:val="0"/>
                <w:i w:val="0"/>
                <w:iCs w:val="0"/>
                <w:sz w:val="20"/>
                <w:szCs w:val="20"/>
              </w:rPr>
              <w:t>R/C Ratio</w:t>
            </w:r>
          </w:p>
        </w:tc>
        <w:tc>
          <w:tcPr>
            <w:tcW w:w="22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33EA9D3">
            <w:pPr>
              <w:spacing w:before="40" w:after="40"/>
              <w:jc w:val="center"/>
            </w:pPr>
            <w:r>
              <w:rPr>
                <w:rFonts w:ascii="Times New Roman" w:hAnsi="Times New Roman" w:eastAsia="Times New Roman" w:cs="Times New Roman"/>
                <w:b w:val="0"/>
                <w:bCs w:val="0"/>
                <w:i w:val="0"/>
                <w:iCs w:val="0"/>
                <w:sz w:val="20"/>
                <w:szCs w:val="20"/>
              </w:rPr>
              <w:t>1,37</w:t>
            </w:r>
          </w:p>
        </w:tc>
        <w:tc>
          <w:tcPr>
            <w:tcW w:w="24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C35B27C">
            <w:pPr>
              <w:spacing w:before="40" w:after="40"/>
              <w:jc w:val="left"/>
            </w:pPr>
            <w:r>
              <w:rPr>
                <w:rFonts w:ascii="Times New Roman" w:hAnsi="Times New Roman" w:eastAsia="Times New Roman" w:cs="Times New Roman"/>
                <w:b w:val="0"/>
                <w:bCs w:val="0"/>
                <w:i w:val="0"/>
                <w:iCs w:val="0"/>
                <w:sz w:val="20"/>
                <w:szCs w:val="20"/>
              </w:rPr>
              <w:t>R/C &gt; 1</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09E2F8C">
            <w:pPr>
              <w:spacing w:before="40" w:after="40"/>
              <w:jc w:val="left"/>
            </w:pPr>
            <w:r>
              <w:rPr>
                <w:rFonts w:ascii="Times New Roman" w:hAnsi="Times New Roman" w:eastAsia="Times New Roman" w:cs="Times New Roman"/>
                <w:b w:val="0"/>
                <w:bCs w:val="0"/>
                <w:i w:val="0"/>
                <w:iCs w:val="0"/>
                <w:sz w:val="20"/>
                <w:szCs w:val="20"/>
              </w:rPr>
              <w:t>Layak &amp; Efisien</w:t>
            </w:r>
          </w:p>
        </w:tc>
      </w:tr>
      <w:tr w14:paraId="2532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1146D55">
            <w:pPr>
              <w:spacing w:before="40" w:after="40"/>
              <w:jc w:val="center"/>
            </w:pPr>
            <w:r>
              <w:rPr>
                <w:rFonts w:ascii="Times New Roman" w:hAnsi="Times New Roman" w:eastAsia="Times New Roman" w:cs="Times New Roman"/>
                <w:b w:val="0"/>
                <w:bCs w:val="0"/>
                <w:i w:val="0"/>
                <w:iCs w:val="0"/>
                <w:sz w:val="20"/>
                <w:szCs w:val="20"/>
              </w:rPr>
              <w:t>2</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E358187">
            <w:pPr>
              <w:spacing w:before="40" w:after="40"/>
              <w:jc w:val="left"/>
            </w:pPr>
            <w:r>
              <w:rPr>
                <w:rFonts w:ascii="Times New Roman" w:hAnsi="Times New Roman" w:eastAsia="Times New Roman" w:cs="Times New Roman"/>
                <w:b w:val="0"/>
                <w:bCs w:val="0"/>
                <w:i w:val="0"/>
                <w:iCs w:val="0"/>
                <w:sz w:val="20"/>
                <w:szCs w:val="20"/>
              </w:rPr>
              <w:t>Net Present Value (NPV)</w:t>
            </w:r>
          </w:p>
        </w:tc>
        <w:tc>
          <w:tcPr>
            <w:tcW w:w="22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2237401">
            <w:pPr>
              <w:spacing w:before="40" w:after="40"/>
              <w:jc w:val="center"/>
            </w:pPr>
            <w:r>
              <w:rPr>
                <w:rFonts w:ascii="Times New Roman" w:hAnsi="Times New Roman" w:eastAsia="Times New Roman" w:cs="Times New Roman"/>
                <w:b w:val="0"/>
                <w:bCs w:val="0"/>
                <w:i w:val="0"/>
                <w:iCs w:val="0"/>
                <w:sz w:val="20"/>
                <w:szCs w:val="20"/>
              </w:rPr>
              <w:t>Rp767.780.000</w:t>
            </w:r>
          </w:p>
        </w:tc>
        <w:tc>
          <w:tcPr>
            <w:tcW w:w="24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34D51F">
            <w:pPr>
              <w:spacing w:before="40" w:after="40"/>
              <w:jc w:val="left"/>
            </w:pPr>
            <w:r>
              <w:rPr>
                <w:rFonts w:ascii="Times New Roman" w:hAnsi="Times New Roman" w:eastAsia="Times New Roman" w:cs="Times New Roman"/>
                <w:b w:val="0"/>
                <w:bCs w:val="0"/>
                <w:i w:val="0"/>
                <w:iCs w:val="0"/>
                <w:sz w:val="20"/>
                <w:szCs w:val="20"/>
              </w:rPr>
              <w:t>NPV &gt; 0</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851B9EC">
            <w:pPr>
              <w:spacing w:before="40" w:after="40"/>
              <w:jc w:val="left"/>
            </w:pPr>
            <w:r>
              <w:rPr>
                <w:rFonts w:ascii="Times New Roman" w:hAnsi="Times New Roman" w:eastAsia="Times New Roman" w:cs="Times New Roman"/>
                <w:b w:val="0"/>
                <w:bCs w:val="0"/>
                <w:i w:val="0"/>
                <w:iCs w:val="0"/>
                <w:sz w:val="20"/>
                <w:szCs w:val="20"/>
              </w:rPr>
              <w:t>Layak</w:t>
            </w:r>
          </w:p>
        </w:tc>
      </w:tr>
      <w:tr w14:paraId="45335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75797F0">
            <w:pPr>
              <w:spacing w:before="40" w:after="40"/>
              <w:jc w:val="center"/>
            </w:pPr>
            <w:r>
              <w:rPr>
                <w:rFonts w:ascii="Times New Roman" w:hAnsi="Times New Roman" w:eastAsia="Times New Roman" w:cs="Times New Roman"/>
                <w:b w:val="0"/>
                <w:bCs w:val="0"/>
                <w:i w:val="0"/>
                <w:iCs w:val="0"/>
                <w:sz w:val="20"/>
                <w:szCs w:val="20"/>
              </w:rPr>
              <w:t>3</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7327ED5">
            <w:pPr>
              <w:spacing w:before="40" w:after="40"/>
              <w:jc w:val="left"/>
            </w:pPr>
            <w:r>
              <w:rPr>
                <w:rFonts w:ascii="Times New Roman" w:hAnsi="Times New Roman" w:eastAsia="Times New Roman" w:cs="Times New Roman"/>
                <w:b w:val="0"/>
                <w:bCs w:val="0"/>
                <w:i w:val="0"/>
                <w:iCs w:val="0"/>
                <w:sz w:val="20"/>
                <w:szCs w:val="20"/>
              </w:rPr>
              <w:t>Internal Rate of Return (IRR)</w:t>
            </w:r>
          </w:p>
        </w:tc>
        <w:tc>
          <w:tcPr>
            <w:tcW w:w="22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E4469E1">
            <w:pPr>
              <w:spacing w:before="40" w:after="40"/>
              <w:jc w:val="center"/>
            </w:pPr>
            <w:r>
              <w:rPr>
                <w:rFonts w:ascii="Times New Roman" w:hAnsi="Times New Roman" w:eastAsia="Times New Roman" w:cs="Times New Roman"/>
                <w:b w:val="0"/>
                <w:bCs w:val="0"/>
                <w:i w:val="0"/>
                <w:iCs w:val="0"/>
                <w:sz w:val="20"/>
                <w:szCs w:val="20"/>
              </w:rPr>
              <w:t>37,5%</w:t>
            </w:r>
          </w:p>
        </w:tc>
        <w:tc>
          <w:tcPr>
            <w:tcW w:w="24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5AE7AE1">
            <w:pPr>
              <w:spacing w:before="40" w:after="40"/>
              <w:jc w:val="left"/>
            </w:pPr>
            <w:r>
              <w:rPr>
                <w:rFonts w:ascii="Times New Roman" w:hAnsi="Times New Roman" w:eastAsia="Times New Roman" w:cs="Times New Roman"/>
                <w:b w:val="0"/>
                <w:bCs w:val="0"/>
                <w:i w:val="0"/>
                <w:iCs w:val="0"/>
                <w:sz w:val="20"/>
                <w:szCs w:val="20"/>
              </w:rPr>
              <w:t>IRR &gt; Diskonto 5%</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200FCEB">
            <w:pPr>
              <w:spacing w:before="40" w:after="40"/>
              <w:jc w:val="left"/>
            </w:pPr>
            <w:r>
              <w:rPr>
                <w:rFonts w:ascii="Times New Roman" w:hAnsi="Times New Roman" w:eastAsia="Times New Roman" w:cs="Times New Roman"/>
                <w:b w:val="0"/>
                <w:bCs w:val="0"/>
                <w:i w:val="0"/>
                <w:iCs w:val="0"/>
                <w:sz w:val="20"/>
                <w:szCs w:val="20"/>
              </w:rPr>
              <w:t>Layak</w:t>
            </w:r>
          </w:p>
        </w:tc>
      </w:tr>
      <w:tr w14:paraId="6D2B6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43EE5D9">
            <w:pPr>
              <w:spacing w:before="40" w:after="40"/>
              <w:jc w:val="center"/>
            </w:pPr>
            <w:r>
              <w:rPr>
                <w:rFonts w:ascii="Times New Roman" w:hAnsi="Times New Roman" w:eastAsia="Times New Roman" w:cs="Times New Roman"/>
                <w:b w:val="0"/>
                <w:bCs w:val="0"/>
                <w:i w:val="0"/>
                <w:iCs w:val="0"/>
                <w:sz w:val="20"/>
                <w:szCs w:val="20"/>
              </w:rPr>
              <w:t>4</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8B25959">
            <w:pPr>
              <w:spacing w:before="40" w:after="40"/>
              <w:jc w:val="left"/>
            </w:pPr>
            <w:r>
              <w:rPr>
                <w:rFonts w:ascii="Times New Roman" w:hAnsi="Times New Roman" w:eastAsia="Times New Roman" w:cs="Times New Roman"/>
                <w:b w:val="0"/>
                <w:bCs w:val="0"/>
                <w:i w:val="0"/>
                <w:iCs w:val="0"/>
                <w:sz w:val="20"/>
                <w:szCs w:val="20"/>
              </w:rPr>
              <w:t>Net Benefit Cost (Net B/C)</w:t>
            </w:r>
          </w:p>
        </w:tc>
        <w:tc>
          <w:tcPr>
            <w:tcW w:w="22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97E2325">
            <w:pPr>
              <w:spacing w:before="40" w:after="40"/>
              <w:jc w:val="center"/>
            </w:pPr>
            <w:r>
              <w:rPr>
                <w:rFonts w:ascii="Times New Roman" w:hAnsi="Times New Roman" w:eastAsia="Times New Roman" w:cs="Times New Roman"/>
                <w:b w:val="0"/>
                <w:bCs w:val="0"/>
                <w:i w:val="0"/>
                <w:iCs w:val="0"/>
                <w:sz w:val="20"/>
                <w:szCs w:val="20"/>
              </w:rPr>
              <w:t>1,61</w:t>
            </w:r>
          </w:p>
        </w:tc>
        <w:tc>
          <w:tcPr>
            <w:tcW w:w="24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02776F8">
            <w:pPr>
              <w:spacing w:before="40" w:after="40"/>
              <w:jc w:val="left"/>
            </w:pPr>
            <w:r>
              <w:rPr>
                <w:rFonts w:ascii="Times New Roman" w:hAnsi="Times New Roman" w:eastAsia="Times New Roman" w:cs="Times New Roman"/>
                <w:b w:val="0"/>
                <w:bCs w:val="0"/>
                <w:i w:val="0"/>
                <w:iCs w:val="0"/>
                <w:sz w:val="20"/>
                <w:szCs w:val="20"/>
              </w:rPr>
              <w:t>Net B/C &gt; 1</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5B8DFA0">
            <w:pPr>
              <w:spacing w:before="40" w:after="40"/>
              <w:jc w:val="left"/>
            </w:pPr>
            <w:r>
              <w:rPr>
                <w:rFonts w:ascii="Times New Roman" w:hAnsi="Times New Roman" w:eastAsia="Times New Roman" w:cs="Times New Roman"/>
                <w:b w:val="0"/>
                <w:bCs w:val="0"/>
                <w:i w:val="0"/>
                <w:iCs w:val="0"/>
                <w:sz w:val="20"/>
                <w:szCs w:val="20"/>
              </w:rPr>
              <w:t>Layak</w:t>
            </w:r>
          </w:p>
        </w:tc>
      </w:tr>
    </w:tbl>
    <w:p w14:paraId="0074198C">
      <w:pPr>
        <w:spacing w:before="40" w:after="100"/>
        <w:jc w:val="left"/>
      </w:pPr>
      <w:r>
        <w:rPr>
          <w:rFonts w:ascii="Times New Roman" w:hAnsi="Times New Roman" w:eastAsia="Times New Roman" w:cs="Times New Roman"/>
          <w:i/>
          <w:iCs/>
          <w:sz w:val="20"/>
          <w:szCs w:val="20"/>
        </w:rPr>
        <w:t>Sumber: Data primer, diolah (2024)</w:t>
      </w:r>
    </w:p>
    <w:p w14:paraId="74C44EE0">
      <w:pPr>
        <w:spacing w:before="80" w:after="80" w:line="276" w:lineRule="auto"/>
        <w:ind w:firstLine="709"/>
        <w:jc w:val="both"/>
      </w:pPr>
      <w:r>
        <w:rPr>
          <w:rFonts w:ascii="Times New Roman" w:hAnsi="Times New Roman" w:eastAsia="Times New Roman" w:cs="Times New Roman"/>
          <w:b w:val="0"/>
          <w:bCs w:val="0"/>
          <w:i w:val="0"/>
          <w:iCs w:val="0"/>
          <w:sz w:val="22"/>
          <w:szCs w:val="22"/>
        </w:rPr>
        <w:t>Seluruh indikator kelayakan finansial memberikan hasil yang konsisten. Keberhasilan usaha ini didorong oleh: (1) produktivitas lahan optimal (40.000 kg per 2,73 hektar); (2) harga jual premium yang terjaga melalui sistem pertanian kontrak dengan mitra korporasi besar; dan (3) manajemen input produksi yang efisien meskipun biaya tenaga kerja tinggi akibat kondisi demografi pertanian Jepang. Secara keseluruhan, ketiga indikator TVM (NPV, IRR, Net B/C) bersama R/C Ratio membuktikan bahwa usahatani kentang di PT Fujitake Shouten Co., Ltd layak secara finansial untuk diusahakan dan dikembangkan.</w:t>
      </w:r>
    </w:p>
    <w:p w14:paraId="2BDB8C4C">
      <w:pPr>
        <w:spacing w:before="140" w:after="60"/>
        <w:jc w:val="left"/>
      </w:pPr>
      <w:r>
        <w:rPr>
          <w:rFonts w:ascii="Times New Roman" w:hAnsi="Times New Roman" w:eastAsia="Times New Roman" w:cs="Times New Roman"/>
          <w:b/>
          <w:bCs/>
          <w:sz w:val="22"/>
          <w:szCs w:val="22"/>
        </w:rPr>
        <w:t>9. Perbandingan dengan Penelitian Sejenis</w:t>
      </w:r>
    </w:p>
    <w:p w14:paraId="4E899FC8">
      <w:pPr>
        <w:spacing w:before="80" w:after="80" w:line="276" w:lineRule="auto"/>
        <w:jc w:val="both"/>
      </w:pPr>
      <w:r>
        <w:rPr>
          <w:rFonts w:ascii="Times New Roman" w:hAnsi="Times New Roman" w:eastAsia="Times New Roman" w:cs="Times New Roman"/>
          <w:b w:val="0"/>
          <w:bCs w:val="0"/>
          <w:i w:val="0"/>
          <w:iCs w:val="0"/>
          <w:sz w:val="22"/>
          <w:szCs w:val="22"/>
        </w:rPr>
        <w:t>Untuk memvalidasi hasil penelitian, berikut disajikan perbandingan indikator kelayakan finansial dengan penelitian sejenis:</w:t>
      </w:r>
    </w:p>
    <w:p w14:paraId="7938D370">
      <w:pPr>
        <w:spacing w:before="100" w:after="40"/>
        <w:jc w:val="center"/>
      </w:pPr>
      <w:r>
        <w:rPr>
          <w:rFonts w:ascii="Times New Roman" w:hAnsi="Times New Roman" w:eastAsia="Times New Roman" w:cs="Times New Roman"/>
          <w:b/>
          <w:bCs/>
          <w:sz w:val="22"/>
          <w:szCs w:val="22"/>
        </w:rPr>
        <w:t>Tabel 7. Perbandingan Hasil Kelayakan Finansial dengan Penelitian Sejenis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100"/>
        <w:gridCol w:w="2619"/>
        <w:gridCol w:w="2719"/>
      </w:tblGrid>
      <w:tr w14:paraId="54CA6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767210FC">
            <w:pPr>
              <w:spacing w:before="40" w:after="40"/>
              <w:jc w:val="center"/>
            </w:pPr>
            <w:r>
              <w:rPr>
                <w:rFonts w:ascii="Times New Roman" w:hAnsi="Times New Roman" w:eastAsia="Times New Roman" w:cs="Times New Roman"/>
                <w:b/>
                <w:bCs/>
                <w:i w:val="0"/>
                <w:iCs w:val="0"/>
                <w:sz w:val="20"/>
                <w:szCs w:val="20"/>
              </w:rPr>
              <w:t>Aspek</w:t>
            </w:r>
          </w:p>
        </w:tc>
        <w:tc>
          <w:tcPr>
            <w:tcW w:w="2100"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751D5D5B">
            <w:pPr>
              <w:spacing w:before="40" w:after="40"/>
              <w:jc w:val="center"/>
            </w:pPr>
            <w:r>
              <w:rPr>
                <w:rFonts w:ascii="Times New Roman" w:hAnsi="Times New Roman" w:eastAsia="Times New Roman" w:cs="Times New Roman"/>
                <w:b/>
                <w:bCs/>
                <w:i w:val="0"/>
                <w:iCs w:val="0"/>
                <w:sz w:val="20"/>
                <w:szCs w:val="20"/>
              </w:rPr>
              <w:t>Penelitian Ini (Kentang, Jepang)</w:t>
            </w:r>
          </w:p>
        </w:tc>
        <w:tc>
          <w:tcPr>
            <w:tcW w:w="2619"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4997B1C7">
            <w:pPr>
              <w:spacing w:before="40" w:after="40"/>
              <w:jc w:val="center"/>
            </w:pPr>
            <w:r>
              <w:rPr>
                <w:rFonts w:ascii="Times New Roman" w:hAnsi="Times New Roman" w:eastAsia="Times New Roman" w:cs="Times New Roman"/>
                <w:b/>
                <w:bCs/>
                <w:i w:val="0"/>
                <w:iCs w:val="0"/>
                <w:sz w:val="20"/>
                <w:szCs w:val="20"/>
              </w:rPr>
              <w:t>Agustina 2021 (Jeruk, Indonesia)</w:t>
            </w:r>
          </w:p>
        </w:tc>
        <w:tc>
          <w:tcPr>
            <w:tcW w:w="2719" w:type="dxa"/>
            <w:tcBorders>
              <w:top w:val="single" w:color="000000" w:sz="4" w:space="0"/>
              <w:left w:val="single" w:color="000000" w:sz="4" w:space="0"/>
              <w:bottom w:val="single" w:color="000000" w:sz="4" w:space="0"/>
              <w:right w:val="single" w:color="000000" w:sz="4" w:space="0"/>
            </w:tcBorders>
            <w:shd w:val="clear" w:color="auto" w:fill="D0CECE"/>
            <w:tcMar>
              <w:top w:w="60" w:type="dxa"/>
              <w:left w:w="100" w:type="dxa"/>
              <w:bottom w:w="60" w:type="dxa"/>
              <w:right w:w="100" w:type="dxa"/>
            </w:tcMar>
            <w:vAlign w:val="center"/>
          </w:tcPr>
          <w:p w14:paraId="69532539">
            <w:pPr>
              <w:spacing w:before="40" w:after="40"/>
              <w:jc w:val="center"/>
            </w:pPr>
            <w:r>
              <w:rPr>
                <w:rFonts w:ascii="Times New Roman" w:hAnsi="Times New Roman" w:eastAsia="Times New Roman" w:cs="Times New Roman"/>
                <w:b/>
                <w:bCs/>
                <w:i w:val="0"/>
                <w:iCs w:val="0"/>
                <w:sz w:val="20"/>
                <w:szCs w:val="20"/>
              </w:rPr>
              <w:t>Hamidah et al. 2025 (Kentang, Indonesia)</w:t>
            </w:r>
          </w:p>
        </w:tc>
      </w:tr>
      <w:tr w14:paraId="54DF8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8F8AEB">
            <w:pPr>
              <w:spacing w:before="40" w:after="40"/>
              <w:jc w:val="left"/>
            </w:pPr>
            <w:r>
              <w:rPr>
                <w:rFonts w:ascii="Times New Roman" w:hAnsi="Times New Roman" w:eastAsia="Times New Roman" w:cs="Times New Roman"/>
                <w:b w:val="0"/>
                <w:bCs w:val="0"/>
                <w:i w:val="0"/>
                <w:iCs w:val="0"/>
                <w:sz w:val="20"/>
                <w:szCs w:val="20"/>
              </w:rPr>
              <w:t>Komoditas</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606D3D1">
            <w:pPr>
              <w:spacing w:before="40" w:after="40"/>
              <w:jc w:val="center"/>
            </w:pPr>
            <w:r>
              <w:rPr>
                <w:rFonts w:ascii="Times New Roman" w:hAnsi="Times New Roman" w:eastAsia="Times New Roman" w:cs="Times New Roman"/>
                <w:b w:val="0"/>
                <w:bCs w:val="0"/>
                <w:i w:val="0"/>
                <w:iCs w:val="0"/>
                <w:sz w:val="20"/>
                <w:szCs w:val="20"/>
              </w:rPr>
              <w:t>Kentang (Solanum tuberosum L.)</w:t>
            </w:r>
          </w:p>
        </w:tc>
        <w:tc>
          <w:tcPr>
            <w:tcW w:w="26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4E52E4F">
            <w:pPr>
              <w:spacing w:before="40" w:after="40"/>
              <w:jc w:val="center"/>
            </w:pPr>
            <w:r>
              <w:rPr>
                <w:rFonts w:ascii="Times New Roman" w:hAnsi="Times New Roman" w:eastAsia="Times New Roman" w:cs="Times New Roman"/>
                <w:b w:val="0"/>
                <w:bCs w:val="0"/>
                <w:i w:val="0"/>
                <w:iCs w:val="0"/>
                <w:sz w:val="20"/>
                <w:szCs w:val="20"/>
              </w:rPr>
              <w:t>Jeruk Siam Thailand</w:t>
            </w:r>
          </w:p>
        </w:tc>
        <w:tc>
          <w:tcPr>
            <w:tcW w:w="27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E6382A3">
            <w:pPr>
              <w:spacing w:before="40" w:after="40"/>
              <w:jc w:val="center"/>
            </w:pPr>
            <w:r>
              <w:rPr>
                <w:rFonts w:ascii="Times New Roman" w:hAnsi="Times New Roman" w:eastAsia="Times New Roman" w:cs="Times New Roman"/>
                <w:b w:val="0"/>
                <w:bCs w:val="0"/>
                <w:i w:val="0"/>
                <w:iCs w:val="0"/>
                <w:sz w:val="20"/>
                <w:szCs w:val="20"/>
              </w:rPr>
              <w:t>Kentang</w:t>
            </w:r>
          </w:p>
        </w:tc>
      </w:tr>
      <w:tr w14:paraId="0E792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4F09644">
            <w:pPr>
              <w:spacing w:before="40" w:after="40"/>
              <w:jc w:val="left"/>
            </w:pPr>
            <w:r>
              <w:rPr>
                <w:rFonts w:ascii="Times New Roman" w:hAnsi="Times New Roman" w:eastAsia="Times New Roman" w:cs="Times New Roman"/>
                <w:b w:val="0"/>
                <w:bCs w:val="0"/>
                <w:i w:val="0"/>
                <w:iCs w:val="0"/>
                <w:sz w:val="20"/>
                <w:szCs w:val="20"/>
              </w:rPr>
              <w:t>Lokasi</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1478320">
            <w:pPr>
              <w:spacing w:before="40" w:after="40"/>
              <w:jc w:val="center"/>
            </w:pPr>
            <w:r>
              <w:rPr>
                <w:rFonts w:ascii="Times New Roman" w:hAnsi="Times New Roman" w:eastAsia="Times New Roman" w:cs="Times New Roman"/>
                <w:b w:val="0"/>
                <w:bCs w:val="0"/>
                <w:i w:val="0"/>
                <w:iCs w:val="0"/>
                <w:sz w:val="20"/>
                <w:szCs w:val="20"/>
              </w:rPr>
              <w:t>Nagasaki, Jepang</w:t>
            </w:r>
          </w:p>
        </w:tc>
        <w:tc>
          <w:tcPr>
            <w:tcW w:w="26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398D959">
            <w:pPr>
              <w:spacing w:before="40" w:after="40"/>
              <w:jc w:val="center"/>
            </w:pPr>
            <w:r>
              <w:rPr>
                <w:rFonts w:ascii="Times New Roman" w:hAnsi="Times New Roman" w:eastAsia="Times New Roman" w:cs="Times New Roman"/>
                <w:b w:val="0"/>
                <w:bCs w:val="0"/>
                <w:i w:val="0"/>
                <w:iCs w:val="0"/>
                <w:sz w:val="20"/>
                <w:szCs w:val="20"/>
              </w:rPr>
              <w:t>Indonesia</w:t>
            </w:r>
          </w:p>
        </w:tc>
        <w:tc>
          <w:tcPr>
            <w:tcW w:w="27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7E9AC47">
            <w:pPr>
              <w:spacing w:before="40" w:after="40"/>
              <w:jc w:val="center"/>
            </w:pPr>
            <w:r>
              <w:rPr>
                <w:rFonts w:ascii="Times New Roman" w:hAnsi="Times New Roman" w:eastAsia="Times New Roman" w:cs="Times New Roman"/>
                <w:b w:val="0"/>
                <w:bCs w:val="0"/>
                <w:i w:val="0"/>
                <w:iCs w:val="0"/>
                <w:sz w:val="20"/>
                <w:szCs w:val="20"/>
              </w:rPr>
              <w:t>Mojokerto, Indonesia</w:t>
            </w:r>
          </w:p>
        </w:tc>
      </w:tr>
      <w:tr w14:paraId="14B55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31C1B82">
            <w:pPr>
              <w:spacing w:before="40" w:after="40"/>
              <w:jc w:val="left"/>
            </w:pPr>
            <w:r>
              <w:rPr>
                <w:rFonts w:ascii="Times New Roman" w:hAnsi="Times New Roman" w:eastAsia="Times New Roman" w:cs="Times New Roman"/>
                <w:b w:val="0"/>
                <w:bCs w:val="0"/>
                <w:i w:val="0"/>
                <w:iCs w:val="0"/>
                <w:sz w:val="20"/>
                <w:szCs w:val="20"/>
              </w:rPr>
              <w:t>Skala Usaha</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9FAFF38">
            <w:pPr>
              <w:spacing w:before="40" w:after="40"/>
              <w:jc w:val="center"/>
            </w:pPr>
            <w:r>
              <w:rPr>
                <w:rFonts w:ascii="Times New Roman" w:hAnsi="Times New Roman" w:eastAsia="Times New Roman" w:cs="Times New Roman"/>
                <w:b w:val="0"/>
                <w:bCs w:val="0"/>
                <w:i w:val="0"/>
                <w:iCs w:val="0"/>
                <w:sz w:val="20"/>
                <w:szCs w:val="20"/>
              </w:rPr>
              <w:t>Perusahaan (2,73 ha)</w:t>
            </w:r>
          </w:p>
        </w:tc>
        <w:tc>
          <w:tcPr>
            <w:tcW w:w="26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226C4CC">
            <w:pPr>
              <w:spacing w:before="40" w:after="40"/>
              <w:jc w:val="center"/>
            </w:pPr>
            <w:r>
              <w:rPr>
                <w:rFonts w:ascii="Times New Roman" w:hAnsi="Times New Roman" w:eastAsia="Times New Roman" w:cs="Times New Roman"/>
                <w:b w:val="0"/>
                <w:bCs w:val="0"/>
                <w:i w:val="0"/>
                <w:iCs w:val="0"/>
                <w:sz w:val="20"/>
                <w:szCs w:val="20"/>
              </w:rPr>
              <w:t>Petani skala kecil</w:t>
            </w:r>
          </w:p>
        </w:tc>
        <w:tc>
          <w:tcPr>
            <w:tcW w:w="27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EAB6C92">
            <w:pPr>
              <w:spacing w:before="40" w:after="40"/>
              <w:jc w:val="center"/>
            </w:pPr>
            <w:r>
              <w:rPr>
                <w:rFonts w:ascii="Times New Roman" w:hAnsi="Times New Roman" w:eastAsia="Times New Roman" w:cs="Times New Roman"/>
                <w:b w:val="0"/>
                <w:bCs w:val="0"/>
                <w:i w:val="0"/>
                <w:iCs w:val="0"/>
                <w:sz w:val="20"/>
                <w:szCs w:val="20"/>
              </w:rPr>
              <w:t>Petani skala kecil</w:t>
            </w:r>
          </w:p>
        </w:tc>
      </w:tr>
      <w:tr w14:paraId="34576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B8F120C">
            <w:pPr>
              <w:spacing w:before="40" w:after="40"/>
              <w:jc w:val="left"/>
            </w:pPr>
            <w:r>
              <w:rPr>
                <w:rFonts w:ascii="Times New Roman" w:hAnsi="Times New Roman" w:eastAsia="Times New Roman" w:cs="Times New Roman"/>
                <w:b w:val="0"/>
                <w:bCs w:val="0"/>
                <w:i w:val="0"/>
                <w:iCs w:val="0"/>
                <w:sz w:val="20"/>
                <w:szCs w:val="20"/>
              </w:rPr>
              <w:t>R/C Ratio</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6AE7727">
            <w:pPr>
              <w:spacing w:before="40" w:after="40"/>
              <w:jc w:val="center"/>
            </w:pPr>
            <w:r>
              <w:rPr>
                <w:rFonts w:ascii="Times New Roman" w:hAnsi="Times New Roman" w:eastAsia="Times New Roman" w:cs="Times New Roman"/>
                <w:b w:val="0"/>
                <w:bCs w:val="0"/>
                <w:i w:val="0"/>
                <w:iCs w:val="0"/>
                <w:sz w:val="20"/>
                <w:szCs w:val="20"/>
              </w:rPr>
              <w:t>1,37</w:t>
            </w:r>
          </w:p>
        </w:tc>
        <w:tc>
          <w:tcPr>
            <w:tcW w:w="26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B4D7043">
            <w:pPr>
              <w:spacing w:before="40" w:after="40"/>
              <w:jc w:val="center"/>
            </w:pPr>
            <w:r>
              <w:rPr>
                <w:rFonts w:ascii="Times New Roman" w:hAnsi="Times New Roman" w:eastAsia="Times New Roman" w:cs="Times New Roman"/>
                <w:b w:val="0"/>
                <w:bCs w:val="0"/>
                <w:i w:val="0"/>
                <w:iCs w:val="0"/>
                <w:sz w:val="20"/>
                <w:szCs w:val="20"/>
              </w:rPr>
              <w:t>&gt; 1 (layak)</w:t>
            </w:r>
          </w:p>
        </w:tc>
        <w:tc>
          <w:tcPr>
            <w:tcW w:w="27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B23EEF5">
            <w:pPr>
              <w:spacing w:before="40" w:after="40"/>
              <w:jc w:val="center"/>
            </w:pPr>
            <w:r>
              <w:rPr>
                <w:rFonts w:ascii="Times New Roman" w:hAnsi="Times New Roman" w:eastAsia="Times New Roman" w:cs="Times New Roman"/>
                <w:b w:val="0"/>
                <w:bCs w:val="0"/>
                <w:i w:val="0"/>
                <w:iCs w:val="0"/>
                <w:sz w:val="20"/>
                <w:szCs w:val="20"/>
              </w:rPr>
              <w:t>&gt; 1 (layak)</w:t>
            </w:r>
          </w:p>
        </w:tc>
      </w:tr>
      <w:tr w14:paraId="5CC36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BDFFDB6">
            <w:pPr>
              <w:spacing w:before="40" w:after="40"/>
              <w:jc w:val="left"/>
            </w:pPr>
            <w:r>
              <w:rPr>
                <w:rFonts w:ascii="Times New Roman" w:hAnsi="Times New Roman" w:eastAsia="Times New Roman" w:cs="Times New Roman"/>
                <w:b w:val="0"/>
                <w:bCs w:val="0"/>
                <w:i w:val="0"/>
                <w:iCs w:val="0"/>
                <w:sz w:val="20"/>
                <w:szCs w:val="20"/>
              </w:rPr>
              <w:t>NPV</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CF2BBF7">
            <w:pPr>
              <w:spacing w:before="40" w:after="40"/>
              <w:jc w:val="center"/>
            </w:pPr>
            <w:r>
              <w:rPr>
                <w:rFonts w:ascii="Times New Roman" w:hAnsi="Times New Roman" w:eastAsia="Times New Roman" w:cs="Times New Roman"/>
                <w:b w:val="0"/>
                <w:bCs w:val="0"/>
                <w:i w:val="0"/>
                <w:iCs w:val="0"/>
                <w:sz w:val="20"/>
                <w:szCs w:val="20"/>
              </w:rPr>
              <w:t>Rp767.780.000 (positif)</w:t>
            </w:r>
          </w:p>
        </w:tc>
        <w:tc>
          <w:tcPr>
            <w:tcW w:w="26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B0D487E">
            <w:pPr>
              <w:spacing w:before="40" w:after="40"/>
              <w:jc w:val="center"/>
            </w:pPr>
            <w:r>
              <w:rPr>
                <w:rFonts w:ascii="Times New Roman" w:hAnsi="Times New Roman" w:eastAsia="Times New Roman" w:cs="Times New Roman"/>
                <w:b w:val="0"/>
                <w:bCs w:val="0"/>
                <w:i w:val="0"/>
                <w:iCs w:val="0"/>
                <w:sz w:val="20"/>
                <w:szCs w:val="20"/>
              </w:rPr>
              <w:t>Positif</w:t>
            </w:r>
          </w:p>
        </w:tc>
        <w:tc>
          <w:tcPr>
            <w:tcW w:w="27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E04B594">
            <w:pPr>
              <w:spacing w:before="40" w:after="40"/>
              <w:jc w:val="center"/>
            </w:pPr>
            <w:r>
              <w:rPr>
                <w:rFonts w:ascii="Times New Roman" w:hAnsi="Times New Roman" w:eastAsia="Times New Roman" w:cs="Times New Roman"/>
                <w:b w:val="0"/>
                <w:bCs w:val="0"/>
                <w:i w:val="0"/>
                <w:iCs w:val="0"/>
                <w:sz w:val="20"/>
                <w:szCs w:val="20"/>
              </w:rPr>
              <w:t>Positif</w:t>
            </w:r>
          </w:p>
        </w:tc>
      </w:tr>
      <w:tr w14:paraId="5BCF6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A5873F5">
            <w:pPr>
              <w:spacing w:before="40" w:after="40"/>
              <w:jc w:val="left"/>
            </w:pPr>
            <w:r>
              <w:rPr>
                <w:rFonts w:ascii="Times New Roman" w:hAnsi="Times New Roman" w:eastAsia="Times New Roman" w:cs="Times New Roman"/>
                <w:b w:val="0"/>
                <w:bCs w:val="0"/>
                <w:i w:val="0"/>
                <w:iCs w:val="0"/>
                <w:sz w:val="20"/>
                <w:szCs w:val="20"/>
              </w:rPr>
              <w:t>IRR</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397597C">
            <w:pPr>
              <w:spacing w:before="40" w:after="40"/>
              <w:jc w:val="center"/>
            </w:pPr>
            <w:r>
              <w:rPr>
                <w:rFonts w:ascii="Times New Roman" w:hAnsi="Times New Roman" w:eastAsia="Times New Roman" w:cs="Times New Roman"/>
                <w:b w:val="0"/>
                <w:bCs w:val="0"/>
                <w:i w:val="0"/>
                <w:iCs w:val="0"/>
                <w:sz w:val="20"/>
                <w:szCs w:val="20"/>
              </w:rPr>
              <w:t>37,5%</w:t>
            </w:r>
          </w:p>
        </w:tc>
        <w:tc>
          <w:tcPr>
            <w:tcW w:w="26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476D082">
            <w:pPr>
              <w:spacing w:before="40" w:after="40"/>
              <w:jc w:val="center"/>
            </w:pPr>
            <w:r>
              <w:rPr>
                <w:rFonts w:ascii="Times New Roman" w:hAnsi="Times New Roman" w:eastAsia="Times New Roman" w:cs="Times New Roman"/>
                <w:b w:val="0"/>
                <w:bCs w:val="0"/>
                <w:i w:val="0"/>
                <w:iCs w:val="0"/>
                <w:sz w:val="20"/>
                <w:szCs w:val="20"/>
              </w:rPr>
              <w:t>&gt; Suku bunga</w:t>
            </w:r>
          </w:p>
        </w:tc>
        <w:tc>
          <w:tcPr>
            <w:tcW w:w="27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74F74C6">
            <w:pPr>
              <w:spacing w:before="40" w:after="40"/>
              <w:jc w:val="center"/>
            </w:pPr>
            <w:r>
              <w:rPr>
                <w:rFonts w:ascii="Times New Roman" w:hAnsi="Times New Roman" w:eastAsia="Times New Roman" w:cs="Times New Roman"/>
                <w:b w:val="0"/>
                <w:bCs w:val="0"/>
                <w:i w:val="0"/>
                <w:iCs w:val="0"/>
                <w:sz w:val="20"/>
                <w:szCs w:val="20"/>
              </w:rPr>
              <w:t>&gt; Suku bunga</w:t>
            </w:r>
          </w:p>
        </w:tc>
      </w:tr>
      <w:tr w14:paraId="5540A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C1CC3FB">
            <w:pPr>
              <w:spacing w:before="40" w:after="40"/>
              <w:jc w:val="left"/>
            </w:pPr>
            <w:r>
              <w:rPr>
                <w:rFonts w:ascii="Times New Roman" w:hAnsi="Times New Roman" w:eastAsia="Times New Roman" w:cs="Times New Roman"/>
                <w:b w:val="0"/>
                <w:bCs w:val="0"/>
                <w:i w:val="0"/>
                <w:iCs w:val="0"/>
                <w:sz w:val="20"/>
                <w:szCs w:val="20"/>
              </w:rPr>
              <w:t>Net B/C</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7D893B9">
            <w:pPr>
              <w:spacing w:before="40" w:after="40"/>
              <w:jc w:val="center"/>
            </w:pPr>
            <w:r>
              <w:rPr>
                <w:rFonts w:ascii="Times New Roman" w:hAnsi="Times New Roman" w:eastAsia="Times New Roman" w:cs="Times New Roman"/>
                <w:b w:val="0"/>
                <w:bCs w:val="0"/>
                <w:i w:val="0"/>
                <w:iCs w:val="0"/>
                <w:sz w:val="20"/>
                <w:szCs w:val="20"/>
              </w:rPr>
              <w:t>1,61</w:t>
            </w:r>
          </w:p>
        </w:tc>
        <w:tc>
          <w:tcPr>
            <w:tcW w:w="26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99D441">
            <w:pPr>
              <w:spacing w:before="40" w:after="40"/>
              <w:jc w:val="center"/>
            </w:pPr>
            <w:r>
              <w:rPr>
                <w:rFonts w:ascii="Times New Roman" w:hAnsi="Times New Roman" w:eastAsia="Times New Roman" w:cs="Times New Roman"/>
                <w:b w:val="0"/>
                <w:bCs w:val="0"/>
                <w:i w:val="0"/>
                <w:iCs w:val="0"/>
                <w:sz w:val="20"/>
                <w:szCs w:val="20"/>
              </w:rPr>
              <w:t>&gt; 1</w:t>
            </w:r>
          </w:p>
        </w:tc>
        <w:tc>
          <w:tcPr>
            <w:tcW w:w="27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A772E8B">
            <w:pPr>
              <w:spacing w:before="40" w:after="40"/>
              <w:jc w:val="center"/>
            </w:pPr>
            <w:r>
              <w:rPr>
                <w:rFonts w:ascii="Times New Roman" w:hAnsi="Times New Roman" w:eastAsia="Times New Roman" w:cs="Times New Roman"/>
                <w:b w:val="0"/>
                <w:bCs w:val="0"/>
                <w:i w:val="0"/>
                <w:iCs w:val="0"/>
                <w:sz w:val="20"/>
                <w:szCs w:val="20"/>
              </w:rPr>
              <w:t>&gt; 1</w:t>
            </w:r>
          </w:p>
        </w:tc>
      </w:tr>
      <w:tr w14:paraId="10C30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9A30097">
            <w:pPr>
              <w:spacing w:before="40" w:after="40"/>
              <w:jc w:val="left"/>
            </w:pPr>
            <w:r>
              <w:rPr>
                <w:rFonts w:ascii="Times New Roman" w:hAnsi="Times New Roman" w:eastAsia="Times New Roman" w:cs="Times New Roman"/>
                <w:b/>
                <w:bCs/>
                <w:i w:val="0"/>
                <w:iCs w:val="0"/>
                <w:sz w:val="20"/>
                <w:szCs w:val="20"/>
              </w:rPr>
              <w:t>Kesimpulan</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A0A10AA">
            <w:pPr>
              <w:spacing w:before="40" w:after="40"/>
              <w:jc w:val="center"/>
            </w:pPr>
            <w:r>
              <w:rPr>
                <w:rFonts w:ascii="Times New Roman" w:hAnsi="Times New Roman" w:eastAsia="Times New Roman" w:cs="Times New Roman"/>
                <w:b/>
                <w:bCs/>
                <w:i w:val="0"/>
                <w:iCs w:val="0"/>
                <w:sz w:val="20"/>
                <w:szCs w:val="20"/>
              </w:rPr>
              <w:t>Layak</w:t>
            </w:r>
          </w:p>
        </w:tc>
        <w:tc>
          <w:tcPr>
            <w:tcW w:w="26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0BE1DF1">
            <w:pPr>
              <w:spacing w:before="40" w:after="40"/>
              <w:jc w:val="center"/>
            </w:pPr>
            <w:r>
              <w:rPr>
                <w:rFonts w:ascii="Times New Roman" w:hAnsi="Times New Roman" w:eastAsia="Times New Roman" w:cs="Times New Roman"/>
                <w:b/>
                <w:bCs/>
                <w:i w:val="0"/>
                <w:iCs w:val="0"/>
                <w:sz w:val="20"/>
                <w:szCs w:val="20"/>
              </w:rPr>
              <w:t>Layak</w:t>
            </w:r>
          </w:p>
        </w:tc>
        <w:tc>
          <w:tcPr>
            <w:tcW w:w="27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104CF3C">
            <w:pPr>
              <w:spacing w:before="40" w:after="40"/>
              <w:jc w:val="center"/>
            </w:pPr>
            <w:r>
              <w:rPr>
                <w:rFonts w:ascii="Times New Roman" w:hAnsi="Times New Roman" w:eastAsia="Times New Roman" w:cs="Times New Roman"/>
                <w:b/>
                <w:bCs/>
                <w:i w:val="0"/>
                <w:iCs w:val="0"/>
                <w:sz w:val="20"/>
                <w:szCs w:val="20"/>
              </w:rPr>
              <w:t>Layak</w:t>
            </w:r>
          </w:p>
        </w:tc>
      </w:tr>
    </w:tbl>
    <w:p w14:paraId="21251707">
      <w:pPr>
        <w:spacing w:before="40" w:after="100"/>
        <w:jc w:val="left"/>
      </w:pPr>
      <w:r>
        <w:rPr>
          <w:rFonts w:ascii="Times New Roman" w:hAnsi="Times New Roman" w:eastAsia="Times New Roman" w:cs="Times New Roman"/>
          <w:i/>
          <w:iCs/>
          <w:sz w:val="20"/>
          <w:szCs w:val="20"/>
        </w:rPr>
        <w:t>Sumber: Dikompilasi dari berbagai sumber (2021–2025)</w:t>
      </w:r>
    </w:p>
    <w:p w14:paraId="0FA8F5DC">
      <w:pPr>
        <w:spacing w:before="80" w:after="80" w:line="276" w:lineRule="auto"/>
        <w:ind w:firstLine="709"/>
        <w:jc w:val="both"/>
      </w:pPr>
      <w:r>
        <w:rPr>
          <w:rFonts w:ascii="Times New Roman" w:hAnsi="Times New Roman" w:eastAsia="Times New Roman" w:cs="Times New Roman"/>
          <w:b w:val="0"/>
          <w:bCs w:val="0"/>
          <w:i w:val="0"/>
          <w:iCs w:val="0"/>
          <w:sz w:val="22"/>
          <w:szCs w:val="22"/>
        </w:rPr>
        <w:t>Berdasarkan Tabel 7, hasil penelitian ini konsisten dengan penelitian-penelitian sebelumnya pada berbagai komoditas dan lokasi. Nilai IRR pada penelitian ini (37,5%) menunjukkan daya tarik investasi yang sangat tinggi dibandingkan penelitian lain, yang dapat dijelaskan oleh kombinasi harga jual kentang premium (kontrak McDonald's), volume produksi besar, dan efisiensi manajemen usaha yang terstruktur. Perbedaan konteks lokasi (Jepang vs. Indonesia) tidak mengubah validitas analisis karena pendekatan finansial yang digunakan bersifat universal (Gittinger, 1986).</w:t>
      </w:r>
    </w:p>
    <w:p w14:paraId="3EDBC768">
      <w:pPr>
        <w:spacing w:before="180" w:after="80"/>
        <w:jc w:val="left"/>
      </w:pPr>
      <w:r>
        <w:rPr>
          <w:rFonts w:ascii="Times New Roman" w:hAnsi="Times New Roman" w:eastAsia="Times New Roman" w:cs="Times New Roman"/>
          <w:b/>
          <w:bCs/>
          <w:sz w:val="22"/>
          <w:szCs w:val="22"/>
        </w:rPr>
        <w:t>KESIMPULAN DAN SARAN</w:t>
      </w:r>
    </w:p>
    <w:p w14:paraId="1DEFCE22">
      <w:pPr>
        <w:spacing w:before="140" w:after="60"/>
        <w:jc w:val="left"/>
      </w:pPr>
      <w:r>
        <w:rPr>
          <w:rFonts w:ascii="Times New Roman" w:hAnsi="Times New Roman" w:eastAsia="Times New Roman" w:cs="Times New Roman"/>
          <w:b/>
          <w:bCs/>
          <w:sz w:val="22"/>
          <w:szCs w:val="22"/>
        </w:rPr>
        <w:t>Kesimpulan</w:t>
      </w:r>
    </w:p>
    <w:p w14:paraId="2B04CE59">
      <w:pPr>
        <w:spacing w:before="80" w:after="80" w:line="276" w:lineRule="auto"/>
        <w:ind w:firstLine="709"/>
        <w:jc w:val="both"/>
      </w:pPr>
      <w:r>
        <w:rPr>
          <w:rFonts w:ascii="Times New Roman" w:hAnsi="Times New Roman" w:eastAsia="Times New Roman" w:cs="Times New Roman"/>
          <w:b w:val="0"/>
          <w:bCs w:val="0"/>
          <w:i w:val="0"/>
          <w:iCs w:val="0"/>
          <w:sz w:val="22"/>
          <w:szCs w:val="22"/>
        </w:rPr>
        <w:t>Berdasarkan hasil analisis kelayakan finansial usahatani kentang di PT Fujitake Shouten Co., Ltd, Prefektur Nagasaki, Jepang, dapat disimpulkan sebagai berikut. Pertama, total biaya produksi dalam satu periode produksi pada lahan seluas 2,73 hektar adalah Rp1.250.000.000, dengan komponen terbesar adalah tenaga kerja (Rp380.000.000), pupuk kimia (Rp250.000.000), dan bibit (Rp220.000.000). Kedua, total penerimaan dari penjualan 40.000 kg kentang dengan harga rata-rata Rp42.900/kg adalah Rp1.716.000.000, dengan pendapatan bersih Rp466.000.000 per periode dan R/C Ratio 1,37 yang menunjukkan efisiensi operasional yang baik. Ketiga, berdasarkan analisis berbasis nilai waktu uang dengan periode 5 tahun dan tingkat diskonto 5%, diperoleh NPV Rp767.780.000 (positif), IRR 37,5% (jauh melampaui diskonto 5%), dan Net B/C 1,61. Seluruh indikator konsisten menunjukkan bahwa usahatani kentang di PT Fujitake Shouten Co., Ltd layak untuk diusahakan dan dikembangkan secara finansial dalam jangka panjang.</w:t>
      </w:r>
    </w:p>
    <w:p w14:paraId="29AD6257">
      <w:pPr>
        <w:spacing w:before="140" w:after="60"/>
        <w:jc w:val="left"/>
      </w:pPr>
      <w:r>
        <w:rPr>
          <w:rFonts w:ascii="Times New Roman" w:hAnsi="Times New Roman" w:eastAsia="Times New Roman" w:cs="Times New Roman"/>
          <w:b/>
          <w:bCs/>
          <w:sz w:val="22"/>
          <w:szCs w:val="22"/>
        </w:rPr>
        <w:t>Saran</w:t>
      </w:r>
    </w:p>
    <w:p w14:paraId="052A3692">
      <w:pPr>
        <w:spacing w:before="80" w:after="80" w:line="276" w:lineRule="auto"/>
        <w:ind w:firstLine="709"/>
        <w:jc w:val="both"/>
      </w:pPr>
      <w:r>
        <w:rPr>
          <w:rFonts w:ascii="Times New Roman" w:hAnsi="Times New Roman" w:eastAsia="Times New Roman" w:cs="Times New Roman"/>
          <w:b w:val="0"/>
          <w:bCs w:val="0"/>
          <w:i w:val="0"/>
          <w:iCs w:val="0"/>
          <w:sz w:val="22"/>
          <w:szCs w:val="22"/>
        </w:rPr>
        <w:t>Pertama, bagi pihak manajemen PT Fujitake Shouten Co., Ltd, disarankan untuk terus melakukan efisiensi pada komponen biaya produksi, khususnya biaya tenaga kerja, melalui mekanisasi pertanian yang lebih intensif agar keuntungan usaha dapat ditingkatkan seiring dengan menurunnya ketergantungan pada tenaga kerja manual. Kedua, untuk meminimalkan risiko fluktuasi harga, perusahaan disarankan memperluas jaringan kontrak penjualan dengan berbagai mitra usaha sehingga kestabilan penerimaan dapat terjaga secara berkelanjutan. Ketiga, bagi peneliti selanjutnya, disarankan untuk melakukan penelitian serupa dengan cakupan yang lebih luas, misalnya membandingkan kelayakan finansial usahatani kentang di beberapa perusahaan agribisnis Jepang, atau memasukkan analisis sensitivitas dan variabel risiko produksi ke dalam model analisis untuk memberikan gambaran yang lebih komprehensif.</w:t>
      </w:r>
    </w:p>
    <w:p w14:paraId="254786F1">
      <w:pPr>
        <w:spacing w:before="180" w:after="80"/>
        <w:jc w:val="left"/>
      </w:pPr>
      <w:r>
        <w:rPr>
          <w:rFonts w:ascii="Times New Roman" w:hAnsi="Times New Roman" w:eastAsia="Times New Roman" w:cs="Times New Roman"/>
          <w:b/>
          <w:bCs/>
          <w:sz w:val="22"/>
          <w:szCs w:val="22"/>
        </w:rPr>
        <w:t>DAFTAR PUSTAKA</w:t>
      </w:r>
    </w:p>
    <w:p w14:paraId="116C732D">
      <w:pPr>
        <w:spacing w:before="40" w:after="40" w:line="276" w:lineRule="auto"/>
        <w:jc w:val="both"/>
      </w:pPr>
      <w:r>
        <w:rPr>
          <w:rFonts w:ascii="Times New Roman" w:hAnsi="Times New Roman" w:eastAsia="Times New Roman" w:cs="Times New Roman"/>
          <w:b w:val="0"/>
          <w:bCs w:val="0"/>
          <w:i w:val="0"/>
          <w:iCs w:val="0"/>
          <w:sz w:val="22"/>
          <w:szCs w:val="22"/>
        </w:rPr>
        <w:t>Abiyasa, N. F., Nabila, N., Gustina, P. N., &amp; Rahmasari, L. F. (2025). Analisis Kelayakan Finansial Usahatani Komoditas Kentang. Jurnal Riset Multidisiplin Edukasi, 2(6), 216-225.</w:t>
      </w:r>
    </w:p>
    <w:p w14:paraId="0EBF314D">
      <w:pPr>
        <w:spacing w:before="40" w:after="40" w:line="276" w:lineRule="auto"/>
        <w:jc w:val="both"/>
      </w:pPr>
      <w:r>
        <w:rPr>
          <w:rFonts w:ascii="Times New Roman" w:hAnsi="Times New Roman" w:eastAsia="Times New Roman" w:cs="Times New Roman"/>
          <w:b w:val="0"/>
          <w:bCs w:val="0"/>
          <w:i w:val="0"/>
          <w:iCs w:val="0"/>
          <w:sz w:val="22"/>
          <w:szCs w:val="22"/>
        </w:rPr>
        <w:t>Agustina. (2021). Analisis Kelayakan Finansial Usahatani Jeruk Siam Thailand. Jurnal Agribisnis Indonesia, 9(1), 35-46.</w:t>
      </w:r>
    </w:p>
    <w:p w14:paraId="72BA70B2">
      <w:pPr>
        <w:spacing w:before="40" w:after="40" w:line="276" w:lineRule="auto"/>
        <w:jc w:val="both"/>
      </w:pPr>
      <w:r>
        <w:rPr>
          <w:rFonts w:ascii="Times New Roman" w:hAnsi="Times New Roman" w:eastAsia="Times New Roman" w:cs="Times New Roman"/>
          <w:b w:val="0"/>
          <w:bCs w:val="0"/>
          <w:i w:val="0"/>
          <w:iCs w:val="0"/>
          <w:sz w:val="22"/>
          <w:szCs w:val="22"/>
        </w:rPr>
        <w:t>Anggraeni, R., Sebayang, R., Kadarso, &amp; Kusdardjito, C. (2026). Analisis Pendapatan dan Kelayakan Usahatani Kentang di Desa Buntu Kecamatan Kejajar Kabupaten Wonosobo. Jurnal Pertanian Agros, 28(2), 139-146.</w:t>
      </w:r>
    </w:p>
    <w:p w14:paraId="6948D3D8">
      <w:pPr>
        <w:spacing w:before="40" w:after="40" w:line="276" w:lineRule="auto"/>
        <w:jc w:val="both"/>
      </w:pPr>
      <w:r>
        <w:rPr>
          <w:rFonts w:ascii="Times New Roman" w:hAnsi="Times New Roman" w:eastAsia="Times New Roman" w:cs="Times New Roman"/>
          <w:b w:val="0"/>
          <w:bCs w:val="0"/>
          <w:i w:val="0"/>
          <w:iCs w:val="0"/>
          <w:sz w:val="22"/>
          <w:szCs w:val="22"/>
        </w:rPr>
        <w:t>Deguchi, Y., Maruyama, A., &amp; Nishi, A. (2016). Actual and Potential Yield Levels of Potato in Different Production Systems of Japan. Potato Research, 59(4), 325-338.</w:t>
      </w:r>
    </w:p>
    <w:p w14:paraId="5145C025">
      <w:pPr>
        <w:spacing w:before="40" w:after="40" w:line="276" w:lineRule="auto"/>
        <w:jc w:val="both"/>
      </w:pPr>
      <w:r>
        <w:rPr>
          <w:rFonts w:ascii="Times New Roman" w:hAnsi="Times New Roman" w:eastAsia="Times New Roman" w:cs="Times New Roman"/>
          <w:b w:val="0"/>
          <w:bCs w:val="0"/>
          <w:i w:val="0"/>
          <w:iCs w:val="0"/>
          <w:sz w:val="22"/>
          <w:szCs w:val="22"/>
        </w:rPr>
        <w:t>Food and Agriculture Organization of the United Nations (FAO). (2022). The State of Food and Agriculture. Rome: FAO.</w:t>
      </w:r>
    </w:p>
    <w:p w14:paraId="1E247CD4">
      <w:pPr>
        <w:spacing w:before="40" w:after="40" w:line="276" w:lineRule="auto"/>
        <w:jc w:val="both"/>
      </w:pPr>
      <w:r>
        <w:rPr>
          <w:rFonts w:ascii="Times New Roman" w:hAnsi="Times New Roman" w:eastAsia="Times New Roman" w:cs="Times New Roman"/>
          <w:b w:val="0"/>
          <w:bCs w:val="0"/>
          <w:i w:val="0"/>
          <w:iCs w:val="0"/>
          <w:sz w:val="22"/>
          <w:szCs w:val="22"/>
        </w:rPr>
        <w:t>Fathurrohman, Y. E. (2021). Analisis Kelayakan dan Risiko Usahatani Kentang di Desa Kutabawa Kecamatan Karangreja Kabupaten Purbalingga. Jurnal Ilmu Pertanian Indonesia, 26(1), 32-41.</w:t>
      </w:r>
    </w:p>
    <w:p w14:paraId="357D8660">
      <w:pPr>
        <w:spacing w:before="40" w:after="40" w:line="276" w:lineRule="auto"/>
        <w:jc w:val="both"/>
      </w:pPr>
      <w:r>
        <w:rPr>
          <w:rFonts w:ascii="Times New Roman" w:hAnsi="Times New Roman" w:eastAsia="Times New Roman" w:cs="Times New Roman"/>
          <w:b w:val="0"/>
          <w:bCs w:val="0"/>
          <w:i w:val="0"/>
          <w:iCs w:val="0"/>
          <w:sz w:val="22"/>
          <w:szCs w:val="22"/>
        </w:rPr>
        <w:t>Gittinger, J. P. (1986). Analisa Ekonomi Proyek-Proyek Pertanian. Jakarta: Universitas Indonesia Press.</w:t>
      </w:r>
    </w:p>
    <w:p w14:paraId="1C47DAA5">
      <w:pPr>
        <w:spacing w:before="40" w:after="40" w:line="276" w:lineRule="auto"/>
        <w:jc w:val="both"/>
      </w:pPr>
      <w:r>
        <w:rPr>
          <w:rFonts w:ascii="Times New Roman" w:hAnsi="Times New Roman" w:eastAsia="Times New Roman" w:cs="Times New Roman"/>
          <w:b w:val="0"/>
          <w:bCs w:val="0"/>
          <w:i w:val="0"/>
          <w:iCs w:val="0"/>
          <w:sz w:val="22"/>
          <w:szCs w:val="22"/>
        </w:rPr>
        <w:t>Guinanda, A., &amp; Khairizal. (2023). Analisis Biaya dan Kelayakan Usahatani Hortikultura. Jurnal Sosial Ekonomi Pertanian, 12(1), 45-56.</w:t>
      </w:r>
    </w:p>
    <w:p w14:paraId="2AC99D15">
      <w:pPr>
        <w:spacing w:before="40" w:after="40" w:line="276" w:lineRule="auto"/>
        <w:jc w:val="both"/>
      </w:pPr>
      <w:r>
        <w:rPr>
          <w:rFonts w:ascii="Times New Roman" w:hAnsi="Times New Roman" w:eastAsia="Times New Roman" w:cs="Times New Roman"/>
          <w:b w:val="0"/>
          <w:bCs w:val="0"/>
          <w:i w:val="0"/>
          <w:iCs w:val="0"/>
          <w:sz w:val="22"/>
          <w:szCs w:val="22"/>
        </w:rPr>
        <w:t>Hamidah, E., Fitriya, L., Faqih, M. A., &amp; Santi, I. S. (2025). Analisis Pendapatan dan Kelayakan Usahatani Kentang (Solanum tuberosum L.) dalam Peningkatan Perekonomian di Kabupaten Mojokerto. AGRORADIX: Jurnal Ilmu Pertanian, 9(1), 210-218.</w:t>
      </w:r>
    </w:p>
    <w:p w14:paraId="13085E8F">
      <w:pPr>
        <w:spacing w:before="40" w:after="40" w:line="276" w:lineRule="auto"/>
        <w:jc w:val="both"/>
      </w:pPr>
      <w:r>
        <w:rPr>
          <w:rFonts w:ascii="Times New Roman" w:hAnsi="Times New Roman" w:eastAsia="Times New Roman" w:cs="Times New Roman"/>
          <w:b w:val="0"/>
          <w:bCs w:val="0"/>
          <w:i w:val="0"/>
          <w:iCs w:val="0"/>
          <w:sz w:val="22"/>
          <w:szCs w:val="22"/>
        </w:rPr>
        <w:t>Haryanto, A., &amp; Supriyadi. (2018). Analisis Kelayakan Usahatani Kentang di Dataran Tinggi Dieng Kabupaten Wonosobo. Jurnal Ilmiah Agribisnis, 6(2), 145-156.</w:t>
      </w:r>
    </w:p>
    <w:p w14:paraId="4EB3F9A5">
      <w:pPr>
        <w:spacing w:before="40" w:after="40" w:line="276" w:lineRule="auto"/>
        <w:jc w:val="both"/>
      </w:pPr>
      <w:r>
        <w:rPr>
          <w:rFonts w:ascii="Times New Roman" w:hAnsi="Times New Roman" w:eastAsia="Times New Roman" w:cs="Times New Roman"/>
          <w:b w:val="0"/>
          <w:bCs w:val="0"/>
          <w:i w:val="0"/>
          <w:iCs w:val="0"/>
          <w:sz w:val="22"/>
          <w:szCs w:val="22"/>
        </w:rPr>
        <w:t>Kadariah, Karlina, L., &amp; Gray, C. (2018). Pengantar Evaluasi Proyek (Edisi ke-2). Jakarta: Universitas Indonesia Press.</w:t>
      </w:r>
    </w:p>
    <w:p w14:paraId="03207CFA">
      <w:pPr>
        <w:spacing w:before="40" w:after="40" w:line="276" w:lineRule="auto"/>
        <w:jc w:val="both"/>
      </w:pPr>
      <w:r>
        <w:rPr>
          <w:rFonts w:ascii="Times New Roman" w:hAnsi="Times New Roman" w:eastAsia="Times New Roman" w:cs="Times New Roman"/>
          <w:b w:val="0"/>
          <w:bCs w:val="0"/>
          <w:i w:val="0"/>
          <w:iCs w:val="0"/>
          <w:sz w:val="22"/>
          <w:szCs w:val="22"/>
        </w:rPr>
        <w:t>Ministry of Agriculture, Forestry and Fisheries Japan (MAFF). (2023). Japan Statistical Yearbook: Potato Production. Tokyo: MAFF.</w:t>
      </w:r>
    </w:p>
    <w:p w14:paraId="43A9C8DB">
      <w:pPr>
        <w:spacing w:before="40" w:after="40" w:line="276" w:lineRule="auto"/>
        <w:jc w:val="both"/>
      </w:pPr>
      <w:r>
        <w:rPr>
          <w:rFonts w:ascii="Times New Roman" w:hAnsi="Times New Roman" w:eastAsia="Times New Roman" w:cs="Times New Roman"/>
          <w:b w:val="0"/>
          <w:bCs w:val="0"/>
          <w:i w:val="0"/>
          <w:iCs w:val="0"/>
          <w:sz w:val="22"/>
          <w:szCs w:val="22"/>
        </w:rPr>
        <w:t>Nagasaki Prefectural Government. (2024). Isahaya City Statistics Report. Nagasaki: Prefectural Government Press.</w:t>
      </w:r>
    </w:p>
    <w:p w14:paraId="79B89B02">
      <w:pPr>
        <w:spacing w:before="40" w:after="40" w:line="276" w:lineRule="auto"/>
        <w:jc w:val="both"/>
      </w:pPr>
      <w:r>
        <w:rPr>
          <w:rFonts w:ascii="Times New Roman" w:hAnsi="Times New Roman" w:eastAsia="Times New Roman" w:cs="Times New Roman"/>
          <w:b w:val="0"/>
          <w:bCs w:val="0"/>
          <w:i w:val="0"/>
          <w:iCs w:val="0"/>
          <w:sz w:val="22"/>
          <w:szCs w:val="22"/>
        </w:rPr>
        <w:t>Nugroho, S., &amp; Margana. (2024). Analisis Kelayakan Investasi Usaha Pertanian Sayur Menggunakan NPV dan IRR. Jurnal Agribisnis Terapan, 4(2), 87-98.</w:t>
      </w:r>
    </w:p>
    <w:p w14:paraId="439CF65E">
      <w:pPr>
        <w:spacing w:before="40" w:after="40" w:line="276" w:lineRule="auto"/>
        <w:jc w:val="both"/>
      </w:pPr>
      <w:r>
        <w:rPr>
          <w:rFonts w:ascii="Times New Roman" w:hAnsi="Times New Roman" w:eastAsia="Times New Roman" w:cs="Times New Roman"/>
          <w:b w:val="0"/>
          <w:bCs w:val="0"/>
          <w:i w:val="0"/>
          <w:iCs w:val="0"/>
          <w:sz w:val="22"/>
          <w:szCs w:val="22"/>
        </w:rPr>
        <w:t>Otsuka, K., &amp; Liu, Y. (2021). Sustainability and Labor Dynamics in Japanese Agriculture: The Role of Foreign Workers. Journal of Asian Economics, 75, 101332.</w:t>
      </w:r>
    </w:p>
    <w:p w14:paraId="45045115">
      <w:pPr>
        <w:spacing w:before="40" w:after="40" w:line="276" w:lineRule="auto"/>
        <w:jc w:val="both"/>
      </w:pPr>
      <w:r>
        <w:rPr>
          <w:rFonts w:ascii="Times New Roman" w:hAnsi="Times New Roman" w:eastAsia="Times New Roman" w:cs="Times New Roman"/>
          <w:b w:val="0"/>
          <w:bCs w:val="0"/>
          <w:i w:val="0"/>
          <w:iCs w:val="0"/>
          <w:sz w:val="22"/>
          <w:szCs w:val="22"/>
        </w:rPr>
        <w:t>Rubatzky, V. E., &amp; Yamaguchi, M. (2012). World Vegetables: Principles, Production, and Nutritive Values (2nd ed.). New York: Chapman &amp; Hall.</w:t>
      </w:r>
    </w:p>
    <w:p w14:paraId="77A51BB5">
      <w:pPr>
        <w:spacing w:before="40" w:after="40" w:line="276" w:lineRule="auto"/>
        <w:jc w:val="both"/>
      </w:pPr>
      <w:r>
        <w:rPr>
          <w:rFonts w:ascii="Times New Roman" w:hAnsi="Times New Roman" w:eastAsia="Times New Roman" w:cs="Times New Roman"/>
          <w:b w:val="0"/>
          <w:bCs w:val="0"/>
          <w:i w:val="0"/>
          <w:iCs w:val="0"/>
          <w:sz w:val="22"/>
          <w:szCs w:val="22"/>
        </w:rPr>
        <w:t>Soekartawi. (2019). Analisis Usahatani. Jakarta: Universitas Indonesia Press.</w:t>
      </w:r>
    </w:p>
    <w:p w14:paraId="6EEFA45A">
      <w:pPr>
        <w:spacing w:before="40" w:after="40" w:line="276" w:lineRule="auto"/>
        <w:jc w:val="both"/>
      </w:pPr>
      <w:r>
        <w:rPr>
          <w:rFonts w:ascii="Times New Roman" w:hAnsi="Times New Roman" w:eastAsia="Times New Roman" w:cs="Times New Roman"/>
          <w:b w:val="0"/>
          <w:bCs w:val="0"/>
          <w:i w:val="0"/>
          <w:iCs w:val="0"/>
          <w:sz w:val="22"/>
          <w:szCs w:val="22"/>
        </w:rPr>
        <w:t>Sutarni, &amp; Fitri, R. (2023). Analisis Kelayakan Finansial Usahatani Padi Sawah Tanpa Pestisida Kimia. Agro Bali: Agricultural Journal, 6(1), 218-230.</w:t>
      </w:r>
    </w:p>
    <w:p w14:paraId="0B40CFBC">
      <w:pPr>
        <w:spacing w:before="40" w:after="40" w:line="276" w:lineRule="auto"/>
        <w:jc w:val="both"/>
      </w:pPr>
      <w:r>
        <w:rPr>
          <w:rFonts w:ascii="Times New Roman" w:hAnsi="Times New Roman" w:eastAsia="Times New Roman" w:cs="Times New Roman"/>
          <w:b w:val="0"/>
          <w:bCs w:val="0"/>
          <w:i w:val="0"/>
          <w:iCs w:val="0"/>
          <w:sz w:val="22"/>
          <w:szCs w:val="22"/>
        </w:rPr>
        <w:t>Yakup, M., Sujarwo, &amp; Fahriyah. (2023). Analisis Kelayakan Finansial Usahatani Cengkeh di Kecamatan Latambaga, Kabupaten Kolaka, Provinsi Sulawesi Tenggara. Jurnal Ekonomi Pertanian dan Agribisnis, 7(1), 186-196.</w:t>
      </w:r>
    </w:p>
    <w:p w14:paraId="0D77D773">
      <w:pPr>
        <w:spacing w:before="40" w:after="40" w:line="276" w:lineRule="auto"/>
        <w:jc w:val="both"/>
      </w:pPr>
      <w:r>
        <w:rPr>
          <w:rFonts w:ascii="Times New Roman" w:hAnsi="Times New Roman" w:eastAsia="Times New Roman" w:cs="Times New Roman"/>
          <w:b w:val="0"/>
          <w:bCs w:val="0"/>
          <w:i w:val="0"/>
          <w:iCs w:val="0"/>
          <w:sz w:val="22"/>
          <w:szCs w:val="22"/>
        </w:rPr>
        <w:t>Yamashita, T. (2022). Challenges and Opportunities in Japan's Horticultural Agribusiness: A Case Study of Nagasaki Prefecture. Japan Agricultural Research Quarterly (JARQ), 56(4), 301-310.</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36052C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1075</Words>
  <Characters>7017</Characters>
  <TotalTime>2</TotalTime>
  <ScaleCrop>false</ScaleCrop>
  <LinksUpToDate>false</LinksUpToDate>
  <CharactersWithSpaces>8065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2026-06-27T18:50:00Z</dcterms:created>
  <dc:creator>Un-named</dc:creator>
  <cp:lastModifiedBy>USER</cp:lastModifiedBy>
  <dcterms:modified xsi:type="dcterms:W3CDTF">2026-06-27T18:55:48Z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eyJoZGlkIjoiYzJmNjlhOWM2YTMwZWEzZWQxNjUwMzY5NjMzZmUwYjQiLCJ1c2VySWQiOiI5Nzk5ODM1NzgyNTQifQ==</vt:lpwstr>
  </property>
  <property fmtid="{D5CDD505-2E9C-101B-9397-08002B2CF9AE}" pid="3" name="KSOProductBuildVer">
    <vt:lpwstr>1033-12.1.0.26880</vt:lpwstr>
  </property>
  <property fmtid="{D5CDD505-2E9C-101B-9397-08002B2CF9AE}" pid="4" name="ICV">
    <vt:lpwstr>C625823CE88B4B729501B1987C25A99E_13</vt:lpwstr>
  </property>
</Properties>
</file>