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8AEBB">
      <w:pPr>
        <w:pStyle w:val="19"/>
        <w:pBdr>
          <w:bottom w:val="double" w:color="auto" w:sz="6" w:space="1"/>
        </w:pBdr>
        <w:spacing w:after="0"/>
        <w:rPr>
          <w:rFonts w:ascii="Cambria" w:hAnsi="Cambria"/>
          <w:i w:val="0"/>
          <w:sz w:val="32"/>
          <w:szCs w:val="32"/>
          <w:lang w:val="id-ID"/>
        </w:rPr>
      </w:pPr>
      <w:r>
        <w:rPr>
          <w:b/>
          <w:i w:val="0"/>
          <w:sz w:val="24"/>
          <w:szCs w:val="24"/>
          <w:lang w:val="en-US"/>
        </w:rPr>
        <w:t xml:space="preserve">PERAN LITERASI </w:t>
      </w:r>
      <w:r>
        <w:rPr>
          <w:b/>
          <w:iCs/>
          <w:sz w:val="24"/>
          <w:szCs w:val="24"/>
          <w:lang w:val="en-US"/>
        </w:rPr>
        <w:t>FINTECH</w:t>
      </w:r>
      <w:r>
        <w:rPr>
          <w:b/>
          <w:i w:val="0"/>
          <w:sz w:val="24"/>
          <w:szCs w:val="24"/>
          <w:lang w:val="en-US"/>
        </w:rPr>
        <w:t xml:space="preserve"> DAN PERILAKU </w:t>
      </w:r>
      <w:r>
        <w:rPr>
          <w:b/>
          <w:iCs/>
          <w:sz w:val="24"/>
          <w:szCs w:val="24"/>
          <w:lang w:val="en-US"/>
        </w:rPr>
        <w:t>BUDGETING</w:t>
      </w:r>
      <w:r>
        <w:rPr>
          <w:b/>
          <w:i w:val="0"/>
          <w:sz w:val="24"/>
          <w:szCs w:val="24"/>
          <w:lang w:val="en-US"/>
        </w:rPr>
        <w:t xml:space="preserve"> TERHADAP KESEJAHTERAAN KEUANGAN MAHASISWA</w:t>
      </w:r>
      <w:r>
        <w:rPr>
          <w:b/>
          <w:sz w:val="24"/>
          <w:szCs w:val="24"/>
          <w:lang w:val="en-US"/>
        </w:rPr>
        <w:t xml:space="preserve"> </w:t>
      </w:r>
      <w:r>
        <w:commentReference w:id="0"/>
      </w:r>
    </w:p>
    <w:p w14:paraId="61E41FBD">
      <w:pPr>
        <w:pStyle w:val="19"/>
        <w:pBdr>
          <w:bottom w:val="double" w:color="auto" w:sz="6" w:space="1"/>
        </w:pBdr>
        <w:spacing w:after="0"/>
        <w:rPr>
          <w:rFonts w:ascii="Cambria" w:hAnsi="Cambria"/>
          <w:i w:val="0"/>
          <w:sz w:val="28"/>
          <w:szCs w:val="28"/>
          <w:lang w:val="en-US"/>
        </w:rPr>
      </w:pPr>
      <w:r>
        <w:rPr>
          <w:b/>
          <w:i w:val="0"/>
          <w:sz w:val="22"/>
          <w:szCs w:val="22"/>
          <w:lang w:val="en-US"/>
        </w:rPr>
        <w:t>Dwi Lestari</w:t>
      </w:r>
      <w:r>
        <w:rPr>
          <w:b/>
          <w:i w:val="0"/>
          <w:sz w:val="22"/>
          <w:szCs w:val="22"/>
          <w:vertAlign w:val="superscript"/>
          <w:lang w:val="id-ID"/>
        </w:rPr>
        <w:t>1</w:t>
      </w:r>
      <w:r>
        <w:rPr>
          <w:b/>
          <w:i w:val="0"/>
          <w:sz w:val="22"/>
          <w:szCs w:val="22"/>
          <w:vertAlign w:val="superscript"/>
          <w:lang w:val="en-US"/>
        </w:rPr>
        <w:t>)</w:t>
      </w:r>
      <w:r>
        <w:rPr>
          <w:b/>
          <w:i w:val="0"/>
          <w:sz w:val="22"/>
          <w:szCs w:val="22"/>
          <w:lang w:val="en-US"/>
        </w:rPr>
        <w:t>, Meti Zuliyana</w:t>
      </w:r>
      <w:r>
        <w:rPr>
          <w:b/>
          <w:i w:val="0"/>
          <w:sz w:val="22"/>
          <w:szCs w:val="22"/>
          <w:vertAlign w:val="superscript"/>
          <w:lang w:val="en-US"/>
        </w:rPr>
        <w:t>2)</w:t>
      </w:r>
    </w:p>
    <w:p w14:paraId="169E7487">
      <w:pPr>
        <w:pStyle w:val="19"/>
        <w:pBdr>
          <w:bottom w:val="double" w:color="auto" w:sz="6" w:space="1"/>
        </w:pBdr>
        <w:spacing w:after="0"/>
        <w:rPr>
          <w:i w:val="0"/>
          <w:sz w:val="18"/>
          <w:szCs w:val="18"/>
          <w:lang w:val="en-US"/>
        </w:rPr>
      </w:pPr>
    </w:p>
    <w:p w14:paraId="617C036F">
      <w:pPr>
        <w:pStyle w:val="19"/>
        <w:pBdr>
          <w:bottom w:val="double" w:color="auto" w:sz="6" w:space="1"/>
        </w:pBdr>
        <w:spacing w:after="0"/>
        <w:rPr>
          <w:rFonts w:ascii="Cambria" w:hAnsi="Cambria"/>
          <w:szCs w:val="16"/>
          <w:lang w:val="id-ID"/>
        </w:rPr>
      </w:pPr>
      <w:r>
        <w:rPr>
          <w:rFonts w:ascii="Cambria" w:hAnsi="Cambria"/>
          <w:szCs w:val="16"/>
          <w:vertAlign w:val="superscript"/>
          <w:lang w:val="id-ID"/>
        </w:rPr>
        <w:t>1</w:t>
      </w:r>
      <w:r>
        <w:rPr>
          <w:rFonts w:ascii="Cambria" w:hAnsi="Cambria"/>
          <w:szCs w:val="16"/>
          <w:vertAlign w:val="superscript"/>
          <w:lang w:val="en-US"/>
        </w:rPr>
        <w:t xml:space="preserve"> ,2,,3) </w:t>
      </w:r>
      <w:r>
        <w:rPr>
          <w:rFonts w:ascii="Cambria" w:hAnsi="Cambria"/>
          <w:szCs w:val="16"/>
          <w:lang w:val="en-US"/>
        </w:rPr>
        <w:t>Program Studi Akuntansi, Universitas Tridinanti, Sumatera Selatan, Indonesia</w:t>
      </w:r>
      <w:r>
        <w:rPr>
          <w:rFonts w:ascii="Cambria" w:hAnsi="Cambria"/>
          <w:szCs w:val="16"/>
          <w:lang w:val="id-ID"/>
        </w:rPr>
        <w:t xml:space="preserve"> </w:t>
      </w:r>
    </w:p>
    <w:p w14:paraId="6F1B626E">
      <w:pPr>
        <w:pStyle w:val="19"/>
        <w:pBdr>
          <w:bottom w:val="double" w:color="auto" w:sz="6" w:space="1"/>
        </w:pBdr>
        <w:spacing w:after="0"/>
        <w:rPr>
          <w:rFonts w:ascii="Cambria" w:hAnsi="Cambria"/>
          <w:szCs w:val="16"/>
          <w:lang w:val="en-US"/>
        </w:rPr>
      </w:pPr>
    </w:p>
    <w:p w14:paraId="6D9CA37F">
      <w:pPr>
        <w:pStyle w:val="19"/>
        <w:pBdr>
          <w:bottom w:val="double" w:color="auto" w:sz="6" w:space="1"/>
        </w:pBdr>
        <w:spacing w:after="0"/>
      </w:pPr>
      <w:r>
        <w:rPr>
          <w:rFonts w:ascii="Cambria" w:hAnsi="Cambria"/>
          <w:i w:val="0"/>
          <w:szCs w:val="16"/>
          <w:vertAlign w:val="superscript"/>
          <w:lang w:val="en-US"/>
        </w:rPr>
        <w:t>1)</w:t>
      </w:r>
      <w:r>
        <w:rPr>
          <w:rFonts w:ascii="Cambria" w:hAnsi="Cambria"/>
          <w:i w:val="0"/>
          <w:szCs w:val="16"/>
          <w:lang w:val="en-US"/>
        </w:rPr>
        <w:t xml:space="preserve">Email </w:t>
      </w:r>
      <w:r>
        <w:rPr>
          <w:rFonts w:ascii="Cambria" w:hAnsi="Cambria"/>
          <w:i w:val="0"/>
          <w:szCs w:val="16"/>
          <w:lang w:val="id-ID"/>
        </w:rPr>
        <w:t xml:space="preserve">: </w:t>
      </w:r>
      <w:r>
        <w:fldChar w:fldCharType="begin"/>
      </w:r>
      <w:r>
        <w:instrText xml:space="preserve"> HYPERLINK "mailto:dwiklestari62@gmail.com" </w:instrText>
      </w:r>
      <w:r>
        <w:fldChar w:fldCharType="separate"/>
      </w:r>
      <w:r>
        <w:rPr>
          <w:rStyle w:val="10"/>
          <w:rFonts w:ascii="Cambria" w:hAnsi="Cambria"/>
          <w:i w:val="0"/>
          <w:szCs w:val="16"/>
          <w:lang w:val="id-ID"/>
        </w:rPr>
        <w:t>dwiklestari62@gmail.com</w:t>
      </w:r>
      <w:r>
        <w:rPr>
          <w:rStyle w:val="10"/>
          <w:rFonts w:ascii="Cambria" w:hAnsi="Cambria"/>
          <w:i w:val="0"/>
          <w:szCs w:val="16"/>
          <w:lang w:val="id-ID"/>
        </w:rPr>
        <w:fldChar w:fldCharType="end"/>
      </w:r>
      <w:r>
        <w:rPr>
          <w:rFonts w:ascii="Cambria" w:hAnsi="Cambria"/>
          <w:i w:val="0"/>
          <w:szCs w:val="16"/>
          <w:lang w:val="id-ID"/>
        </w:rPr>
        <w:t xml:space="preserve"> </w:t>
      </w:r>
    </w:p>
    <w:p w14:paraId="3252B667">
      <w:pPr>
        <w:pStyle w:val="19"/>
        <w:pBdr>
          <w:bottom w:val="double" w:color="auto" w:sz="6" w:space="1"/>
        </w:pBdr>
        <w:spacing w:after="0"/>
        <w:rPr>
          <w:rFonts w:ascii="Cambria" w:hAnsi="Cambria"/>
          <w:szCs w:val="16"/>
          <w:lang w:val="en-US"/>
        </w:rPr>
      </w:pPr>
    </w:p>
    <w:p w14:paraId="04B64705">
      <w:pPr>
        <w:pStyle w:val="19"/>
        <w:spacing w:after="0"/>
        <w:rPr>
          <w:rFonts w:ascii="Cambria" w:hAnsi="Cambria"/>
          <w:lang w:val="en-US"/>
        </w:rPr>
      </w:pPr>
    </w:p>
    <w:tbl>
      <w:tblPr>
        <w:tblStyle w:val="3"/>
        <w:tblW w:w="0" w:type="auto"/>
        <w:tblInd w:w="10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673"/>
        <w:gridCol w:w="261"/>
        <w:gridCol w:w="5962"/>
      </w:tblGrid>
      <w:tr w14:paraId="542D2905">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tcBorders>
          </w:tcPr>
          <w:p w14:paraId="5FCF379F">
            <w:pPr>
              <w:pStyle w:val="19"/>
              <w:spacing w:after="0"/>
              <w:jc w:val="left"/>
              <w:rPr>
                <w:sz w:val="24"/>
                <w:szCs w:val="24"/>
                <w:lang w:val="en-US"/>
              </w:rPr>
            </w:pPr>
            <w:r>
              <w:rPr>
                <w:sz w:val="24"/>
                <w:szCs w:val="24"/>
                <w:lang w:val="en-US"/>
              </w:rPr>
              <w:t>INFORMASI ARTIKEL</w:t>
            </w:r>
          </w:p>
        </w:tc>
        <w:tc>
          <w:tcPr>
            <w:tcW w:w="270" w:type="dxa"/>
            <w:tcBorders>
              <w:top w:val="nil"/>
              <w:bottom w:val="nil"/>
            </w:tcBorders>
          </w:tcPr>
          <w:p w14:paraId="2B95C06E">
            <w:pPr>
              <w:pStyle w:val="19"/>
              <w:spacing w:after="0"/>
              <w:rPr>
                <w:lang w:val="en-US"/>
              </w:rPr>
            </w:pPr>
          </w:p>
        </w:tc>
        <w:tc>
          <w:tcPr>
            <w:tcW w:w="6930" w:type="dxa"/>
            <w:tcBorders>
              <w:top w:val="nil"/>
            </w:tcBorders>
          </w:tcPr>
          <w:p w14:paraId="2B04047E">
            <w:pPr>
              <w:pStyle w:val="19"/>
              <w:spacing w:after="0"/>
              <w:jc w:val="left"/>
              <w:rPr>
                <w:sz w:val="24"/>
                <w:szCs w:val="24"/>
                <w:lang w:val="en-US"/>
              </w:rPr>
            </w:pPr>
            <w:r>
              <w:rPr>
                <w:sz w:val="24"/>
                <w:szCs w:val="24"/>
                <w:lang w:val="en-US"/>
              </w:rPr>
              <w:t>ABSTRAK</w:t>
            </w:r>
          </w:p>
        </w:tc>
      </w:tr>
      <w:tr w14:paraId="3A365067">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8" w:hRule="atLeast"/>
        </w:trPr>
        <w:tc>
          <w:tcPr>
            <w:tcW w:w="2970" w:type="dxa"/>
            <w:tcBorders>
              <w:bottom w:val="nil"/>
            </w:tcBorders>
          </w:tcPr>
          <w:p w14:paraId="638B7716">
            <w:pPr>
              <w:pStyle w:val="19"/>
              <w:spacing w:after="0"/>
              <w:rPr>
                <w:rFonts w:ascii="Cambria" w:hAnsi="Cambria"/>
                <w:lang w:val="en-US"/>
              </w:rPr>
            </w:pPr>
          </w:p>
        </w:tc>
        <w:tc>
          <w:tcPr>
            <w:tcW w:w="270" w:type="dxa"/>
            <w:tcBorders>
              <w:top w:val="nil"/>
              <w:bottom w:val="nil"/>
            </w:tcBorders>
          </w:tcPr>
          <w:p w14:paraId="786471C3">
            <w:pPr>
              <w:pStyle w:val="19"/>
              <w:spacing w:after="0"/>
              <w:rPr>
                <w:rFonts w:ascii="Cambria" w:hAnsi="Cambria"/>
                <w:lang w:val="en-US"/>
              </w:rPr>
            </w:pPr>
          </w:p>
        </w:tc>
        <w:tc>
          <w:tcPr>
            <w:tcW w:w="6930" w:type="dxa"/>
            <w:tcBorders>
              <w:bottom w:val="nil"/>
            </w:tcBorders>
          </w:tcPr>
          <w:p w14:paraId="406D3FD3">
            <w:pPr>
              <w:pStyle w:val="19"/>
              <w:spacing w:after="0"/>
              <w:rPr>
                <w:rFonts w:ascii="Cambria" w:hAnsi="Cambria"/>
                <w:lang w:val="en-US"/>
              </w:rPr>
            </w:pPr>
          </w:p>
        </w:tc>
      </w:tr>
      <w:tr w14:paraId="02351CB4">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970" w:type="dxa"/>
            <w:tcBorders>
              <w:top w:val="nil"/>
              <w:bottom w:val="single" w:color="auto" w:sz="4" w:space="0"/>
            </w:tcBorders>
          </w:tcPr>
          <w:p w14:paraId="50B75596">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245B30FD">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973170D">
            <w:pPr>
              <w:autoSpaceDE w:val="0"/>
              <w:autoSpaceDN w:val="0"/>
              <w:adjustRightInd w:val="0"/>
              <w:spacing w:after="0" w:line="240" w:lineRule="auto"/>
              <w:ind w:right="-108"/>
              <w:rPr>
                <w:rFonts w:ascii="Cambria" w:hAnsi="Cambria" w:cs="AdvGulliv-R"/>
                <w:sz w:val="13"/>
                <w:szCs w:val="13"/>
              </w:rPr>
            </w:pPr>
          </w:p>
          <w:p w14:paraId="2F482FF4">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F64827F">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4DEF40B1">
            <w:pPr>
              <w:autoSpaceDE w:val="0"/>
              <w:autoSpaceDN w:val="0"/>
              <w:adjustRightInd w:val="0"/>
              <w:spacing w:after="0" w:line="240" w:lineRule="auto"/>
              <w:ind w:right="-108"/>
              <w:rPr>
                <w:rFonts w:ascii="Cambria" w:hAnsi="Cambria" w:cs="AdvGulliv-R"/>
                <w:sz w:val="13"/>
                <w:szCs w:val="13"/>
              </w:rPr>
            </w:pPr>
          </w:p>
          <w:p w14:paraId="6E919832">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288A475">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F1A04BB">
            <w:pPr>
              <w:autoSpaceDE w:val="0"/>
              <w:autoSpaceDN w:val="0"/>
              <w:adjustRightInd w:val="0"/>
              <w:spacing w:after="0" w:line="240" w:lineRule="auto"/>
              <w:ind w:right="-108"/>
              <w:rPr>
                <w:rFonts w:ascii="Cambria" w:hAnsi="Cambria" w:cs="AdvGulliv-R"/>
                <w:sz w:val="13"/>
                <w:szCs w:val="13"/>
              </w:rPr>
            </w:pPr>
          </w:p>
          <w:p w14:paraId="143446D0">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48D5AF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DE7F240">
            <w:pPr>
              <w:pStyle w:val="19"/>
              <w:spacing w:after="0"/>
              <w:rPr>
                <w:rFonts w:ascii="Cambria" w:hAnsi="Cambria"/>
                <w:i w:val="0"/>
                <w:lang w:val="en-US"/>
              </w:rPr>
            </w:pPr>
          </w:p>
        </w:tc>
        <w:tc>
          <w:tcPr>
            <w:tcW w:w="270" w:type="dxa"/>
            <w:tcBorders>
              <w:top w:val="nil"/>
              <w:bottom w:val="single" w:color="auto" w:sz="4" w:space="0"/>
            </w:tcBorders>
          </w:tcPr>
          <w:p w14:paraId="36455B64">
            <w:pPr>
              <w:pStyle w:val="19"/>
              <w:spacing w:after="0"/>
              <w:rPr>
                <w:rFonts w:ascii="Cambria" w:hAnsi="Cambria"/>
                <w:lang w:val="en-US"/>
              </w:rPr>
            </w:pPr>
          </w:p>
        </w:tc>
        <w:tc>
          <w:tcPr>
            <w:tcW w:w="6930" w:type="dxa"/>
            <w:tcBorders>
              <w:top w:val="nil"/>
              <w:bottom w:val="single" w:color="auto" w:sz="4" w:space="0"/>
            </w:tcBorders>
          </w:tcPr>
          <w:p w14:paraId="23B93A2B">
            <w:pPr>
              <w:spacing w:after="0" w:line="240" w:lineRule="auto"/>
              <w:jc w:val="both"/>
              <w:rPr>
                <w:rFonts w:ascii="Times New Roman" w:hAnsi="Times New Roman"/>
                <w:i/>
                <w:sz w:val="18"/>
                <w:szCs w:val="18"/>
                <w:lang w:val="zh-CN"/>
              </w:rPr>
            </w:pPr>
            <w:r>
              <w:rPr>
                <w:rFonts w:ascii="Times New Roman" w:hAnsi="Times New Roman"/>
                <w:i/>
                <w:sz w:val="18"/>
                <w:szCs w:val="18"/>
                <w:lang w:val="zh-CN"/>
              </w:rPr>
              <w:t>Penelitian ini bertujuan untuk menganalisis pengaruh literasi fintech dan perilaku budgeting terhadap kesejahteraan keuangan mahasiswa Akuntansi Fakultas Ekonomi dan Bisnis Universitas Tridinanti. Populasi penelitian adalah seluruh mahasiswa aktif FEB Universitas Tridinanti angkatan 2022–2025 yang berjumlah 304 mahasiswa. Sampel penelitian ditentukan menggunakan rumus Slovin dengan tingkat kesalahan 10%, sehingga diperoleh 75 responden. Teknik pengumpulan data dilakukan melalui penyebaran kuesioner, sedangkan analisis data menggunakan analisis regresi linier berganda dengan bantuan program SPSS versi 25.0. Pengujian instrumen meliputi uji validitas dan reliabilitas, serta uji asumsi klasik yang terdiri dari uji normalitas, multikolinearitas, dan heteroskedastisitas.Hasil penelitian menunjukkan bahwa secara simultan literasi fintech dan perilaku budgeting berpengaruh positif dan signifikan terhadap kesejahteraan keuangan mahasiswa, yang ditunjukkan dengan F hitung sebesar 216,358 dan tingkat signifikansi 0,000 (&lt; 0,05). Secara parsial, literasi fintech berpengaruh positif dan signifikan terhadap kesejahteraan keuangan ditunjukkan dengan nilai t hitung sebesar 3,160 dan tingkat signifikansi 0,002 (&lt; 0,05), begitu pula dengan perilaku budgeting yang memiliki pengaruh positif dan signifikan terhadap kesejahteraan keuangan mahasiswa dengan nilai t hitung sebesar 10,946 dan tingkat signifikansi 0,000 (&lt; 0,05). Nilai koefisien determinasi menunjukkan bahwa literasi fintech dan perilaku budgeting mampu menjelaskan 85,3% variasi kesejahteraan keuangan mahasiswa, sementara 14,7% dipengaruhi oleh faktor lain di luar penelitian ini. Disarankan kepada peneliti selanjutnya untuk memperluas penelitian dengan menambahkan variabel tingkat pendapatan.</w:t>
            </w:r>
          </w:p>
          <w:p w14:paraId="70CB6947">
            <w:pPr>
              <w:spacing w:after="0" w:line="240" w:lineRule="auto"/>
              <w:jc w:val="both"/>
              <w:rPr>
                <w:rFonts w:ascii="Times New Roman" w:hAnsi="Times New Roman"/>
                <w:i/>
                <w:sz w:val="18"/>
                <w:szCs w:val="18"/>
                <w:lang w:val="id-ID"/>
              </w:rPr>
            </w:pPr>
            <w:r>
              <w:commentReference w:id="1"/>
            </w:r>
          </w:p>
          <w:p w14:paraId="49D83BDC">
            <w:pPr>
              <w:pStyle w:val="19"/>
              <w:spacing w:after="0"/>
              <w:jc w:val="left"/>
              <w:rPr>
                <w:rFonts w:ascii="Cambria" w:hAnsi="Cambria"/>
                <w:lang w:val="en-US"/>
              </w:rPr>
            </w:pPr>
            <w:r>
              <w:rPr>
                <w:rFonts w:ascii="Cambria" w:hAnsi="Cambria"/>
                <w:b/>
                <w:i w:val="0"/>
                <w:lang w:val="id-ID"/>
              </w:rPr>
              <w:t>Kata</w:t>
            </w:r>
            <w:r>
              <w:rPr>
                <w:rFonts w:ascii="Cambria" w:hAnsi="Cambria"/>
                <w:b/>
                <w:i w:val="0"/>
                <w:lang w:val="en-US"/>
              </w:rPr>
              <w:t xml:space="preserve">kunci: </w:t>
            </w:r>
            <w:r>
              <w:rPr>
                <w:rFonts w:ascii="Cambria" w:hAnsi="Cambria"/>
                <w:lang w:val="en-US"/>
              </w:rPr>
              <w:t>Literasi Fintech, Perilaku Budgeting, Kesejahteraan Keuangan.</w:t>
            </w:r>
          </w:p>
          <w:p w14:paraId="4BD8CC58">
            <w:pPr>
              <w:spacing w:after="0" w:line="240" w:lineRule="auto"/>
              <w:jc w:val="both"/>
              <w:rPr>
                <w:rFonts w:ascii="Cambria" w:hAnsi="Cambria"/>
              </w:rPr>
            </w:pPr>
          </w:p>
          <w:p w14:paraId="6CB138EC">
            <w:pPr>
              <w:spacing w:after="0" w:line="240" w:lineRule="auto"/>
              <w:jc w:val="both"/>
              <w:rPr>
                <w:rFonts w:ascii="Times New Roman" w:hAnsi="Times New Roman"/>
                <w:i/>
                <w:sz w:val="24"/>
                <w:szCs w:val="24"/>
              </w:rPr>
            </w:pPr>
            <w:r>
              <w:rPr>
                <w:rFonts w:ascii="Times New Roman" w:hAnsi="Times New Roman"/>
                <w:i/>
                <w:sz w:val="24"/>
                <w:szCs w:val="24"/>
              </w:rPr>
              <w:t>ABSTRACT</w:t>
            </w:r>
          </w:p>
          <w:p w14:paraId="243240B0">
            <w:pPr>
              <w:spacing w:after="0" w:line="240" w:lineRule="auto"/>
              <w:jc w:val="both"/>
              <w:rPr>
                <w:rFonts w:ascii="Cambria" w:hAnsi="Cambria"/>
              </w:rPr>
            </w:pPr>
          </w:p>
          <w:p w14:paraId="1B7B7310">
            <w:pPr>
              <w:spacing w:after="0" w:line="240" w:lineRule="auto"/>
              <w:jc w:val="both"/>
              <w:rPr>
                <w:rFonts w:ascii="Times New Roman" w:hAnsi="Times New Roman"/>
                <w:i/>
                <w:iCs/>
                <w:sz w:val="18"/>
                <w:szCs w:val="18"/>
                <w:lang w:val="zh-CN"/>
              </w:rPr>
            </w:pPr>
            <w:r>
              <w:rPr>
                <w:rFonts w:ascii="Times New Roman" w:hAnsi="Times New Roman"/>
                <w:i/>
                <w:iCs/>
                <w:sz w:val="18"/>
                <w:szCs w:val="18"/>
                <w:lang w:val="zh-CN"/>
              </w:rPr>
              <w:t>This study aims to analyze the influence of fintech literacy and budgeting behavior on the financial well-being of Accounting students of Tridinanti University. The study population was all 304 active students of the Accounting Study Program at Tridinanti University, graduating in the 2022–2025 intake. The research sample was determined using the Slovin formula with a 10% margin of error, resulting in 75 respondents. Data collection was conducted through questionnaires, while data analysis used multiple linear regression analysis with the help of SPSS version 25.0. Instrument testing included validity and reliability tests, as well as classical assumption tests consisting of normality, multicollinearity, and heteroscedasticity. The results showed that fintech literacy and budgeting behavior simultaneously had a positive and significant effect on student financial well-being, as indicated by a calculated F-value of 216.358 and a significance level of 0.000 (&lt;0.05). Partially, fintech literacy has a positive and significant effect on financial well-being, as indicated by a t-value of 3.160 and a significance level of 0.002 (&lt;0.05), as well as budgeting behavior which has a positive and significant effect on student financial well-being with a t-value of 10.946 and a significance level of 0.000 (&lt;0.05). The coefficient of determination value shows that fintech literacy and budgeting behavior are able to explain 85.3% of the variation in student financial well-being, while 14.7% is influenced by other factors outside this study. It is recommended for future researchers to expand the study by adding income level variables.</w:t>
            </w:r>
          </w:p>
          <w:p w14:paraId="69F9ECF3">
            <w:pPr>
              <w:spacing w:after="0" w:line="240" w:lineRule="auto"/>
              <w:jc w:val="both"/>
              <w:rPr>
                <w:rFonts w:ascii="Cambria" w:hAnsi="Cambria"/>
              </w:rPr>
            </w:pPr>
          </w:p>
          <w:p w14:paraId="21A75F51">
            <w:pPr>
              <w:pStyle w:val="19"/>
              <w:spacing w:after="0"/>
              <w:jc w:val="left"/>
              <w:rPr>
                <w:rFonts w:ascii="Cambria" w:hAnsi="Cambria"/>
                <w:lang w:val="en-US"/>
              </w:rPr>
            </w:pPr>
            <w:r>
              <w:rPr>
                <w:rFonts w:ascii="Cambria" w:hAnsi="Cambria"/>
                <w:b/>
                <w:i w:val="0"/>
                <w:lang w:val="en-US"/>
              </w:rPr>
              <w:t xml:space="preserve">Keywords: </w:t>
            </w:r>
            <w:r>
              <w:rPr>
                <w:rFonts w:ascii="Cambria" w:hAnsi="Cambria"/>
                <w:lang w:val="en-US"/>
              </w:rPr>
              <w:t>Fintech Literacy, Budgeting Behavior, Financial Well-Being</w:t>
            </w:r>
          </w:p>
          <w:p w14:paraId="2D005E79">
            <w:pPr>
              <w:pStyle w:val="19"/>
              <w:spacing w:after="0"/>
              <w:jc w:val="left"/>
              <w:rPr>
                <w:rFonts w:ascii="Cambria" w:hAnsi="Cambria"/>
                <w:lang w:val="en-US"/>
              </w:rPr>
            </w:pPr>
          </w:p>
        </w:tc>
      </w:tr>
    </w:tbl>
    <w:p w14:paraId="4A9AE993">
      <w:pPr>
        <w:spacing w:after="0" w:line="240" w:lineRule="auto"/>
      </w:pPr>
    </w:p>
    <w:p w14:paraId="33FF917C">
      <w:pPr>
        <w:pStyle w:val="20"/>
        <w:numPr>
          <w:ilvl w:val="0"/>
          <w:numId w:val="1"/>
        </w:numPr>
        <w:spacing w:before="0" w:after="0"/>
        <w:ind w:left="284" w:hanging="284"/>
        <w:outlineLvl w:val="0"/>
        <w:rPr>
          <w:sz w:val="22"/>
          <w:szCs w:val="22"/>
          <w:lang w:val="en-US"/>
        </w:rPr>
        <w:sectPr>
          <w:headerReference r:id="rId7" w:type="default"/>
          <w:footerReference r:id="rId8" w:type="default"/>
          <w:pgSz w:w="11907" w:h="16840"/>
          <w:pgMar w:top="1418" w:right="1418" w:bottom="1418" w:left="1701" w:header="851" w:footer="737" w:gutter="0"/>
          <w:cols w:space="708" w:num="1"/>
          <w:docGrid w:linePitch="360" w:charSpace="0"/>
        </w:sectPr>
      </w:pPr>
    </w:p>
    <w:p w14:paraId="6E7D0DCC">
      <w:pPr>
        <w:pStyle w:val="20"/>
        <w:numPr>
          <w:ilvl w:val="0"/>
          <w:numId w:val="2"/>
        </w:numPr>
        <w:spacing w:before="0" w:after="0"/>
        <w:ind w:left="284"/>
        <w:outlineLvl w:val="0"/>
        <w:rPr>
          <w:sz w:val="22"/>
          <w:szCs w:val="22"/>
          <w:lang w:val="id-ID"/>
        </w:rPr>
      </w:pPr>
      <w:r>
        <w:rPr>
          <w:sz w:val="22"/>
          <w:szCs w:val="22"/>
          <w:lang w:val="en-US"/>
        </w:rPr>
        <w:t>PENDAHULUAN</w:t>
      </w:r>
    </w:p>
    <w:p w14:paraId="33CF678D">
      <w:pPr>
        <w:pStyle w:val="20"/>
        <w:spacing w:before="0" w:after="0"/>
        <w:ind w:left="284"/>
        <w:outlineLvl w:val="0"/>
        <w:rPr>
          <w:sz w:val="22"/>
          <w:szCs w:val="22"/>
          <w:lang w:val="id-ID"/>
        </w:rPr>
      </w:pPr>
    </w:p>
    <w:p w14:paraId="304820C8">
      <w:pPr>
        <w:pStyle w:val="20"/>
        <w:spacing w:before="0" w:after="0"/>
        <w:ind w:firstLine="270"/>
        <w:jc w:val="both"/>
        <w:rPr>
          <w:b w:val="0"/>
          <w:sz w:val="22"/>
          <w:szCs w:val="22"/>
          <w:lang w:val="en-US"/>
        </w:rPr>
      </w:pPr>
      <w:r>
        <w:rPr>
          <w:b w:val="0"/>
          <w:sz w:val="22"/>
          <w:szCs w:val="22"/>
          <w:lang w:val="en-US"/>
        </w:rPr>
        <w:t xml:space="preserve">Kesejahteraan keuangan merupakan salah satu indikator penting dalam menilai kualitas hidup masyarakat di suatu negara. Secara umum, kesejahteraan keuangan menggambarkan kemampuan individu dalam mengelola sumber daya keuangannya untuk memenuhi kebutuhan hidup saat ini, menghadapi risiko keuangan yang tidak terduga, serta mempersiapkan masa depan secara berkelanjutan </w:t>
      </w:r>
      <w:r>
        <w:rPr>
          <w:b w:val="0"/>
          <w:sz w:val="22"/>
          <w:szCs w:val="22"/>
          <w:lang w:val="en-US"/>
        </w:rPr>
        <w:fldChar w:fldCharType="begin" w:fldLock="1"/>
      </w:r>
      <w:r>
        <w:rPr>
          <w:b w:val="0"/>
          <w:sz w:val="22"/>
          <w:szCs w:val="22"/>
          <w:lang w:val="en-US"/>
        </w:rPr>
        <w:instrText xml:space="preserve">ADDIN CSL_CITATION {"citationItems":[{"id":"ITEM-1","itemData":{"DOI":"10.52851/cakrawala.v6i1.253","ISSN":"2620-8814","abstract":"Tujuan penelitian ini untuk menguji pengaruh literasi keuangan, kesadaran keuangan, pendapatan terhadap kesejahteraan keuangan dengan perilaku keuangan dan inklusi keuangan. Dalam penelitian ini peneliti menggunakan metode pendekatan secara kuantitatif. Jenis penelitian ini merupakan penelitian kausalitas yang menguji antar variabel berdasarkan penelitian-penelitian sebelumnya. Populasi dalam penelitian ini adalah masyarakat Kota Surabaya yang sudah berkeluarga. Jumlah populasi keluarga di Kota Surabaya berdasarkan data yang diambil dari Kependudukan Dan Pencatatan Sipil Kota Surabaya tahun 2022 sebanyak 1.463.469 keluarga. Teknik pengambilan sampel yang digunakan dalam penelitian ini adalah simple random sampling. Berdasarkan rumus slovin, jumlah sampel dapat ditentukan sebanyak 100 keluarga. Instrumen penelitian yang digunakan dalam penelitian ini yaitu berupa kusioner yang dibuat sendiri oleh peneliti. Pengukuran yang digunakan dalam mengukur tingkat kepentingan pada masing-masing indikator menggunakan skala likert dengan rentang 1 (sangat tidak penting) sampai dengan 4 (sangat penting). Hasil penelitian ini bahwa literasi keuangan berpengaruh signifikan dan positif terhadap perilaku keuangan dan inklusi keuangan keluarga di Kota Surabaya. Namun literasi keuangan tidak berpengaruh signifikan terhadap kesejahteraan keuangan keluarga di Kota Surabaya. Kesadaran keuangan berpengaruh signifikan dan positif terhadap inklusi keuangan keluarga di Kota Surabaya. Namun kesadaran keuangan tidak berpengaruh signifikan terhadap terhadap perilaku keuangan dan kesejahteraan keuangan keluarga di Kota Surabaya. Pendapatan berpengaruh signifikan dan positif terhadap perilaku keuangan dan inklusi keuangan keluarga di Kota Surabaya. Namun pendapatan tidak berpengaruh signifikan terhadap kesejahteraan keuangan keluarga di Kota Surabaya. Perilaku keuangan berpengaruh signifikan dan positif terhadap kesejahteraan keuangan keluarga di Kota Surabaya. Sedangkan inklusi keuangan tidak berpengaruh signifikan terhadap kesejahteraan keuangan keluarga di Kota Surabaya.","author":[{"dropping-particle":"","family":"Prameswari","given":"Syanindita","non-dropping-particle":"","parse-names":false,"suffix":""},{"dropping-particle":"","family":"Nugroho","given":"Mulyanto","non-dropping-particle":"","parse-names":false,"suffix":""},{"dropping-particle":"","family":"Pristiana","given":"Ulfi","non-dropping-particle":"","parse-names":false,"suffix":""}],"container-title":"Cakrawala Repositori IMWI","id":"ITEM-1","issue":"1","issued":{"date-parts":[["2023","2","26"]]},"page":"505-516","title":"Pengaruh Literasi Keuangan, Kesadaran Keuangan, Pendapatan Terhadap Kesejahteraan Keuangan dengan Perilaku Keuangan dan Inklusi Keuangan","type":"article-journal","volume":"6"},"uris":["http://www.mendeley.com/documents/?uuid=5c65e44c-7589-4554-ad57-2f8348382fce"]}],"mendeley":{"formattedCitation":"(Prameswari et al., 2023)","plainTextFormattedCitation":"(Prameswari et al., 2023)","previouslyFormattedCitation":"(Prameswari et al., 2023)"},"properties":{"noteIndex":0},"schema":"https://github.com/citation-style-language/schema/raw/master/csl-citation.json"}</w:instrText>
      </w:r>
      <w:r>
        <w:rPr>
          <w:b w:val="0"/>
          <w:sz w:val="22"/>
          <w:szCs w:val="22"/>
          <w:lang w:val="en-US"/>
        </w:rPr>
        <w:fldChar w:fldCharType="separate"/>
      </w:r>
      <w:r>
        <w:rPr>
          <w:b w:val="0"/>
          <w:sz w:val="22"/>
          <w:szCs w:val="22"/>
          <w:lang w:val="en-US"/>
        </w:rPr>
        <w:t>(Prameswari et al., 2023)</w:t>
      </w:r>
      <w:r>
        <w:rPr>
          <w:b w:val="0"/>
          <w:sz w:val="22"/>
          <w:szCs w:val="22"/>
          <w:lang w:val="en-US"/>
        </w:rPr>
        <w:fldChar w:fldCharType="end"/>
      </w:r>
      <w:r>
        <w:rPr>
          <w:b w:val="0"/>
          <w:sz w:val="22"/>
          <w:szCs w:val="22"/>
          <w:lang w:val="en-US"/>
        </w:rPr>
        <w:t>. Di Indonesia, tingkat kesejahteraan keuangan masyarakat masih menghadapi tantangan yang cukup kompleks, terutama terkait dengan rendahnya literasi dan inklusi keuangan, ketimpangan pendapatan, serta tingkat kemiskinan yang masih cukup tinggi di beberapa daerah.</w:t>
      </w:r>
    </w:p>
    <w:p w14:paraId="5A1E56D8">
      <w:pPr>
        <w:pStyle w:val="20"/>
        <w:spacing w:before="0" w:after="0"/>
        <w:ind w:firstLine="270"/>
        <w:jc w:val="both"/>
        <w:rPr>
          <w:b w:val="0"/>
          <w:sz w:val="22"/>
          <w:szCs w:val="22"/>
          <w:lang w:val="en-US"/>
        </w:rPr>
      </w:pPr>
      <w:r>
        <w:rPr>
          <w:b w:val="0"/>
          <w:sz w:val="22"/>
          <w:szCs w:val="22"/>
          <w:lang w:val="en-US"/>
        </w:rPr>
        <w:t>Menurut Survei Nasional Literasi dan Inklusi Keuangan (SNLIK) oleh Otoritas Jasa Keuangan (OJK) tahun 2024, indeks literasi keuangan masyarakat Indonesia baru mencapai 65,43%, sementara indeks inklusi keuangan berada pada 75,02%. Hal ini menunjukkan bahwa meskipun akses terhadap produk dan layanan keuangan semakin luas, pemahaman masyarakat dalam mengelola keuangan secara efektif masih belum optimal. Kondisi ini berdampak pada kemampuan masyarakat dalam merencanakan keuangan, menabung, berinvestasi, serta menghindari jeratan utang yang berlebihan.  Untuk mengatasi tantangan tersebut, inovasi di bidang teknologi keuangan menjadi salah satu solusi yang potensial dalam meningkatkan kesejahteraan keuangan masyarakat.</w:t>
      </w:r>
    </w:p>
    <w:p w14:paraId="068693F0">
      <w:pPr>
        <w:pStyle w:val="20"/>
        <w:spacing w:before="0" w:after="0"/>
        <w:ind w:firstLine="270"/>
        <w:jc w:val="both"/>
        <w:rPr>
          <w:b w:val="0"/>
          <w:sz w:val="22"/>
          <w:szCs w:val="22"/>
          <w:lang w:val="en-US"/>
        </w:rPr>
      </w:pPr>
      <w:r>
        <w:rPr>
          <w:b w:val="0"/>
          <w:sz w:val="22"/>
          <w:szCs w:val="22"/>
          <w:lang w:val="en-US"/>
        </w:rPr>
        <w:t xml:space="preserve"> Salah satu inovasi yang paling signifikan adalah munculnya financial technology (fintech) yang mempermudah masyarakat dalam melakukan berbagai aktivitas keuangan seperti pembayaran, investasi, dan pinjaman secara daring </w:t>
      </w:r>
      <w:r>
        <w:rPr>
          <w:b w:val="0"/>
          <w:sz w:val="22"/>
          <w:szCs w:val="22"/>
          <w:lang w:val="en-US"/>
        </w:rPr>
        <w:fldChar w:fldCharType="begin" w:fldLock="1"/>
      </w:r>
      <w:r>
        <w:rPr>
          <w:b w:val="0"/>
          <w:sz w:val="22"/>
          <w:szCs w:val="22"/>
          <w:lang w:val="en-US"/>
        </w:rPr>
        <w:instrText xml:space="preserve">ADDIN CSL_CITATION {"citationItems":[{"id":"ITEM-1","itemData":{"DOI":"10.56486/kompleksitas.vol11no1.220","ISSN":"2964-8238","abstract":"Fintech has emerged in Indonesia for various types of digital financial services since 2007. Fintech in Indonesia has penetrated various sectors, ranging from payments, lending, financial planning (personal finance), retail investment, crowdfunding, remittances, financial research, and others. This study aims to determine the development and impact of Fintech on the behavior of the Indonesian people in managing their finances. The research is a literature study with a descriptive qualitative approach to collect and evaluate research related to Fintech in Indonesia. The results show that fintech has positive and negative impacts on society but also provides benefits to society. Fintech changes people's behavior in collecting, storing, and using money for transactions. For example, to get funds to develop a business and increase income, you can use Microfinancing Fintech, to borrow the money you can use Fintech P2P Lending Services, and for financial planning and investment, you can use Market Comparison and Investment types of Fintech.Fintech muncul di Indonesia untuk berbagai jenis layanan keuangan digital sejak 2007. Fintech di Indonesia telah merambah ke berbagai sektor, mulai dari pembayaran, peminjaman (lending), perencanaan keuangan (financial planner), investasi ritel, pembiayaan (crowdfunding), remitansi, riset keuangan, dan lain-lain. Penelitian ini bertujuan mengetahui perkembangan dan dampak yang ditimbulkan dari fintech kaitannya dengan perilaku masyarakat Indonesia dalam mengelola keuangannya. Penelitian bersifat studi literatur dengan pendekatan kualitatif deskriptif untuk mengumpulkan serta mengevaluasi penelitian yang terkait pada topik fintech di Indonesia. Hasil penelitian menunjukan bahwa fintech memiliki dampak positif dan negatif di masyarakat namun juga memberikan manfaat bagi masyarakat. Fintech mengubah perilaku masyarakat dalam mengumpulkan, menyimpan, dan menggunakan uangnya untuk bertransaksi. Contohnya untuk memperoleh dana untuk mengembangkan usaha dan menambah penghasilan dapat menggunakan fintech jenis microfinancing, sedangkan untuk meminjam uang dapat menggunakan fintech P2P Lending Service serta kalau untuk perencanaan keuangan dan investasi dapat menggunakan fintech jenis Market Comparison dan Investment.","author":[{"dropping-particle":"","family":"Purwanto","given":"Hadi","non-dropping-particle":"","parse-names":false,"suffix":""},{"dropping-particle":"","family":"Yandri","given":"Delfi","non-dropping-particle":"","parse-names":false,"suffix":""},{"dropping-particle":"","family":"Yoga","given":"Maulana Prawira","non-dropping-particle":"","parse-names":false,"suffix":""}],"container-title":"KOMPLEKSITAS: JURNAL ILMIAH MANAJEMEN, ORGANISASI DAN BISNIS","id":"ITEM-1","issue":"1","issued":{"date-parts":[["2022","6","30"]]},"page":"80-91","title":"PERKEMBANGAN DAN DAMPAK FINANCIAL TECHNOLOGY (FINTECH) TERHADAP PERILAKU MANAJEMEN KEUANGAN DI MASYARAKAT","type":"article-journal","volume":"11"},"uris":["http://www.mendeley.com/documents/?uuid=95b82541-a105-4db9-aa52-6262a472ce21"]}],"mendeley":{"formattedCitation":"(Purwanto et al., 2022)","plainTextFormattedCitation":"(Purwanto et al., 2022)","previouslyFormattedCitation":"(Purwanto et al., 2022)"},"properties":{"noteIndex":0},"schema":"https://github.com/citation-style-language/schema/raw/master/csl-citation.json"}</w:instrText>
      </w:r>
      <w:r>
        <w:rPr>
          <w:b w:val="0"/>
          <w:sz w:val="22"/>
          <w:szCs w:val="22"/>
          <w:lang w:val="en-US"/>
        </w:rPr>
        <w:fldChar w:fldCharType="separate"/>
      </w:r>
      <w:r>
        <w:rPr>
          <w:b w:val="0"/>
          <w:sz w:val="22"/>
          <w:szCs w:val="22"/>
          <w:lang w:val="en-US"/>
        </w:rPr>
        <w:t>(Purwanto et al., 2022)</w:t>
      </w:r>
      <w:r>
        <w:rPr>
          <w:b w:val="0"/>
          <w:sz w:val="22"/>
          <w:szCs w:val="22"/>
          <w:lang w:val="en-US"/>
        </w:rPr>
        <w:fldChar w:fldCharType="end"/>
      </w:r>
      <w:r>
        <w:rPr>
          <w:b w:val="0"/>
          <w:sz w:val="22"/>
          <w:szCs w:val="22"/>
          <w:lang w:val="en-US"/>
        </w:rPr>
        <w:t xml:space="preserve">. Fintech merupakan hasil dari perpaduan antara sektor keuangan dan teknologi informasi yang bertujuan untuk meningkatkan efisiensi, kemudahan akses, serta inklusivitas layanan keuangan bagi masyarakat </w:t>
      </w:r>
      <w:r>
        <w:rPr>
          <w:b w:val="0"/>
          <w:sz w:val="22"/>
          <w:szCs w:val="22"/>
          <w:lang w:val="en-US"/>
        </w:rPr>
        <w:fldChar w:fldCharType="begin" w:fldLock="1"/>
      </w:r>
      <w:r>
        <w:rPr>
          <w:b w:val="0"/>
          <w:sz w:val="22"/>
          <w:szCs w:val="22"/>
          <w:lang w:val="en-US"/>
        </w:rPr>
        <w:instrText xml:space="preserve">ADDIN CSL_CITATION {"citationItems":[{"id":"ITEM-1","itemData":{"DOI":"10.58192/ebismen.v3i4.2712","ISSN":"2962-7621","abstract":"Financial Technology (FinTech) is an innovation in financial services that uses digital technology to provide easier, more efficient and affordable access. This article discusses the development of FinTech in Indonesia, including its role in increasing financial inclusion, providing digital banking services, electronic payments, and peer-to-peer lending business models. Through literature analysis, this article shows that FinTech has driven significant changes in financial access and interactions, especially for those in remote areas or without access to traditional financial services. Although FinTech offers many advantages, such as efficiency and ease of transactions, challenges such as limited access to technology and security risks still need to be overcome. Adaptive regulations and collaboration with traditional financial institutions are needed to maximize the potential of FinTech in supporting financial inclusion and sustainable economic development in Indonesia.","author":[{"dropping-particle":"","family":"Negarawati","given":"Esa","non-dropping-particle":"","parse-names":false,"suffix":""},{"dropping-particle":"","family":"Rohana","given":"Siti","non-dropping-particle":"","parse-names":false,"suffix":""}],"container-title":"Jurnal Ekonomi, Bisnis dan Manajemen","id":"ITEM-1","issue":"4","issued":{"date-parts":[["2024","12","4"]]},"page":"46-60","title":"Peran Fintech Dalam Meningkatkan Akses Keuangan Di Era Digital","type":"article-journal","volume":"3"},"uris":["http://www.mendeley.com/documents/?uuid=d8c9c930-5dd5-4e62-86a0-934b3225ca4c"]}],"mendeley":{"formattedCitation":"(Negarawati &amp; Rohana, 2024)","plainTextFormattedCitation":"(Negarawati &amp; Rohana, 2024)","previouslyFormattedCitation":"(Negarawati &amp; Rohana, 2024)"},"properties":{"noteIndex":0},"schema":"https://github.com/citation-style-language/schema/raw/master/csl-citation.json"}</w:instrText>
      </w:r>
      <w:r>
        <w:rPr>
          <w:b w:val="0"/>
          <w:sz w:val="22"/>
          <w:szCs w:val="22"/>
          <w:lang w:val="en-US"/>
        </w:rPr>
        <w:fldChar w:fldCharType="separate"/>
      </w:r>
      <w:r>
        <w:rPr>
          <w:b w:val="0"/>
          <w:sz w:val="22"/>
          <w:szCs w:val="22"/>
          <w:lang w:val="en-US"/>
        </w:rPr>
        <w:t>(Negarawati &amp; Rohana, 2024)</w:t>
      </w:r>
      <w:r>
        <w:rPr>
          <w:b w:val="0"/>
          <w:sz w:val="22"/>
          <w:szCs w:val="22"/>
          <w:lang w:val="en-US"/>
        </w:rPr>
        <w:fldChar w:fldCharType="end"/>
      </w:r>
      <w:r>
        <w:rPr>
          <w:b w:val="0"/>
          <w:sz w:val="22"/>
          <w:szCs w:val="22"/>
          <w:lang w:val="en-US"/>
        </w:rPr>
        <w:t xml:space="preserve">. Fintech hadir dalam berbagai bentuk layanan seperti digital payment, peer-to-peer lending, crowdfunding, digital banking, dan investasi berbasis aplikasi, yang seluruhnya dirancang untuk mempermudah aktivitas finansial tanpa harus bergantung pada lembaga keuangan konvensional. </w:t>
      </w:r>
    </w:p>
    <w:p w14:paraId="73E61542">
      <w:pPr>
        <w:pStyle w:val="20"/>
        <w:spacing w:before="0" w:after="0"/>
        <w:ind w:firstLine="270"/>
        <w:jc w:val="both"/>
        <w:rPr>
          <w:b w:val="0"/>
          <w:sz w:val="22"/>
          <w:szCs w:val="22"/>
          <w:lang w:val="en-US"/>
        </w:rPr>
      </w:pPr>
      <w:r>
        <w:rPr>
          <w:b w:val="0"/>
          <w:sz w:val="22"/>
          <w:szCs w:val="22"/>
          <w:lang w:val="en-US"/>
        </w:rPr>
        <w:t xml:space="preserve">Kehadiran fintech membuka akses ke layanan keuangan yang lebih mudah dan cepat. Namun, kemudahan ini juga membawa risiko apabila tidak diimbangi dengan literasi keuangan yang baik, khususnya literasi fintech yang mencakup pemahaman terhadap produk, layanan, dan risiko teknologi keuangan digital </w:t>
      </w:r>
      <w:r>
        <w:rPr>
          <w:b w:val="0"/>
          <w:sz w:val="22"/>
          <w:szCs w:val="22"/>
          <w:lang w:val="en-US"/>
        </w:rPr>
        <w:fldChar w:fldCharType="begin" w:fldLock="1"/>
      </w:r>
      <w:r>
        <w:rPr>
          <w:b w:val="0"/>
          <w:sz w:val="22"/>
          <w:szCs w:val="22"/>
          <w:lang w:val="en-US"/>
        </w:rPr>
        <w:instrText xml:space="preserve">ADDIN CSL_CITATION {"citationItems":[{"id":"ITEM-1","itemData":{"DOI":"https://doi.org/10.37178/ca-c.23.1.318","author":[{"dropping-particle":"","family":"Putri","given":"A. M.","non-dropping-particle":"","parse-names":false,"suffix":""},{"dropping-particle":"","family":"Damayanti","given":"S. M.","non-dropping-particle":"","parse-names":false,"suffix":""},{"dropping-particle":"","family":"Rahadi","given":"R. A.","non-dropping-particle":"","parse-names":false,"suffix":""}],"container-title":"Central Asia and The Caucasus","id":"ITEM-1","issue":"1","issued":{"date-parts":[["2022"]]},"title":"Digital Financial Literacy In Indonesia : A Literature Review","type":"article-journal","volume":"23"},"uris":["http://www.mendeley.com/documents/?uuid=f45c0f76-676d-475d-8010-723962e5d7c5"]}],"mendeley":{"formattedCitation":"(Putri et al., 2022)","plainTextFormattedCitation":"(Putri et al., 2022)","previouslyFormattedCitation":"(Putri et al., 2022)"},"properties":{"noteIndex":0},"schema":"https://github.com/citation-style-language/schema/raw/master/csl-citation.json"}</w:instrText>
      </w:r>
      <w:r>
        <w:rPr>
          <w:b w:val="0"/>
          <w:sz w:val="22"/>
          <w:szCs w:val="22"/>
          <w:lang w:val="en-US"/>
        </w:rPr>
        <w:fldChar w:fldCharType="separate"/>
      </w:r>
      <w:r>
        <w:rPr>
          <w:b w:val="0"/>
          <w:sz w:val="22"/>
          <w:szCs w:val="22"/>
          <w:lang w:val="en-US"/>
        </w:rPr>
        <w:t>(Putri et al., 2022)</w:t>
      </w:r>
      <w:r>
        <w:rPr>
          <w:b w:val="0"/>
          <w:sz w:val="22"/>
          <w:szCs w:val="22"/>
          <w:lang w:val="en-US"/>
        </w:rPr>
        <w:fldChar w:fldCharType="end"/>
      </w:r>
      <w:r>
        <w:rPr>
          <w:b w:val="0"/>
          <w:sz w:val="22"/>
          <w:szCs w:val="22"/>
          <w:lang w:val="en-US"/>
        </w:rPr>
        <w:t xml:space="preserve">.  Risiko yang dapat muncul meliputi keamanan data, potensi penipuan, serta penyalahgunaan layanan digital oleh pengguna yang belum memiliki pemahaman finansial yang memadai </w:t>
      </w:r>
      <w:r>
        <w:rPr>
          <w:b w:val="0"/>
          <w:sz w:val="22"/>
          <w:szCs w:val="22"/>
          <w:lang w:val="en-US"/>
        </w:rPr>
        <w:fldChar w:fldCharType="begin" w:fldLock="1"/>
      </w:r>
      <w:r>
        <w:rPr>
          <w:b w:val="0"/>
          <w:sz w:val="22"/>
          <w:szCs w:val="22"/>
          <w:lang w:val="en-US"/>
        </w:rPr>
        <w:instrText xml:space="preserve">ADDIN CSL_CITATION {"citationItems":[{"id":"ITEM-1","itemData":{"DOI":"https://doi.org/10.61722/jmia.v2i1.3147","author":[{"dropping-particle":"","family":"Antoine","given":"R.A","non-dropping-particle":"","parse-names":false,"suffix":""},{"dropping-particle":"","family":"Farizqa","given":"N.S","non-dropping-particle":"","parse-names":false,"suffix":""},{"dropping-particle":"","family":"Hasna","given":"A.H","non-dropping-particle":"","parse-names":false,"suffix":""},{"dropping-particle":"","family":"Pasaribu","given":"M","non-dropping-particle":"","parse-names":false,"suffix":""}],"container-title":"Jurnal Multidisiplin Ilmu Akademik","id":"ITEM-1","issue":"1","issued":{"date-parts":[["2025"]]},"title":"Penyalahgunaan Data Pribadi dalam Teknologi Transaksi Digital di Industri Perbankan Digital (Studi Kasus PT. Bank Syariah Indonesia)","type":"article-journal","volume":"2"},"uris":["http://www.mendeley.com/documents/?uuid=f02779c4-7c25-4a49-8fc4-1222687e620b"]}],"mendeley":{"formattedCitation":"(Antoine et al., 2025)","plainTextFormattedCitation":"(Antoine et al., 2025)","previouslyFormattedCitation":"(Antoine et al., 2025)"},"properties":{"noteIndex":0},"schema":"https://github.com/citation-style-language/schema/raw/master/csl-citation.json"}</w:instrText>
      </w:r>
      <w:r>
        <w:rPr>
          <w:b w:val="0"/>
          <w:sz w:val="22"/>
          <w:szCs w:val="22"/>
          <w:lang w:val="en-US"/>
        </w:rPr>
        <w:fldChar w:fldCharType="separate"/>
      </w:r>
      <w:r>
        <w:rPr>
          <w:b w:val="0"/>
          <w:sz w:val="22"/>
          <w:szCs w:val="22"/>
          <w:lang w:val="en-US"/>
        </w:rPr>
        <w:t>(Antoine et al., 2025)</w:t>
      </w:r>
      <w:r>
        <w:rPr>
          <w:b w:val="0"/>
          <w:sz w:val="22"/>
          <w:szCs w:val="22"/>
          <w:lang w:val="en-US"/>
        </w:rPr>
        <w:fldChar w:fldCharType="end"/>
      </w:r>
      <w:r>
        <w:rPr>
          <w:b w:val="0"/>
          <w:sz w:val="22"/>
          <w:szCs w:val="22"/>
          <w:lang w:val="en-US"/>
        </w:rPr>
        <w:t xml:space="preserve">. Oleh karena itu, peningkatan literasi fintech menjadi langkah strategis dalam memastikan bahwa masyarakat, terutama generasi muda seperti mahasiswa, dapat memanfaatkan teknologi keuangan secara bijak dan bertanggung jawab. </w:t>
      </w:r>
    </w:p>
    <w:p w14:paraId="5CCA7238">
      <w:pPr>
        <w:pStyle w:val="20"/>
        <w:spacing w:before="0" w:after="0"/>
        <w:ind w:firstLine="270"/>
        <w:jc w:val="both"/>
        <w:rPr>
          <w:b w:val="0"/>
          <w:sz w:val="22"/>
          <w:szCs w:val="22"/>
          <w:lang w:val="en-US"/>
        </w:rPr>
      </w:pPr>
      <w:r>
        <w:rPr>
          <w:b w:val="0"/>
          <w:sz w:val="22"/>
          <w:szCs w:val="22"/>
          <w:lang w:val="en-US"/>
        </w:rPr>
        <w:t xml:space="preserve">Beberapa penelitian menunjukkan hasil yang tidak sejalan, Rahayu &amp; Andriansyah </w:t>
      </w:r>
      <w:r>
        <w:rPr>
          <w:b w:val="0"/>
          <w:sz w:val="22"/>
          <w:szCs w:val="22"/>
          <w:lang w:val="en-US"/>
        </w:rPr>
        <w:fldChar w:fldCharType="begin" w:fldLock="1"/>
      </w:r>
      <w:r>
        <w:rPr>
          <w:b w:val="0"/>
          <w:sz w:val="22"/>
          <w:szCs w:val="22"/>
          <w:lang w:val="en-US"/>
        </w:rPr>
        <w:instrText xml:space="preserve">ADDIN CSL_CITATION {"citationItems":[{"id":"ITEM-1","itemData":{"DOI":"10.31004/riggs.v4i2.1541","ISSN":"2963-914X","abstract":"Tingkat gaya hidup konsumtif di indonesia masih cukup besar sehingga kesejahteraan keuangan yang dirasakan masyarakat belum dapat tercapai. Pada kenyataan rendahnya kemampuan mengatur keuangan di kalangan mahasiswa ini menjadi latar belakang penting dalam penelitian ini, khususnya di era digitalisasi keuangan yang sudah berkembang. Untuk terus meningkatkan kesejahteraan keuangan pada mahasiswa, maka diperlukan adanya faktor yang menjadi perantara tindakan dan perilaku dalam meningkatkan kesejahteraan keuangan antara lain pemahaman literasi ekonomi, financial technology, dan perilaku ekonomi. Penelitian ini bertujuan untuk menjelaskan mengenai pengaruh literasi ekonomi, financial technology terhadap kesejahteraan keuangan melalui perilaku ekonomi sebagai variabel mediasi. Penelitian ini menggunakan sampel 208 mahasiswa aktif angkatan 2021 dari empat perguruan tinggi negeri di Kota Surabaya (UNESA, UNAIR, UPNVJT, dan UINSA) dengan metode penelitian asosiatif pendekatan kuantitatif serta Instrumen utama untuk pengumpulan data adalah observasi serta kuesioner. Data yang telah terkumpul dianalisis menggunakan perangkat lunak Smart Partial Least Square (SmartPLS), meliputi uji model eksternal dan internal serta pengujian hipotesis. Hasil menunjukkan bahwa baik Literasi Ekonomi maupun Financial Technology secara langsung meningkatkan Kesejahteraan Keuangan. Selain itu, variabel-variabel ini juga berdampak pada Perilaku Ekonomi, yang berperan sebagai penguhubung atau memediasi dalam hubungan dengan kesejahteraan keuangan. Dengan demikian, penelitian ini membuktikan adanya pengaruh langsung dan mediasi dari Literasi Ekonomi dan Financial Technology terhadap Kesejahteraan Keuangan dalam konteks Generasi Z Mahasiswa Negeri di Kota Surabaya.","author":[{"dropping-particle":"","family":"Rahayu","given":"Adella Dwi","non-dropping-particle":"","parse-names":false,"suffix":""},{"dropping-particle":"","family":"Andriansyah","given":"Eka Hendi","non-dropping-particle":"","parse-names":false,"suffix":""}],"container-title":"RIGGS: Journal of Artificial Intelligence and Digital Business","id":"ITEM-1","issue":"2","issued":{"date-parts":[["2025","7","15"]]},"page":"5980-5986","title":"Pengaruh Literasi Ekonomi Dan Financial Technology (Fintech) Terhadap Kesejahteraan Keuangan Pada Gen Z Mahasiswa Di Kota Surabaya Melalui Perilaku Ekonomi Sebagai Variabel Intervening","type":"article-journal","volume":"4"},"label":"volume","suppress-author":1,"uris":["http://www.mendeley.com/documents/?uuid=4bc951a8-59c7-4228-b843-3abe3ba5f4aa"]}],"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dan Rizqi </w:t>
      </w:r>
      <w:r>
        <w:rPr>
          <w:b w:val="0"/>
          <w:sz w:val="22"/>
          <w:szCs w:val="22"/>
          <w:lang w:val="en-US"/>
        </w:rPr>
        <w:fldChar w:fldCharType="begin" w:fldLock="1"/>
      </w:r>
      <w:r>
        <w:rPr>
          <w:b w:val="0"/>
          <w:sz w:val="22"/>
          <w:szCs w:val="22"/>
          <w:lang w:val="en-US"/>
        </w:rPr>
        <w:instrText xml:space="preserve">ADDIN CSL_CITATION {"citationItems":[{"id":"ITEM-1","itemData":{"DOI":"10.34127/jrlab.v14i3.1795","ISSN":"2598-618X","abstract":"Understanding the financial welfare of community groups that have families is a crucial issue that should be of concern to every government, considering that this group is the most vulnerable party in meeting their basic needs. Although this topic is important, there are still limitations in the literature that discusses financial well-being in depth among these groups. This study aims to examine the relationship between financial literacy, financial behavior, financial stress, and financial well-being. Data was obtained from 150 respondents who were domiciled in the East Java region, and analyzed using the SPSS and Sobel Test approaches. The findings show that financial behavior is the most significant predictor of financial well-being, followed by financial stress and digital financial literacy. Based on these results, financial stress has a negative impact and does not have a significant effect on financial welfare. Digital financial literacy is the main and influential factor in people's financial welfare. The results of mediation showed an overall effect. Thus, interventions from the government and related institutions are needed to provide access to decent employment opportunities and adequate financial education, so that low-income people can improve their living standards and achieve financial stability.","author":[{"dropping-particle":"","family":"Rizqi","given":"Angguliyah","non-dropping-particle":"","parse-names":false,"suffix":""}],"container-title":"JURNAL LENTERA BISNIS","id":"ITEM-1","issue":"3","issued":{"date-parts":[["2025","9","28"]]},"page":"3913-3941","title":"PERAN LITERASI KEUANGAN DIGITAL DAN STRES KEUANGAN DALAM MEMBENTUK KESEJAHTERAAN FINANSIAL : PERILAKU KEUANGAN DALAM MEMEDIASI","type":"article-journal","volume":"14"},"label":"volume","suppress-author":1,"uris":["http://www.mendeley.com/documents/?uuid=fc251006-3ac8-4c16-97ed-d788352733c0"]}],"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menunjukkan bahwa baik literasi financial technology secara langsung meningkatkan Kesejahteraan Keuangan. Hal tersebut menandakan bahwa semakin tinggi tingkat pemahaman seseorang terhadap konsep ekonomi dan penggunaan teknologi keuangan digital, maka semakin baik pula kondisi kesejahteraan finansial yang dapat dirasakan.  Sementara menurut penelitian Ivanka et al. </w:t>
      </w:r>
      <w:r>
        <w:rPr>
          <w:b w:val="0"/>
          <w:sz w:val="22"/>
          <w:szCs w:val="22"/>
          <w:lang w:val="en-US"/>
        </w:rPr>
        <w:fldChar w:fldCharType="begin" w:fldLock="1"/>
      </w:r>
      <w:r>
        <w:rPr>
          <w:b w:val="0"/>
          <w:sz w:val="22"/>
          <w:szCs w:val="22"/>
          <w:lang w:val="en-US"/>
        </w:rPr>
        <w:instrText xml:space="preserve">ADDIN CSL_CITATION {"citationItems":[{"id":"ITEM-1","itemData":{"DOI":"10.24815/jr.v8i2.47099","ISSN":"2775-5037","abstract":"The purpose of this study is to determine the effect of Digital Financial Literacy on Financial Well-Being with Financial Behavior as a mediating variable. This study applies a quantitative method, a survey approach through the use of questionnaires in collecting data from respondents, with a non-probability sampling method. Management students from the 2021 class in Sidoarjo are the population. SmartPLS 4 serves as the primary tool for data analysis in this study. The results indicate that Digital Financial Literacy does not have a significant impact on Financial Well-Being, Financial Behavior has a positive impact on Financial Well-Being, Digital Financial Literacy has a positive impact on Financial Behavior, and Financial Behavior mediates the relationship between Digital Financial Literacy and Financial Well-Being.","author":[{"dropping-particle":"","family":"Ivanka","given":"Siska","non-dropping-particle":"","parse-names":false,"suffix":""},{"dropping-particle":"","family":"Zaki","given":"Achmad","non-dropping-particle":"","parse-names":false,"suffix":""},{"dropping-particle":"","family":"Mustaqim","given":"M.","non-dropping-particle":"","parse-names":false,"suffix":""},{"dropping-particle":"","family":"Violita","given":"Cynthia Eka","non-dropping-particle":"","parse-names":false,"suffix":""}],"container-title":"Riwayat: Educational Journal of History and Humanities","id":"ITEM-1","issue":"2","issued":{"date-parts":[["2025","4","30"]]},"page":"2140-2153","title":"Pengaruh Digital Financial Literacy terhadap Financial Well-Being Melalui Financial Behaviour Studi pada Mahasiswa Manajemen Angkatan 2021 di Sidoarjo","type":"article-journal","volume":"8"},"label":"volume","suppress-author":1,"uris":["http://www.mendeley.com/documents/?uuid=7978d76a-681b-4283-be4d-b27d6afa07ce"]}],"mendeley":{"formattedCitation":"(2025)","plainTextFormattedCitation":"(2025)","previouslyFormattedCitation":"(2025)"},"properties":{"noteIndex":0},"schema":"https://github.com/citation-style-language/schema/raw/master/csl-citation.json"}</w:instrText>
      </w:r>
      <w:r>
        <w:rPr>
          <w:b w:val="0"/>
          <w:sz w:val="22"/>
          <w:szCs w:val="22"/>
          <w:lang w:val="en-US"/>
        </w:rPr>
        <w:fldChar w:fldCharType="separate"/>
      </w:r>
      <w:r>
        <w:rPr>
          <w:b w:val="0"/>
          <w:sz w:val="22"/>
          <w:szCs w:val="22"/>
          <w:lang w:val="en-US"/>
        </w:rPr>
        <w:t>(2025)</w:t>
      </w:r>
      <w:r>
        <w:rPr>
          <w:b w:val="0"/>
          <w:sz w:val="22"/>
          <w:szCs w:val="22"/>
          <w:lang w:val="en-US"/>
        </w:rPr>
        <w:fldChar w:fldCharType="end"/>
      </w:r>
      <w:r>
        <w:rPr>
          <w:b w:val="0"/>
          <w:sz w:val="22"/>
          <w:szCs w:val="22"/>
          <w:lang w:val="en-US"/>
        </w:rPr>
        <w:t xml:space="preserve"> literasi keuangan digital tidak memiliki pengaruh terhadap kesejahteraan keuangan, yang menunjukkan meskipun seseorang memahami penggunaan teknologi keuangan digital, seperti aplikasi dompet digital, e-banking, atau investasi daring, hal tersebut belum tentu meningkatkan kesejahteraan finansialnya secara langsung.</w:t>
      </w:r>
    </w:p>
    <w:p w14:paraId="5D8CC840">
      <w:pPr>
        <w:pStyle w:val="20"/>
        <w:spacing w:before="0" w:after="0"/>
        <w:ind w:firstLine="270"/>
        <w:jc w:val="both"/>
        <w:rPr>
          <w:b w:val="0"/>
          <w:sz w:val="22"/>
          <w:szCs w:val="22"/>
          <w:lang w:val="en-US"/>
        </w:rPr>
      </w:pPr>
      <w:r>
        <w:rPr>
          <w:b w:val="0"/>
          <w:sz w:val="22"/>
          <w:szCs w:val="22"/>
          <w:lang w:val="en-US"/>
        </w:rPr>
        <w:t xml:space="preserve">Kesejahteraan finansial juga dapat ditingkatkan melalui perencanaan keuangan (budgeting) </w:t>
      </w:r>
      <w:r>
        <w:rPr>
          <w:b w:val="0"/>
          <w:sz w:val="22"/>
          <w:szCs w:val="22"/>
          <w:lang w:val="en-US"/>
        </w:rPr>
        <w:fldChar w:fldCharType="begin" w:fldLock="1"/>
      </w:r>
      <w:r>
        <w:rPr>
          <w:b w:val="0"/>
          <w:sz w:val="22"/>
          <w:szCs w:val="22"/>
          <w:lang w:val="en-US"/>
        </w:rPr>
        <w:instrText xml:space="preserve">ADDIN CSL_CITATION {"citationItems":[{"id":"ITEM-1","itemData":{"DOI":"10.1371/journal.pone.0294466","ISSN":"1932-6203","abstract":"The topic of financial wellbeing is a current concern within the realm of personal and household finance. This study aims to examine the influence of cognitive factors, specifically financial literacy, mental budgeting, and self-control, on subjective financial wellbeing. While there exist multiple determinants of financial wellbeing, this research focuses on these particular cognitive factors. The present study aims to examine the mediating role of investment decision-making behavior in the association between cognitive factors and financial well-being. The study employed Partial Least Squares Structural Equation Modeling (PLS-SEM) to analyze the data collected from a sample of 449 Chinese university students, with the aim of assessing the empirical associations. The results indicate that financial literacy, mental budgeting, and self-control exert a favorable and noteworthy influence on an individual’s financial well-being. The results indicate that individuals with a greater degree of financial literacy are more prone to achieving superior financial well-being. Moreover, individuals who practice mental budgeting, a technique that entails mentally classifying and monitoring their expenditures, demonstrate elevated levels of financial well-being. Likewise, the exercise of self-regulation is identified as a pivotal element that impacts an individual’s financial wellbeing. The findings indicate that there is evidence to support the mediator, investment decision-making behavior. This mediator partially mediates the association between the independent variables, namely financial literacy, mental budgeting, and self-control, and financial well-being. The results suggest that individuals with elevated levels of financial literacy, proficient mental budgeting skills, and self-regulatory abilities are inclined towards demonstrating favorable investment decision-making conduct. Consequently, this contributes to their general financial welfare. In general, the study’s theoretical implications augment the current knowledge repository, while its practical implications provide feasible perspectives for policymakers, financial institutions, and individuals to foster financial wellness and enhance financial results.","author":[{"dropping-particle":"","family":"Bai","given":"Ruofan","non-dropping-particle":"","parse-names":false,"suffix":""}],"container-title":"PLOS ONE","editor":[{"dropping-particle":"","family":"Khan","given":"Wajid","non-dropping-particle":"","parse-names":false,"suffix":""}],"id":"ITEM-1","issue":"11","issued":{"date-parts":[["2023","11","14"]]},"page":"e0294466","title":"Impact of financial literacy, mental budgeting and self control on financial wellbeing: Mediating impact of investment decision making","type":"article-journal","volume":"18"},"uris":["http://www.mendeley.com/documents/?uuid=7eb5b688-7f62-4824-9d54-30fd89e4d7c8"]}],"mendeley":{"formattedCitation":"(Bai, 2023)","plainTextFormattedCitation":"(Bai, 2023)","previouslyFormattedCitation":"(Bai, 2023)"},"properties":{"noteIndex":0},"schema":"https://github.com/citation-style-language/schema/raw/master/csl-citation.json"}</w:instrText>
      </w:r>
      <w:r>
        <w:rPr>
          <w:b w:val="0"/>
          <w:sz w:val="22"/>
          <w:szCs w:val="22"/>
          <w:lang w:val="en-US"/>
        </w:rPr>
        <w:fldChar w:fldCharType="separate"/>
      </w:r>
      <w:r>
        <w:rPr>
          <w:b w:val="0"/>
          <w:sz w:val="22"/>
          <w:szCs w:val="22"/>
          <w:lang w:val="en-US"/>
        </w:rPr>
        <w:t>(Bai, 2023)</w:t>
      </w:r>
      <w:r>
        <w:rPr>
          <w:b w:val="0"/>
          <w:sz w:val="22"/>
          <w:szCs w:val="22"/>
          <w:lang w:val="en-US"/>
        </w:rPr>
        <w:fldChar w:fldCharType="end"/>
      </w:r>
      <w:r>
        <w:rPr>
          <w:b w:val="0"/>
          <w:sz w:val="22"/>
          <w:szCs w:val="22"/>
          <w:lang w:val="en-US"/>
        </w:rPr>
        <w:t xml:space="preserve">. Perilaku budgeting adalah proses kognitif yang digunakan seseorang untuk mengelola, mengevaluasi, dan melacak keuangannya </w:t>
      </w:r>
      <w:r>
        <w:rPr>
          <w:b w:val="0"/>
          <w:sz w:val="22"/>
          <w:szCs w:val="22"/>
          <w:lang w:val="en-US"/>
        </w:rPr>
        <w:fldChar w:fldCharType="begin" w:fldLock="1"/>
      </w:r>
      <w:r>
        <w:rPr>
          <w:b w:val="0"/>
          <w:sz w:val="22"/>
          <w:szCs w:val="22"/>
          <w:lang w:val="en-US"/>
        </w:rPr>
        <w:instrText xml:space="preserve">ADDIN CSL_CITATION {"citationItems":[{"id":"ITEM-1","itemData":{"DOI":"10.26740/jpak.v11n3.p275-287","ISSN":"2722-7502","abstract":"This study aims to understand how mental accounting plays a role in the financial management of geprek generation who have limited finances but have dependents in the family and how social pressure affects this. This research applies a qualitative method with a phenomenological approach through in-depth interviews. The condition of the geprek generation requires individuals to be wiser in managing their finances but the development of the digital world with flexing content can be an influence on personal financial planning. The results showed that in financial management by the geprek generation, there is a mental accounting process as a self-control on their decisions. In addition, the mental accounting process occurs in the allocation of finances assigned to certain account items such as decisions on self rewarding decisions. With the application of mental accounting, there is a better decision-making process in financial management.","author":[{"dropping-particle":"","family":"Melia","given":"Melia","non-dropping-particle":"","parse-names":false,"suffix":""},{"dropping-particle":"","family":"Yantiana","given":"Nella","non-dropping-particle":"","parse-names":false,"suffix":""}],"container-title":"Jurnal Pendidikan Akuntansi (JPAK)","id":"ITEM-1","issue":"3","issued":{"date-parts":[["2023","12","1"]]},"page":"275-287","title":"Mengungkap Peran Mental Accounting dalam Pengelolaan Keuangan Geprek Generation","type":"article-journal","volume":"11"},"uris":["http://www.mendeley.com/documents/?uuid=093b0baf-7d9d-418d-8c80-74751f432e5c"]}],"mendeley":{"formattedCitation":"(Melia &amp; Yantiana, 2023)","plainTextFormattedCitation":"(Melia &amp; Yantiana, 2023)","previouslyFormattedCitation":"(Melia &amp; Yantiana, 2023)"},"properties":{"noteIndex":0},"schema":"https://github.com/citation-style-language/schema/raw/master/csl-citation.json"}</w:instrText>
      </w:r>
      <w:r>
        <w:rPr>
          <w:b w:val="0"/>
          <w:sz w:val="22"/>
          <w:szCs w:val="22"/>
          <w:lang w:val="en-US"/>
        </w:rPr>
        <w:fldChar w:fldCharType="separate"/>
      </w:r>
      <w:r>
        <w:rPr>
          <w:b w:val="0"/>
          <w:sz w:val="22"/>
          <w:szCs w:val="22"/>
          <w:lang w:val="en-US"/>
        </w:rPr>
        <w:t>(Melia &amp; Yantiana, 2023)</w:t>
      </w:r>
      <w:r>
        <w:rPr>
          <w:b w:val="0"/>
          <w:sz w:val="22"/>
          <w:szCs w:val="22"/>
          <w:lang w:val="en-US"/>
        </w:rPr>
        <w:fldChar w:fldCharType="end"/>
      </w:r>
      <w:r>
        <w:rPr>
          <w:b w:val="0"/>
          <w:sz w:val="22"/>
          <w:szCs w:val="22"/>
          <w:lang w:val="en-US"/>
        </w:rPr>
        <w:t>. Dengan melakukan budgeting secara konsisten, individu mampu mengontrol pengeluaran, menetapkan prioritas kebutuhan, serta mengalokasikan sumber daya keuangan secara efisien. Hal ini tidak hanya membantu dalam menjaga stabilitas keuangan pribadi, tetapi juga berkontribusi pada peningkatan kesejahteraan sosial secara lebih luas, karena individu yang memiliki kondisi finansial stabil cenderung lebih produktif dan mampu memenuhi kewajiban sosial maupun ekonomi di lingkungannya.</w:t>
      </w:r>
    </w:p>
    <w:p w14:paraId="7CEB2D64">
      <w:pPr>
        <w:pStyle w:val="20"/>
        <w:spacing w:before="0" w:after="0"/>
        <w:ind w:firstLine="270"/>
        <w:jc w:val="both"/>
        <w:rPr>
          <w:b w:val="0"/>
          <w:sz w:val="22"/>
          <w:szCs w:val="22"/>
          <w:lang w:val="en-US"/>
        </w:rPr>
      </w:pPr>
      <w:r>
        <w:rPr>
          <w:b w:val="0"/>
          <w:sz w:val="22"/>
          <w:szCs w:val="22"/>
          <w:lang w:val="en-US"/>
        </w:rPr>
        <w:t xml:space="preserve">Menurut penelitian Pulungan &amp; Siregar </w:t>
      </w:r>
      <w:r>
        <w:rPr>
          <w:b w:val="0"/>
          <w:sz w:val="22"/>
          <w:szCs w:val="22"/>
          <w:lang w:val="en-US"/>
        </w:rPr>
        <w:fldChar w:fldCharType="begin" w:fldLock="1"/>
      </w:r>
      <w:r>
        <w:rPr>
          <w:b w:val="0"/>
          <w:sz w:val="22"/>
          <w:szCs w:val="22"/>
          <w:lang w:val="en-US"/>
        </w:rPr>
        <w:instrText xml:space="preserve">ADDIN CSL_CITATION {"citationItems":[{"id":"ITEM-1","itemData":{"DOI":"10.59086/jeb.v3i2.564","ISSN":"2829-6397","abstract":"Tujuan penelitian ini adalah untuk menguji dan menganalisis pengaruh perencanaan keuangan dan literasi keuangan terhadap kesejahteraan finansial melalui pengendalian diri pada masyarakat Desa Tanjung Putus secara langsung maupun tidak langsung. Dalam penelitian ini menggunakan penelitian asosiatif dengan pendekatan kuantitatif dengan menggunakan sampel sebanyak 100 responden yang merupakan warga Desa Tanjung Putus. Teknik pengumpulan data menggunakan daftar pernyataan seperti angket/survei dan teknik analisis data menggunakan daftar pernyataan seperti angket/survei dan teknik analisis data menggunakan program software Partial Least Square (SmartPLS) untuk mengetahui 7 hipotesis yang diajukan dalam penelitian ini. belajar. Hasil penelitian ini membuktikan bahwa perencanaan keuangan secara langsung berpengaruh signifikan terhadap kesejahteraan finansial. Literasi Keuangan berpengaruh signifikan terhadap Kesejahteraan Finansial. Perencanaan Keuangan berpengaruh signifikan terhadap Pengendalian Diri. Literasi Keuangan berpengaruh signifikan terhadap Kontrol Diri. Pengendalian Diri berpengaruh signifikan terhadap Kesejahteraan Finansial. Perencanaan Keuangan berpengaruh signifikan terhadap Kesejahteraan Finansial melalui Pengendalian Diri. Pengendalian Diri berpengaruh signifikan terhadap Kesejahteraan Finansial melalui Pengendalian Diri pada Warga Desa Tanjung Putus. The purpose of this study was to test and analyze the effect of financial planning and financial literacy on financial well-being through self-control in Tanjung Putus villagers directly or indirectly. In this study using associative research using a quantitative approach using a sample of 100 respondents who are residents of Tanjung Putus Village. Data collection techniques using a list of statements such as questionnaires / surveys and data analysis techniques using a list of statements such as questionnaires / surveys and data analysis techniques using the Partial Least Square (SmartPLS) software program to find out the 7 hypotheses proposed in this study. The results of this study prove that financial planning directly has a significant effect on financial well-being. Financial Literacy has a significant effect on Financial Wellbeing. Financial Planning has a significant effect on Self-Control. Financial Literacy has a significant effect on Self-Control. Self-Control has a significant effect on Financial Wellbeing. Financial Planning has a significant effect on Financial Wellbeing through S…","author":[{"dropping-particle":"","family":"Pulungan","given":"Sri Ayu Ramadhani","non-dropping-particle":"","parse-names":false,"suffix":""},{"dropping-particle":"","family":"Siregar","given":"Qahfi Romula","non-dropping-particle":"","parse-names":false,"suffix":""}],"container-title":"Bursa : Jurnal Ekonomi dan Bisnis","id":"ITEM-1","issue":"2","issued":{"date-parts":[["2024","5","30"]]},"page":"93-103","title":"Pengaruh Perencanaan Keuangan Dan Literasi Keuangan Terhadap Kesejahteraan Keuangan Melalui Pengendalian Diri Pada Warga Desa Tanjung Putus","type":"article-journal","volume":"3"},"label":"volume","suppress-author":1,"uris":["http://www.mendeley.com/documents/?uuid=085c0877-2be0-42c4-a4df-efbe30071511"]}],"mendeley":{"formattedCitation":"(2024)","plainTextFormattedCitation":"(2024)","previouslyFormattedCitation":"(2024)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perencanaan keuangan yang baik memiliki hubungan positif dengan kesejahteraan keuangan. Seseorang yang menerapkan perilaku penganggaran secara disiplin terbukti lebih mampu menghadapi tekanan finansial dan mencapai rasa aman dalam hal keuangan. Hal ini menunjukkan bahwa kemampuan untuk merencanakan dan mengontrol keuangan merupakan keterampilan penting dalam mewujudkan kesejahteraan finansial. Ali et al. </w:t>
      </w:r>
      <w:r>
        <w:rPr>
          <w:b w:val="0"/>
          <w:sz w:val="22"/>
          <w:szCs w:val="22"/>
          <w:lang w:val="en-US"/>
        </w:rPr>
        <w:fldChar w:fldCharType="begin" w:fldLock="1"/>
      </w:r>
      <w:r>
        <w:rPr>
          <w:b w:val="0"/>
          <w:sz w:val="22"/>
          <w:szCs w:val="22"/>
          <w:lang w:val="en-US"/>
        </w:rPr>
        <w:instrText xml:space="preserve">ADDIN CSL_CITATION {"citationItems":[{"id":"ITEM-1","itemData":{"DOI":"10.52131/pjhss.2024.v12i2.2102","ISSN":"2415-007X","abstract":"According to behavioral finance, people are not always rational in managing their finances. The financial stability of a person is directly linked with the spending style and pattern of the individual. This research investigates how mental budgeting influences financial behaviors and altogether financial stability, with a focus on the moderating effect of self-control. To explore this, we studied 294 people to see how mental budgeting affects their financial management and well-being, and how self-control plays a role in this process. A self-administered questionnaire was adapted to gather responses of the employees working in various organizations in Lahore. Smart PLS and SPSS were utilized to analyze and measure the responses collected from respondents. This study found that people are able to better manage their finances when they use mental budgeting. Similarly, there is clear evidence that mental budgeting has an association with financial well-being and financial behavior. The path coefficient uncovers the moderating impact of self-control on financial management behavior and financial wellness. These findings suggest that teaching people about mental budgeting and self-control in financial education programs might help them make better financial decisions. This study adds to our understanding by showing how these factors work together to influence financial behavior, highlighting the need for more tailored financial advice that considers both mental budgeting and self-control. This research helps clarify how people can better manage their finances through both mental strategies and behavioral control, contributing valuable insights into effective financial management practices.","author":[{"dropping-particle":"","family":"Ali","given":"Syed Atif","non-dropping-particle":"","parse-names":false,"suffix":""},{"dropping-particle":"","family":"Aslam","given":"Sumaira","non-dropping-particle":"","parse-names":false,"suffix":""},{"dropping-particle":"","family":"Majeed","given":"Muhammad Ussama","non-dropping-particle":"","parse-names":false,"suffix":""},{"dropping-particle":"","family":"Usman","given":"Muhammad","non-dropping-particle":"","parse-names":false,"suffix":""}],"container-title":"Pakistan Journal of Humanities and Social Sciences","id":"ITEM-1","issue":"2","issued":{"date-parts":[["2024","5","19"]]},"title":"The Interplay of Mental Budgeting, Self-Control, and Financial Behavior: Implications for Individual Financial Well-Being","type":"article-journal","volume":"12"},"label":"volume","suppress-author":1,"uris":["http://www.mendeley.com/documents/?uuid=065b81d4-bb23-41f9-9a6c-296321f918bc"]}],"mendeley":{"formattedCitation":"(2024)","plainTextFormattedCitation":"(2024)","previouslyFormattedCitation":"(Ali et al., 2024)"},"properties":{"noteIndex":0},"schema":"https://github.com/citation-style-language/schema/raw/master/csl-citation.json"}</w:instrText>
      </w:r>
      <w:r>
        <w:rPr>
          <w:b w:val="0"/>
          <w:sz w:val="22"/>
          <w:szCs w:val="22"/>
          <w:lang w:val="en-US"/>
        </w:rPr>
        <w:fldChar w:fldCharType="separate"/>
      </w:r>
      <w:r>
        <w:rPr>
          <w:b w:val="0"/>
          <w:sz w:val="22"/>
          <w:szCs w:val="22"/>
          <w:lang w:val="en-US"/>
        </w:rPr>
        <w:t>(2024)</w:t>
      </w:r>
      <w:r>
        <w:rPr>
          <w:b w:val="0"/>
          <w:sz w:val="22"/>
          <w:szCs w:val="22"/>
          <w:lang w:val="en-US"/>
        </w:rPr>
        <w:fldChar w:fldCharType="end"/>
      </w:r>
      <w:r>
        <w:rPr>
          <w:b w:val="0"/>
          <w:sz w:val="22"/>
          <w:szCs w:val="22"/>
          <w:lang w:val="en-US"/>
        </w:rPr>
        <w:t xml:space="preserve"> juga menegaskan bahwa perilaku penganggaran yang dilakukan individu berperan besar dalam mendorong perilaku keuangan yang sehat, seperti menabung, menghindari utang konsumtif, dan membuat keputusan keuangan yang lebih bijaksana.</w:t>
      </w:r>
    </w:p>
    <w:p w14:paraId="653955FA">
      <w:pPr>
        <w:pStyle w:val="20"/>
        <w:spacing w:before="0" w:after="0"/>
        <w:ind w:firstLine="270"/>
        <w:jc w:val="both"/>
        <w:rPr>
          <w:b w:val="0"/>
          <w:sz w:val="22"/>
          <w:szCs w:val="22"/>
          <w:lang w:val="en-US"/>
        </w:rPr>
      </w:pPr>
      <w:r>
        <w:rPr>
          <w:b w:val="0"/>
          <w:sz w:val="22"/>
          <w:szCs w:val="22"/>
          <w:lang w:val="en-US"/>
        </w:rPr>
        <w:t>Penelitian ini dilakukan di Universitas Tridinanti, dengan fokus pada mahasiswa aktif Program Studi Akuntansi sebagai objek penelitian. Mahasiswa akuntansi dipilih karena secara akademik telah memperoleh pengetahuan dasar mengenai pengelolaan keuangan, perencanaan finansial, dan perilaku konsumtif, sehingga diharapkan memiliki kesadaran yang lebih baik dalam mengatur keuangan pribadi. Meskipun demikian, masih terdapat mahasiswa yang belum mampu menerapkan pengetahuan keuangan yang dimiliki secara optimal dalam kehidupan sehari-hari. Berdasarkan hasil Survei Nasional Literasi dan Inklusi Keuangan (SNLIK) yang dilakukan Otoritas Jasa Keuangan tahun 2024, indeks literasi keuangan pelajar/mahasiswa masih tergolong rendah dengan persentase 56,42%, sementara indeks inklusi keuangan pelajar/mahasiswa hanya sebesar 9,58%. Rendahnya literasi dan inklusi keuangan ini berpotensi menghambat tercapainya kesejahteraan keuangan, terutama di kalangan mahasiswa akuntansi yang seharusnya memiliki pemahaman lebih baik terkait pengelolaan keuangan pribadi.</w:t>
      </w:r>
    </w:p>
    <w:p w14:paraId="11080354">
      <w:pPr>
        <w:pStyle w:val="20"/>
        <w:spacing w:before="0" w:after="0"/>
        <w:ind w:firstLine="270"/>
        <w:jc w:val="both"/>
        <w:rPr>
          <w:b w:val="0"/>
          <w:sz w:val="22"/>
          <w:szCs w:val="22"/>
          <w:lang w:val="en-US"/>
        </w:rPr>
      </w:pPr>
      <w:r>
        <w:rPr>
          <w:b w:val="0"/>
          <w:sz w:val="22"/>
          <w:szCs w:val="22"/>
          <w:lang w:val="en-US"/>
        </w:rPr>
        <w:t>Berdasarkan temuan penelitian,  diketahui bahwa sebagian mahasiswa Universitas Tridinanti Palembang masih menghadapi kendala dalam menerapkan literasi keuangan dalam kehidupan sehari-hari. Beberapa mahasiswa cenderung lebih memilih menyimpan uang dalam bentuk tabungan karena merasa belum memiliki kemampuan mengelola risiko finansial yang dianggap dapat memengaruhi kondisi ekonomi personal mereka. Sebagian lainnya mengungkapkan bahwa keterbatasan dana bulanan membuat mereka belum dapat mengalokasikan uang untuk tujuan pengembangan finansial jangka panjang, sehingga pengelolaan keuangan lebih difokuskan pada kebutuhan konsumsi rutin. Selain itu, ditemukan pula bahwa mahasiswa belum memiliki kebiasaan mencari informasi keuangan secara aktif, baik terkait perencanaan keuangan, strategi pengelolaan dana, maupun edukasi finansial tambahan. Kurangnya inisiatif dalam memperluas pengetahuan keuangan ini menyebabkan pemanfaatan literasi keuangan yang dimiliki belum maksimal, sehingga potensi peningkatan kesejahteraan keuangan belum sepenuhnya tercapai pada sebagian besar mahasiswa. Hal ini menunjukkan adanya kesenjangan antara pengetahuan yang dimiliki dan penerapan nyata dalam pengelolaan keuangan pribadi.</w:t>
      </w:r>
      <w:r>
        <w:commentReference w:id="2"/>
      </w:r>
    </w:p>
    <w:p w14:paraId="27A9A2FC">
      <w:pPr>
        <w:pStyle w:val="20"/>
        <w:spacing w:before="0" w:after="0"/>
        <w:ind w:firstLine="270"/>
        <w:jc w:val="both"/>
        <w:rPr>
          <w:b w:val="0"/>
          <w:sz w:val="22"/>
          <w:szCs w:val="22"/>
          <w:lang w:val="en-US"/>
        </w:rPr>
      </w:pPr>
      <w:r>
        <w:rPr>
          <w:b w:val="0"/>
          <w:sz w:val="22"/>
          <w:szCs w:val="22"/>
          <w:lang w:val="en-US"/>
        </w:rPr>
        <w:t>.</w:t>
      </w:r>
    </w:p>
    <w:p w14:paraId="31DE7630">
      <w:pPr>
        <w:pStyle w:val="20"/>
        <w:spacing w:before="0" w:after="0"/>
        <w:ind w:firstLine="270"/>
        <w:jc w:val="both"/>
        <w:rPr>
          <w:b w:val="0"/>
          <w:sz w:val="22"/>
          <w:szCs w:val="22"/>
          <w:lang w:val="en-US"/>
        </w:rPr>
      </w:pPr>
    </w:p>
    <w:p w14:paraId="3E68E4B5">
      <w:pPr>
        <w:pStyle w:val="20"/>
        <w:numPr>
          <w:ilvl w:val="0"/>
          <w:numId w:val="2"/>
        </w:numPr>
        <w:spacing w:before="0" w:after="0"/>
        <w:ind w:left="426"/>
        <w:outlineLvl w:val="0"/>
        <w:rPr>
          <w:sz w:val="22"/>
          <w:szCs w:val="22"/>
          <w:lang w:val="en-US"/>
        </w:rPr>
      </w:pPr>
      <w:r>
        <w:rPr>
          <w:sz w:val="22"/>
          <w:szCs w:val="22"/>
          <w:lang w:val="en-US"/>
        </w:rPr>
        <w:t>METODOLOGI PENELITIAN</w:t>
      </w:r>
    </w:p>
    <w:p w14:paraId="6FC4F756">
      <w:pPr>
        <w:pStyle w:val="20"/>
        <w:spacing w:before="0" w:after="0"/>
        <w:jc w:val="both"/>
        <w:rPr>
          <w:sz w:val="22"/>
          <w:szCs w:val="22"/>
          <w:lang w:val="en-US"/>
        </w:rPr>
      </w:pPr>
    </w:p>
    <w:p w14:paraId="1A9B5A64">
      <w:pPr>
        <w:pStyle w:val="20"/>
        <w:spacing w:before="0" w:after="0"/>
        <w:ind w:firstLine="284"/>
        <w:jc w:val="both"/>
        <w:rPr>
          <w:b w:val="0"/>
          <w:bCs/>
          <w:sz w:val="22"/>
          <w:szCs w:val="22"/>
          <w:lang w:val="zh-CN"/>
        </w:rPr>
      </w:pPr>
      <w:r>
        <w:rPr>
          <w:b w:val="0"/>
          <w:bCs/>
          <w:sz w:val="22"/>
          <w:szCs w:val="22"/>
          <w:lang w:val="zh-CN"/>
        </w:rPr>
        <w:t>Penelitian ini menggunakan pendekatan kuantitatif dengan desain asosiatif kausal, yang bertujuan untuk menganalisis pengaruh literasi fintech dan perilaku budgeting terhadap kesejahteraan keuangan mahasiswa. Penelitian dilaksanakan pada mahasiswa Program Studi Akuntansi Fakultas Ekonomi dan Bisnis Universitas Tridinanti Palembang selama periode September 2025 hingga Februari 2026. Data yang digunakan terdiri atas data primer yang diperoleh melalui penyebaran kuesioner kepada responden, serta data sekunder yang bersumber dari literatur ilmiah dan dokumen pendukung yang relevan dengan topik penelitian.</w:t>
      </w:r>
    </w:p>
    <w:p w14:paraId="54E75C55">
      <w:pPr>
        <w:pStyle w:val="20"/>
        <w:spacing w:before="0" w:after="0"/>
        <w:ind w:firstLine="284"/>
        <w:jc w:val="both"/>
        <w:rPr>
          <w:b w:val="0"/>
          <w:bCs/>
          <w:sz w:val="22"/>
          <w:szCs w:val="22"/>
          <w:lang w:val="zh-CN"/>
        </w:rPr>
      </w:pPr>
      <w:r>
        <w:rPr>
          <w:b w:val="0"/>
          <w:bCs/>
          <w:sz w:val="22"/>
          <w:szCs w:val="22"/>
          <w:lang w:val="zh-CN"/>
        </w:rPr>
        <w:t>Populasi penelitian mencakup seluruh mahasiswa aktif Program Studi Akuntansi angkatan 2022–2025 sebanyak 304 mahasiswa. Penentuan sampel dilakukan menggunakan rumus Slovin dengan tingkat kesalahan sebesar 10%, sehingga diperoleh sampel sebanyak 75 responden. Teknik pengambilan sampel yang digunakan adalah purposive sampling, dengan kriteria mahasiswa aktif yang memiliki dan rutin menggunakan aplikasi fintech dalam aktivitas transaksi keuangan. Instrumen penelitian berupa kuesioner dengan skala Likert lima poin yang mengukur tiga variabel penelitian, yaitu literasi fintech, perilaku budgeting, dan kesejahteraan keuangan.</w:t>
      </w:r>
    </w:p>
    <w:p w14:paraId="4ACE16F3">
      <w:pPr>
        <w:pStyle w:val="20"/>
        <w:spacing w:before="0" w:after="0"/>
        <w:ind w:firstLine="284"/>
        <w:jc w:val="both"/>
        <w:rPr>
          <w:b w:val="0"/>
          <w:bCs/>
          <w:sz w:val="22"/>
          <w:szCs w:val="22"/>
          <w:lang w:val="zh-CN"/>
        </w:rPr>
      </w:pPr>
      <w:r>
        <w:rPr>
          <w:b w:val="0"/>
          <w:bCs/>
          <w:sz w:val="22"/>
          <w:szCs w:val="22"/>
          <w:lang w:val="zh-CN"/>
        </w:rPr>
        <w:t>Analisis data dilakukan secara kuantitatif menggunakan bantuan perangkat lunak SPSS versi 25. Tahapan analisis meliputi uji validitas dan reliabilitas instrumen, uji asumsi klasik (normalitas, multikolinearitas, dan heteroskedastisitas), serta analisis regresi linear berganda. Pengujian hipotesis dilakukan melalui uji statistik F untuk mengetahui pengaruh simultan dan uji statistik t untuk mengetahui pengaruh parsial masing-masing variabel independen terhadap variabel dependen. Selain itu, digunakan analisis koefisien korelasi dan koefisien determinasi untuk mengukur kekuatan hubungan dan kemampuan model dalam menjelaskan variasi kesejahteraan keuangan mahasiswa.</w:t>
      </w:r>
    </w:p>
    <w:p w14:paraId="1E350823">
      <w:pPr>
        <w:pStyle w:val="20"/>
        <w:spacing w:before="0" w:after="0"/>
        <w:jc w:val="both"/>
        <w:rPr>
          <w:sz w:val="22"/>
          <w:szCs w:val="22"/>
          <w:lang w:val="en-US"/>
        </w:rPr>
      </w:pPr>
      <w:r>
        <w:commentReference w:id="3"/>
      </w:r>
    </w:p>
    <w:p w14:paraId="5C1736E4">
      <w:pPr>
        <w:pStyle w:val="20"/>
        <w:spacing w:before="0" w:after="0"/>
        <w:outlineLvl w:val="0"/>
        <w:rPr>
          <w:b w:val="0"/>
          <w:bCs/>
          <w:sz w:val="22"/>
          <w:szCs w:val="22"/>
          <w:lang w:val="en-US"/>
        </w:rPr>
      </w:pPr>
    </w:p>
    <w:p w14:paraId="01A19E7A">
      <w:pPr>
        <w:pStyle w:val="20"/>
        <w:numPr>
          <w:ilvl w:val="0"/>
          <w:numId w:val="2"/>
        </w:numPr>
        <w:spacing w:before="0" w:after="0"/>
        <w:ind w:left="426"/>
        <w:outlineLvl w:val="0"/>
        <w:rPr>
          <w:sz w:val="22"/>
          <w:szCs w:val="22"/>
          <w:lang w:val="en-US"/>
        </w:rPr>
      </w:pPr>
      <w:r>
        <w:rPr>
          <w:sz w:val="22"/>
          <w:szCs w:val="22"/>
          <w:lang w:val="en-US"/>
        </w:rPr>
        <w:t>HASIL DAN PEMBAHASAN</w:t>
      </w:r>
    </w:p>
    <w:p w14:paraId="4205F61F">
      <w:pPr>
        <w:pStyle w:val="21"/>
        <w:ind w:firstLine="284"/>
        <w:jc w:val="both"/>
        <w:rPr>
          <w:sz w:val="22"/>
          <w:szCs w:val="22"/>
        </w:rPr>
      </w:pPr>
    </w:p>
    <w:p w14:paraId="5107DAD0">
      <w:pPr>
        <w:pStyle w:val="21"/>
        <w:jc w:val="both"/>
        <w:rPr>
          <w:b/>
          <w:bCs/>
          <w:sz w:val="22"/>
          <w:szCs w:val="22"/>
        </w:rPr>
      </w:pPr>
      <w:r>
        <w:rPr>
          <w:b/>
          <w:bCs/>
          <w:sz w:val="22"/>
          <w:szCs w:val="22"/>
        </w:rPr>
        <w:t>Uji Normalitas</w:t>
      </w:r>
    </w:p>
    <w:p w14:paraId="626082C7">
      <w:pPr>
        <w:pStyle w:val="21"/>
        <w:ind w:firstLine="284"/>
        <w:jc w:val="both"/>
        <w:rPr>
          <w:sz w:val="22"/>
          <w:szCs w:val="22"/>
        </w:rPr>
      </w:pPr>
      <w:r>
        <w:rPr>
          <w:sz w:val="22"/>
          <w:szCs w:val="22"/>
        </w:rPr>
        <w:t>Uji normalitas pada model regresi digunakan untuk menguji apakah nilai residual yang dihasilkan dari regresi terdistribusi secara normal atau tidak. Model regresi yang baik adalah yang memiliki nilai residual yang terdistribusi normal. Uji normalitas dapat dilakukan dengan menggunakan uji Kolmogorov-Smrirnov. Berikut ini adalah hasil uji normalitas.</w:t>
      </w:r>
    </w:p>
    <w:p w14:paraId="267B4BA0">
      <w:pPr>
        <w:pStyle w:val="21"/>
        <w:ind w:firstLine="284"/>
        <w:jc w:val="both"/>
        <w:rPr>
          <w:sz w:val="22"/>
          <w:szCs w:val="22"/>
        </w:rPr>
      </w:pPr>
    </w:p>
    <w:p w14:paraId="6929FC81">
      <w:pPr>
        <w:pStyle w:val="21"/>
        <w:ind w:firstLine="284"/>
        <w:jc w:val="both"/>
        <w:rPr>
          <w:sz w:val="22"/>
          <w:szCs w:val="22"/>
        </w:rPr>
      </w:pPr>
    </w:p>
    <w:p w14:paraId="5647082B">
      <w:pPr>
        <w:pStyle w:val="21"/>
        <w:jc w:val="both"/>
        <w:rPr>
          <w:b/>
          <w:bCs/>
          <w:sz w:val="22"/>
          <w:szCs w:val="22"/>
        </w:rPr>
      </w:pPr>
      <w:r>
        <w:rPr>
          <w:b/>
          <w:bCs/>
          <w:sz w:val="22"/>
          <w:szCs w:val="22"/>
        </w:rPr>
        <w:t>Tabel 1. Uji Normalitas</w:t>
      </w:r>
    </w:p>
    <w:tbl>
      <w:tblPr>
        <w:tblStyle w:val="25"/>
        <w:tblW w:w="4873" w:type="pct"/>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4"/>
        <w:gridCol w:w="1087"/>
        <w:gridCol w:w="1597"/>
      </w:tblGrid>
      <w:tr w14:paraId="2D7D46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1BC3D03">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b/>
                <w:bCs/>
                <w:color w:val="000000" w:themeColor="text1"/>
                <w:kern w:val="0"/>
                <w:sz w:val="18"/>
                <w:szCs w:val="18"/>
                <w:lang w:val="zh-CN"/>
                <w14:textFill>
                  <w14:solidFill>
                    <w14:schemeClr w14:val="tx1"/>
                  </w14:solidFill>
                </w14:textFill>
                <w14:ligatures w14:val="standardContextual"/>
              </w:rPr>
              <w:t>One-Sample Kolmogorov-Smirnov Test</w:t>
            </w:r>
          </w:p>
        </w:tc>
      </w:tr>
      <w:tr w14:paraId="6AC7B09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left w:val="single" w:color="7E7E7E" w:themeColor="text1" w:themeTint="80" w:sz="4" w:space="0"/>
              <w:right w:val="single" w:color="7E7E7E" w:themeColor="text1" w:themeTint="80" w:sz="4" w:space="0"/>
              <w:insideV w:val="single" w:sz="4" w:space="0"/>
            </w:tcBorders>
          </w:tcPr>
          <w:p w14:paraId="39FDCF63">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c>
          <w:tcPr>
            <w:tcW w:w="1925" w:type="pct"/>
            <w:tcBorders>
              <w:left w:val="single" w:color="7E7E7E" w:themeColor="text1" w:themeTint="80" w:sz="4" w:space="0"/>
              <w:right w:val="single" w:color="7E7E7E" w:themeColor="text1" w:themeTint="80" w:sz="4" w:space="0"/>
              <w:insideV w:val="single" w:sz="4" w:space="0"/>
            </w:tcBorders>
          </w:tcPr>
          <w:p w14:paraId="5909DF48">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Unstandardized Residual</w:t>
            </w:r>
          </w:p>
        </w:tc>
      </w:tr>
      <w:tr w14:paraId="24E5904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9CE45C2">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956E03E">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75</w:t>
            </w:r>
          </w:p>
        </w:tc>
      </w:tr>
      <w:tr w14:paraId="27FC8D4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restart"/>
            <w:tcBorders>
              <w:left w:val="single" w:color="7E7E7E" w:themeColor="text1" w:themeTint="80" w:sz="4" w:space="0"/>
              <w:right w:val="single" w:color="7E7E7E" w:themeColor="text1" w:themeTint="80" w:sz="4" w:space="0"/>
              <w:insideV w:val="single" w:sz="4" w:space="0"/>
            </w:tcBorders>
          </w:tcPr>
          <w:p w14:paraId="15DCC0E6">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Normal Parameters</w:t>
            </w:r>
            <w:r>
              <w:rPr>
                <w:rFonts w:ascii="Arial" w:hAnsi="Arial" w:cs="Arial"/>
                <w:color w:val="000000" w:themeColor="text1"/>
                <w:kern w:val="0"/>
                <w:sz w:val="18"/>
                <w:szCs w:val="18"/>
                <w:vertAlign w:val="superscript"/>
                <w:lang w:val="zh-CN"/>
                <w14:textFill>
                  <w14:solidFill>
                    <w14:schemeClr w14:val="tx1"/>
                  </w14:solidFill>
                </w14:textFill>
                <w14:ligatures w14:val="standardContextual"/>
              </w:rPr>
              <w:t>a,b</w:t>
            </w:r>
          </w:p>
        </w:tc>
        <w:tc>
          <w:tcPr>
            <w:tcW w:w="1310" w:type="pct"/>
            <w:tcBorders>
              <w:left w:val="single" w:color="7E7E7E" w:themeColor="text1" w:themeTint="80" w:sz="4" w:space="0"/>
              <w:right w:val="single" w:color="7E7E7E" w:themeColor="text1" w:themeTint="80" w:sz="4" w:space="0"/>
              <w:insideV w:val="single" w:sz="4" w:space="0"/>
            </w:tcBorders>
          </w:tcPr>
          <w:p w14:paraId="50E0E782">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Mean</w:t>
            </w:r>
          </w:p>
        </w:tc>
        <w:tc>
          <w:tcPr>
            <w:tcW w:w="1925" w:type="pct"/>
            <w:tcBorders>
              <w:left w:val="single" w:color="7E7E7E" w:themeColor="text1" w:themeTint="80" w:sz="4" w:space="0"/>
              <w:right w:val="single" w:color="7E7E7E" w:themeColor="text1" w:themeTint="80" w:sz="4" w:space="0"/>
              <w:insideV w:val="single" w:sz="4" w:space="0"/>
            </w:tcBorders>
          </w:tcPr>
          <w:p w14:paraId="5F1E49A8">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.0000000</w:t>
            </w:r>
          </w:p>
        </w:tc>
      </w:tr>
      <w:tr w14:paraId="331934C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EC5593B">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3FCDDE4">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Std. Deviation</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6D922CE">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.0748335</w:t>
            </w:r>
          </w:p>
        </w:tc>
      </w:tr>
      <w:tr w14:paraId="1A4EF1D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restart"/>
            <w:tcBorders>
              <w:left w:val="single" w:color="7E7E7E" w:themeColor="text1" w:themeTint="80" w:sz="4" w:space="0"/>
              <w:right w:val="single" w:color="7E7E7E" w:themeColor="text1" w:themeTint="80" w:sz="4" w:space="0"/>
              <w:insideV w:val="single" w:sz="4" w:space="0"/>
            </w:tcBorders>
          </w:tcPr>
          <w:p w14:paraId="690A2DAD">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Most Extreme Differences</w:t>
            </w:r>
          </w:p>
        </w:tc>
        <w:tc>
          <w:tcPr>
            <w:tcW w:w="1310" w:type="pct"/>
            <w:tcBorders>
              <w:left w:val="single" w:color="7E7E7E" w:themeColor="text1" w:themeTint="80" w:sz="4" w:space="0"/>
              <w:right w:val="single" w:color="7E7E7E" w:themeColor="text1" w:themeTint="80" w:sz="4" w:space="0"/>
              <w:insideV w:val="single" w:sz="4" w:space="0"/>
            </w:tcBorders>
          </w:tcPr>
          <w:p w14:paraId="468723F5">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Absolute</w:t>
            </w:r>
          </w:p>
        </w:tc>
        <w:tc>
          <w:tcPr>
            <w:tcW w:w="1925" w:type="pct"/>
            <w:tcBorders>
              <w:left w:val="single" w:color="7E7E7E" w:themeColor="text1" w:themeTint="80" w:sz="4" w:space="0"/>
              <w:right w:val="single" w:color="7E7E7E" w:themeColor="text1" w:themeTint="80" w:sz="4" w:space="0"/>
              <w:insideV w:val="single" w:sz="4" w:space="0"/>
            </w:tcBorders>
          </w:tcPr>
          <w:p w14:paraId="497B4D3D">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76D2E93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1A03598">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A34F16B">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Positive</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C1E709C">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.143</w:t>
            </w:r>
          </w:p>
        </w:tc>
      </w:tr>
      <w:tr w14:paraId="5658954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5" w:type="pct"/>
            <w:vMerge w:val="continue"/>
            <w:tcBorders>
              <w:left w:val="single" w:color="7E7E7E" w:themeColor="text1" w:themeTint="80" w:sz="4" w:space="0"/>
              <w:right w:val="single" w:color="7E7E7E" w:themeColor="text1" w:themeTint="80" w:sz="4" w:space="0"/>
              <w:insideV w:val="single" w:sz="4" w:space="0"/>
            </w:tcBorders>
          </w:tcPr>
          <w:p w14:paraId="144A9777">
            <w:pPr>
              <w:autoSpaceDE w:val="0"/>
              <w:autoSpaceDN w:val="0"/>
              <w:adjustRightInd w:val="0"/>
              <w:spacing w:after="0" w:line="240" w:lineRule="auto"/>
              <w:rPr>
                <w:rFonts w:ascii="Arial" w:hAnsi="Arial" w:cs="Arial"/>
                <w:color w:val="000000" w:themeColor="text1"/>
                <w:kern w:val="0"/>
                <w:sz w:val="18"/>
                <w:szCs w:val="18"/>
                <w:lang w:val="zh-CN"/>
                <w14:textFill>
                  <w14:solidFill>
                    <w14:schemeClr w14:val="tx1"/>
                  </w14:solidFill>
                </w14:textFill>
                <w14:ligatures w14:val="standardContextual"/>
              </w:rPr>
            </w:pPr>
          </w:p>
        </w:tc>
        <w:tc>
          <w:tcPr>
            <w:tcW w:w="1310" w:type="pct"/>
            <w:tcBorders>
              <w:left w:val="single" w:color="7E7E7E" w:themeColor="text1" w:themeTint="80" w:sz="4" w:space="0"/>
              <w:right w:val="single" w:color="7E7E7E" w:themeColor="text1" w:themeTint="80" w:sz="4" w:space="0"/>
              <w:insideV w:val="single" w:sz="4" w:space="0"/>
            </w:tcBorders>
          </w:tcPr>
          <w:p w14:paraId="0CA15CAB">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Negative</w:t>
            </w:r>
          </w:p>
        </w:tc>
        <w:tc>
          <w:tcPr>
            <w:tcW w:w="1925" w:type="pct"/>
            <w:tcBorders>
              <w:left w:val="single" w:color="7E7E7E" w:themeColor="text1" w:themeTint="80" w:sz="4" w:space="0"/>
              <w:right w:val="single" w:color="7E7E7E" w:themeColor="text1" w:themeTint="80" w:sz="4" w:space="0"/>
              <w:insideV w:val="single" w:sz="4" w:space="0"/>
            </w:tcBorders>
          </w:tcPr>
          <w:p w14:paraId="256CB496">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38779E5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F632314">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Test Statistic</w:t>
            </w:r>
          </w:p>
        </w:tc>
        <w:tc>
          <w:tcPr>
            <w:tcW w:w="1925"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94573C8">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.163</w:t>
            </w:r>
          </w:p>
        </w:tc>
      </w:tr>
      <w:tr w14:paraId="2E7BD0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075" w:type="pct"/>
            <w:gridSpan w:val="2"/>
            <w:tcBorders>
              <w:left w:val="single" w:color="7E7E7E" w:themeColor="text1" w:themeTint="80" w:sz="4" w:space="0"/>
              <w:right w:val="single" w:color="7E7E7E" w:themeColor="text1" w:themeTint="80" w:sz="4" w:space="0"/>
              <w:insideV w:val="single" w:sz="4" w:space="0"/>
            </w:tcBorders>
          </w:tcPr>
          <w:p w14:paraId="60034667">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Asymp. Sig. (2-tailed)</w:t>
            </w:r>
          </w:p>
        </w:tc>
        <w:tc>
          <w:tcPr>
            <w:tcW w:w="1925" w:type="pct"/>
            <w:tcBorders>
              <w:left w:val="single" w:color="7E7E7E" w:themeColor="text1" w:themeTint="80" w:sz="4" w:space="0"/>
              <w:right w:val="single" w:color="7E7E7E" w:themeColor="text1" w:themeTint="80" w:sz="4" w:space="0"/>
              <w:insideV w:val="single" w:sz="4" w:space="0"/>
            </w:tcBorders>
          </w:tcPr>
          <w:p w14:paraId="78B0B77B">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.200</w:t>
            </w:r>
            <w:r>
              <w:rPr>
                <w:rFonts w:ascii="Arial" w:hAnsi="Arial" w:cs="Arial"/>
                <w:color w:val="000000" w:themeColor="text1"/>
                <w:kern w:val="0"/>
                <w:sz w:val="18"/>
                <w:szCs w:val="18"/>
                <w:vertAlign w:val="superscript"/>
                <w:lang w:val="zh-CN"/>
                <w14:textFill>
                  <w14:solidFill>
                    <w14:schemeClr w14:val="tx1"/>
                  </w14:solidFill>
                </w14:textFill>
                <w14:ligatures w14:val="standardContextual"/>
              </w:rPr>
              <w:t>c</w:t>
            </w:r>
          </w:p>
        </w:tc>
      </w:tr>
      <w:tr w14:paraId="6E1A305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EF16771">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a. Test distribution is Normal.</w:t>
            </w:r>
          </w:p>
        </w:tc>
      </w:tr>
      <w:tr w14:paraId="0CE52E1B">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left w:val="single" w:color="7E7E7E" w:themeColor="text1" w:themeTint="80" w:sz="4" w:space="0"/>
              <w:right w:val="single" w:color="7E7E7E" w:themeColor="text1" w:themeTint="80" w:sz="4" w:space="0"/>
              <w:insideV w:val="single" w:sz="4" w:space="0"/>
            </w:tcBorders>
          </w:tcPr>
          <w:p w14:paraId="7DBE6993">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b. Calculated from data.</w:t>
            </w:r>
          </w:p>
        </w:tc>
      </w:tr>
      <w:tr w14:paraId="13DB274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00" w:type="pct"/>
            <w:gridSpan w:val="3"/>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F268578">
            <w:pPr>
              <w:autoSpaceDE w:val="0"/>
              <w:autoSpaceDN w:val="0"/>
              <w:adjustRightInd w:val="0"/>
              <w:spacing w:after="0" w:line="240" w:lineRule="auto"/>
              <w:ind w:left="60" w:right="60"/>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c. Lilliefors Significance Correction.</w:t>
            </w:r>
          </w:p>
        </w:tc>
      </w:tr>
    </w:tbl>
    <w:p w14:paraId="45C54ED5">
      <w:pPr>
        <w:pStyle w:val="21"/>
        <w:rPr>
          <w:sz w:val="22"/>
          <w:szCs w:val="22"/>
          <w:lang w:val="zh-CN"/>
        </w:rPr>
      </w:pPr>
      <w:r>
        <w:rPr>
          <w:sz w:val="22"/>
          <w:szCs w:val="22"/>
          <w:lang w:val="zh-CN"/>
        </w:rPr>
        <w:t>(Sumber : data diolah penulis, 2026)</w:t>
      </w:r>
    </w:p>
    <w:p w14:paraId="65940E10">
      <w:pPr>
        <w:pStyle w:val="21"/>
        <w:ind w:firstLine="284"/>
        <w:jc w:val="both"/>
        <w:rPr>
          <w:sz w:val="22"/>
          <w:szCs w:val="22"/>
        </w:rPr>
      </w:pPr>
    </w:p>
    <w:p w14:paraId="7BEC641C">
      <w:pPr>
        <w:pStyle w:val="21"/>
        <w:ind w:firstLine="284"/>
        <w:jc w:val="both"/>
        <w:rPr>
          <w:sz w:val="22"/>
          <w:szCs w:val="22"/>
        </w:rPr>
      </w:pPr>
      <w:r>
        <w:rPr>
          <w:sz w:val="22"/>
          <w:szCs w:val="22"/>
        </w:rPr>
        <w:t xml:space="preserve">Berdasarkan hasil uji normalitas menggunakan </w:t>
      </w:r>
      <w:r>
        <w:rPr>
          <w:i/>
          <w:iCs/>
          <w:sz w:val="22"/>
          <w:szCs w:val="22"/>
        </w:rPr>
        <w:t>One-Sample Kolmogorov–Smirnov</w:t>
      </w:r>
      <w:r>
        <w:rPr>
          <w:sz w:val="22"/>
          <w:szCs w:val="22"/>
        </w:rPr>
        <w:t>, diperoleh nilai Asymp. Sig.</w:t>
      </w:r>
      <w:r>
        <w:rPr>
          <w:i/>
          <w:iCs/>
          <w:sz w:val="22"/>
          <w:szCs w:val="22"/>
        </w:rPr>
        <w:t xml:space="preserve"> (2-tailed)</w:t>
      </w:r>
      <w:r>
        <w:rPr>
          <w:sz w:val="22"/>
          <w:szCs w:val="22"/>
        </w:rPr>
        <w:t xml:space="preserve"> sebesar 0,200 yang lebih besar dari taraf signifikansi 0,05. Hal ini menunjukkan bahwa data residual berdistribusi normal, sehingga dapat disimpulkan bahwa asumsi normalitas telah terpenuhi. Dengan terpenuhinya asumsi tersebut, data penelitian layak digunakan untuk analisis statistik lanjutan yang mensyaratkan normalitas.</w:t>
      </w:r>
    </w:p>
    <w:p w14:paraId="0D74FEC6">
      <w:pPr>
        <w:pStyle w:val="21"/>
        <w:jc w:val="both"/>
        <w:rPr>
          <w:b/>
          <w:bCs/>
          <w:sz w:val="22"/>
          <w:szCs w:val="22"/>
        </w:rPr>
      </w:pPr>
    </w:p>
    <w:p w14:paraId="4DE5B6DE">
      <w:pPr>
        <w:pStyle w:val="21"/>
        <w:jc w:val="both"/>
        <w:rPr>
          <w:b/>
          <w:bCs/>
          <w:sz w:val="22"/>
          <w:szCs w:val="22"/>
        </w:rPr>
      </w:pPr>
      <w:r>
        <w:rPr>
          <w:b/>
          <w:bCs/>
          <w:sz w:val="22"/>
          <w:szCs w:val="22"/>
        </w:rPr>
        <w:t>Uji Multikolinearitas</w:t>
      </w:r>
    </w:p>
    <w:p w14:paraId="71688476">
      <w:pPr>
        <w:pStyle w:val="21"/>
        <w:jc w:val="both"/>
        <w:rPr>
          <w:b/>
          <w:bCs/>
          <w:sz w:val="22"/>
          <w:szCs w:val="22"/>
        </w:rPr>
      </w:pPr>
    </w:p>
    <w:p w14:paraId="00A5354C">
      <w:pPr>
        <w:pStyle w:val="21"/>
        <w:ind w:firstLine="284"/>
        <w:jc w:val="both"/>
        <w:rPr>
          <w:sz w:val="22"/>
          <w:szCs w:val="22"/>
        </w:rPr>
      </w:pPr>
      <w:r>
        <w:rPr>
          <w:sz w:val="22"/>
          <w:szCs w:val="22"/>
        </w:rPr>
        <w:t>Uji multikolinieritas bertujuan untuk menguji model regresi ditemukan adanya korelasi antar variabel bebas (independen) atau tidak. Model regresi yang baik seharusnya tidak terjadi korelasi diantara variabel independen. Berikut ini adalah hasil uji multikolinearitas.</w:t>
      </w:r>
    </w:p>
    <w:p w14:paraId="046D5B32">
      <w:pPr>
        <w:pStyle w:val="21"/>
        <w:jc w:val="both"/>
        <w:rPr>
          <w:b/>
          <w:bCs/>
          <w:sz w:val="22"/>
          <w:szCs w:val="22"/>
        </w:rPr>
      </w:pPr>
      <w:r>
        <w:rPr>
          <w:b/>
          <w:bCs/>
          <w:sz w:val="22"/>
          <w:szCs w:val="22"/>
        </w:rPr>
        <w:t>Tabel 2. Uji Multikolinearitas</w:t>
      </w:r>
    </w:p>
    <w:tbl>
      <w:tblPr>
        <w:tblStyle w:val="25"/>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1"/>
        <w:gridCol w:w="886"/>
      </w:tblGrid>
      <w:tr w14:paraId="2E889B4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2"/>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8C73D55">
            <w:pPr>
              <w:autoSpaceDE w:val="0"/>
              <w:autoSpaceDN w:val="0"/>
              <w:adjustRightInd w:val="0"/>
              <w:spacing w:after="0" w:line="240" w:lineRule="auto"/>
              <w:ind w:left="60" w:right="60"/>
              <w:jc w:val="center"/>
              <w:rPr>
                <w:rFonts w:ascii="Arial" w:hAnsi="Arial" w:cs="Arial"/>
                <w:b/>
                <w:bCs/>
                <w:color w:val="000000" w:themeColor="text1"/>
                <w:kern w:val="0"/>
                <w:sz w:val="18"/>
                <w:szCs w:val="18"/>
                <w:lang w:val="zh-CN"/>
                <w14:textFill>
                  <w14:solidFill>
                    <w14:schemeClr w14:val="tx1"/>
                  </w14:solidFill>
                </w14:textFill>
                <w14:ligatures w14:val="standardContextual"/>
              </w:rPr>
            </w:pPr>
            <w:r>
              <w:rPr>
                <w:rFonts w:ascii="Arial" w:hAnsi="Arial" w:cs="Arial"/>
                <w:b/>
                <w:bCs/>
                <w:color w:val="000000" w:themeColor="text1"/>
                <w:kern w:val="0"/>
                <w:sz w:val="18"/>
                <w:szCs w:val="18"/>
                <w:lang w:val="zh-CN"/>
                <w14:textFill>
                  <w14:solidFill>
                    <w14:schemeClr w14:val="tx1"/>
                  </w14:solidFill>
                </w14:textFill>
                <w14:ligatures w14:val="standardContextual"/>
              </w:rPr>
              <w:t>Collinearity Statistics</w:t>
            </w:r>
          </w:p>
        </w:tc>
      </w:tr>
      <w:tr w14:paraId="766877A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left w:val="single" w:color="7E7E7E" w:themeColor="text1" w:themeTint="80" w:sz="4" w:space="0"/>
              <w:right w:val="single" w:color="7E7E7E" w:themeColor="text1" w:themeTint="80" w:sz="4" w:space="0"/>
              <w:insideV w:val="single" w:sz="4" w:space="0"/>
            </w:tcBorders>
          </w:tcPr>
          <w:p w14:paraId="49BAC65E">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Tolerance</w:t>
            </w:r>
          </w:p>
        </w:tc>
        <w:tc>
          <w:tcPr>
            <w:tcW w:w="0" w:type="auto"/>
            <w:tcBorders>
              <w:left w:val="single" w:color="7E7E7E" w:themeColor="text1" w:themeTint="80" w:sz="4" w:space="0"/>
              <w:right w:val="single" w:color="7E7E7E" w:themeColor="text1" w:themeTint="80" w:sz="4" w:space="0"/>
              <w:insideV w:val="single" w:sz="4" w:space="0"/>
            </w:tcBorders>
          </w:tcPr>
          <w:p w14:paraId="1D58E57C">
            <w:pPr>
              <w:autoSpaceDE w:val="0"/>
              <w:autoSpaceDN w:val="0"/>
              <w:adjustRightInd w:val="0"/>
              <w:spacing w:after="0" w:line="240" w:lineRule="auto"/>
              <w:ind w:left="60" w:right="60"/>
              <w:jc w:val="center"/>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VIF</w:t>
            </w:r>
          </w:p>
        </w:tc>
      </w:tr>
      <w:tr w14:paraId="6429560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20C2FE96">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3AD8DE4">
            <w:pPr>
              <w:autoSpaceDE w:val="0"/>
              <w:autoSpaceDN w:val="0"/>
              <w:adjustRightInd w:val="0"/>
              <w:spacing w:after="0" w:line="240" w:lineRule="auto"/>
              <w:rPr>
                <w:rFonts w:ascii="Times New Roman" w:hAnsi="Times New Roman" w:cs="Times New Roman"/>
                <w:color w:val="000000" w:themeColor="text1"/>
                <w:kern w:val="0"/>
                <w:sz w:val="18"/>
                <w:szCs w:val="18"/>
                <w:lang w:val="zh-CN"/>
                <w14:textFill>
                  <w14:solidFill>
                    <w14:schemeClr w14:val="tx1"/>
                  </w14:solidFill>
                </w14:textFill>
                <w14:ligatures w14:val="standardContextual"/>
              </w:rPr>
            </w:pPr>
          </w:p>
        </w:tc>
      </w:tr>
      <w:tr w14:paraId="0AFBD9D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left w:val="single" w:color="7E7E7E" w:themeColor="text1" w:themeTint="80" w:sz="4" w:space="0"/>
              <w:right w:val="single" w:color="7E7E7E" w:themeColor="text1" w:themeTint="80" w:sz="4" w:space="0"/>
              <w:insideV w:val="single" w:sz="4" w:space="0"/>
            </w:tcBorders>
          </w:tcPr>
          <w:p w14:paraId="20D5D0C4">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.422</w:t>
            </w:r>
          </w:p>
        </w:tc>
        <w:tc>
          <w:tcPr>
            <w:tcW w:w="0" w:type="auto"/>
            <w:tcBorders>
              <w:left w:val="single" w:color="7E7E7E" w:themeColor="text1" w:themeTint="80" w:sz="4" w:space="0"/>
              <w:right w:val="single" w:color="7E7E7E" w:themeColor="text1" w:themeTint="80" w:sz="4" w:space="0"/>
              <w:insideV w:val="single" w:sz="4" w:space="0"/>
            </w:tcBorders>
          </w:tcPr>
          <w:p w14:paraId="45B6A59A">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2.372</w:t>
            </w:r>
          </w:p>
        </w:tc>
      </w:tr>
      <w:tr w14:paraId="0523F039">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AE0DF39">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.422</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FE090E9">
            <w:pPr>
              <w:autoSpaceDE w:val="0"/>
              <w:autoSpaceDN w:val="0"/>
              <w:adjustRightInd w:val="0"/>
              <w:spacing w:after="0" w:line="240" w:lineRule="auto"/>
              <w:ind w:left="60" w:right="60"/>
              <w:jc w:val="right"/>
              <w:rPr>
                <w:rFonts w:ascii="Arial" w:hAnsi="Arial" w:cs="Arial"/>
                <w:color w:val="000000" w:themeColor="text1"/>
                <w:kern w:val="0"/>
                <w:sz w:val="18"/>
                <w:szCs w:val="18"/>
                <w:lang w:val="zh-CN"/>
                <w14:textFill>
                  <w14:solidFill>
                    <w14:schemeClr w14:val="tx1"/>
                  </w14:solidFill>
                </w14:textFill>
                <w14:ligatures w14:val="standardContextual"/>
              </w:rPr>
            </w:pPr>
            <w:r>
              <w:rPr>
                <w:rFonts w:ascii="Arial" w:hAnsi="Arial" w:cs="Arial"/>
                <w:color w:val="000000" w:themeColor="text1"/>
                <w:kern w:val="0"/>
                <w:sz w:val="18"/>
                <w:szCs w:val="18"/>
                <w:lang w:val="zh-CN"/>
                <w14:textFill>
                  <w14:solidFill>
                    <w14:schemeClr w14:val="tx1"/>
                  </w14:solidFill>
                </w14:textFill>
                <w14:ligatures w14:val="standardContextual"/>
              </w:rPr>
              <w:t>2.372</w:t>
            </w:r>
          </w:p>
        </w:tc>
      </w:tr>
    </w:tbl>
    <w:p w14:paraId="6728B9C0">
      <w:pPr>
        <w:pStyle w:val="21"/>
        <w:ind w:firstLine="284"/>
        <w:jc w:val="both"/>
        <w:rPr>
          <w:sz w:val="22"/>
          <w:szCs w:val="22"/>
        </w:rPr>
      </w:pPr>
      <w:r>
        <w:rPr>
          <w:sz w:val="22"/>
          <w:szCs w:val="22"/>
        </w:rPr>
        <w:t>(Sumber : data diolah penulis, 2026)</w:t>
      </w:r>
    </w:p>
    <w:p w14:paraId="206AE108">
      <w:pPr>
        <w:pStyle w:val="21"/>
        <w:ind w:firstLine="284"/>
        <w:jc w:val="both"/>
        <w:rPr>
          <w:sz w:val="22"/>
          <w:szCs w:val="22"/>
        </w:rPr>
      </w:pPr>
      <w:r>
        <w:rPr>
          <w:sz w:val="22"/>
          <w:szCs w:val="22"/>
        </w:rPr>
        <w:t>Berdasarkan hasil uji multikolinearitas pada Tabel 2, diketahui bahwa variabel Literasi Fintech dan Perilaku Budgeting masing-masing memiliki nilai Tolerance sebesar 0,422 dan VIF sebesar 2,372. Nilai tolerance yang lebih besar dari 0,10 serta nilai VIF yang lebih kecil dari 10 menunjukkan bahwa tidak terdapat hubungan yang kuat antar variabel independen. Dengan demikian, dapat disimpulkan bahwa model regresi tidak mengalami masalah multikolinearitas, sehingga variabel independen dapat digunakan secara bersama-sama dalam analisis regresi.</w:t>
      </w:r>
    </w:p>
    <w:p w14:paraId="798B0718">
      <w:pPr>
        <w:pStyle w:val="21"/>
        <w:ind w:firstLine="284"/>
        <w:jc w:val="both"/>
        <w:rPr>
          <w:sz w:val="22"/>
          <w:szCs w:val="22"/>
        </w:rPr>
      </w:pPr>
    </w:p>
    <w:p w14:paraId="3F47A10F">
      <w:pPr>
        <w:pStyle w:val="21"/>
        <w:jc w:val="both"/>
        <w:rPr>
          <w:b/>
          <w:bCs/>
          <w:sz w:val="22"/>
          <w:szCs w:val="22"/>
        </w:rPr>
      </w:pPr>
      <w:r>
        <w:rPr>
          <w:b/>
          <w:bCs/>
          <w:sz w:val="22"/>
          <w:szCs w:val="22"/>
        </w:rPr>
        <w:t>Uji Heterokedastisitas</w:t>
      </w:r>
    </w:p>
    <w:p w14:paraId="2E852CAF">
      <w:pPr>
        <w:pStyle w:val="21"/>
        <w:jc w:val="both"/>
        <w:rPr>
          <w:b/>
          <w:bCs/>
          <w:sz w:val="22"/>
          <w:szCs w:val="22"/>
        </w:rPr>
      </w:pPr>
    </w:p>
    <w:p w14:paraId="39FA9C48">
      <w:pPr>
        <w:pStyle w:val="21"/>
        <w:ind w:firstLine="284"/>
        <w:jc w:val="both"/>
        <w:rPr>
          <w:sz w:val="22"/>
          <w:szCs w:val="22"/>
        </w:rPr>
      </w:pPr>
      <w:r>
        <w:drawing>
          <wp:anchor distT="0" distB="0" distL="114300" distR="114300" simplePos="0" relativeHeight="251662336" behindDoc="0" locked="0" layoutInCell="1" allowOverlap="1">
            <wp:simplePos x="0" y="0"/>
            <wp:positionH relativeFrom="column">
              <wp:posOffset>-3810</wp:posOffset>
            </wp:positionH>
            <wp:positionV relativeFrom="paragraph">
              <wp:posOffset>1639570</wp:posOffset>
            </wp:positionV>
            <wp:extent cx="2565400" cy="1510665"/>
            <wp:effectExtent l="0" t="0" r="6350" b="0"/>
            <wp:wrapTopAndBottom/>
            <wp:docPr id="14493294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29438"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565400" cy="1510732"/>
                    </a:xfrm>
                    <a:prstGeom prst="rect">
                      <a:avLst/>
                    </a:prstGeom>
                    <a:noFill/>
                    <a:ln>
                      <a:noFill/>
                    </a:ln>
                  </pic:spPr>
                </pic:pic>
              </a:graphicData>
            </a:graphic>
          </wp:anchor>
        </w:drawing>
      </w:r>
      <w:r>
        <w:rPr>
          <w:sz w:val="22"/>
          <w:szCs w:val="22"/>
        </w:rPr>
        <w:t>Uji heterokedastisitas adalah pengujian asumsi klasik yang bertujuan untuk mengetahui apakah dalam model regresi terjadi ketidaksamaan varians residual dari satu pengamatan ke pengamatan lainnya. Model regresi yang baik mensyaratkan tidak terjadinya heterokedastisitas (homokedastisitas), yaitu varians residual yang konstan. Berikut ini adalah hasil uji heterokedastisitas.</w:t>
      </w:r>
    </w:p>
    <w:p w14:paraId="5BA09202">
      <w:pPr>
        <w:pStyle w:val="21"/>
        <w:ind w:firstLine="284"/>
        <w:jc w:val="both"/>
        <w:rPr>
          <w:sz w:val="22"/>
          <w:szCs w:val="22"/>
        </w:rPr>
      </w:pPr>
    </w:p>
    <w:p w14:paraId="1C530B45">
      <w:pPr>
        <w:pStyle w:val="21"/>
        <w:rPr>
          <w:b/>
          <w:bCs/>
          <w:sz w:val="22"/>
          <w:szCs w:val="22"/>
        </w:rPr>
      </w:pPr>
      <w:r>
        <w:rPr>
          <w:b/>
          <w:bCs/>
          <w:sz w:val="22"/>
          <w:szCs w:val="22"/>
        </w:rPr>
        <w:t>Gambar 1. Uji Heterokedastisitas</w:t>
      </w:r>
    </w:p>
    <w:p w14:paraId="38E414A2">
      <w:pPr>
        <w:pStyle w:val="21"/>
        <w:ind w:firstLine="284"/>
        <w:jc w:val="both"/>
        <w:rPr>
          <w:sz w:val="22"/>
          <w:szCs w:val="22"/>
        </w:rPr>
      </w:pPr>
      <w:r>
        <w:rPr>
          <w:sz w:val="22"/>
          <w:szCs w:val="22"/>
        </w:rPr>
        <w:t xml:space="preserve"> </w:t>
      </w:r>
    </w:p>
    <w:p w14:paraId="7255E1D3">
      <w:pPr>
        <w:pStyle w:val="21"/>
        <w:ind w:firstLine="284"/>
        <w:jc w:val="both"/>
        <w:rPr>
          <w:sz w:val="22"/>
          <w:szCs w:val="22"/>
        </w:rPr>
      </w:pPr>
      <w:r>
        <w:rPr>
          <w:sz w:val="22"/>
          <w:szCs w:val="22"/>
        </w:rPr>
        <w:t>Berdasarkan hasil uji heterokedastisitas yang ditunjukkan pada scatterplot diatas, terlihat bahwa titik-titik data menyebar secara acak di atas dan di bawah angka nol pada sumbu residual serta tidak membentuk pola tertentu, seperti pola mengerucut, melebar, atau bergelombang. Hal ini menunjukkan bahwa varians residual bersifat konstan. Dengan demikian, dapat disimpulkan bahwa tidak terjadi heterokedastisitas dalam model regresi, sehingga asumsi heterokedastisitas telah terpenuhi dan model layak digunakan untuk analisis lebih lanjut.</w:t>
      </w:r>
    </w:p>
    <w:p w14:paraId="63C56153">
      <w:pPr>
        <w:pStyle w:val="21"/>
        <w:ind w:firstLine="284"/>
        <w:jc w:val="both"/>
        <w:rPr>
          <w:sz w:val="22"/>
          <w:szCs w:val="22"/>
        </w:rPr>
      </w:pPr>
    </w:p>
    <w:p w14:paraId="263388CB">
      <w:pPr>
        <w:pStyle w:val="21"/>
        <w:jc w:val="both"/>
        <w:rPr>
          <w:b/>
          <w:bCs/>
          <w:sz w:val="22"/>
          <w:szCs w:val="22"/>
        </w:rPr>
      </w:pPr>
      <w:r>
        <w:rPr>
          <w:b/>
          <w:bCs/>
          <w:sz w:val="22"/>
          <w:szCs w:val="22"/>
        </w:rPr>
        <w:t>Analisis Regresi Linier Berganda</w:t>
      </w:r>
    </w:p>
    <w:p w14:paraId="27459E21">
      <w:pPr>
        <w:pStyle w:val="21"/>
        <w:jc w:val="both"/>
        <w:rPr>
          <w:b/>
          <w:bCs/>
          <w:sz w:val="22"/>
          <w:szCs w:val="22"/>
        </w:rPr>
      </w:pPr>
    </w:p>
    <w:p w14:paraId="22138CD8">
      <w:pPr>
        <w:pStyle w:val="21"/>
        <w:ind w:firstLine="284"/>
        <w:jc w:val="both"/>
        <w:rPr>
          <w:sz w:val="22"/>
          <w:szCs w:val="22"/>
        </w:rPr>
      </w:pPr>
      <w:r>
        <w:rPr>
          <w:sz w:val="22"/>
          <w:szCs w:val="22"/>
        </w:rPr>
        <w:t>Analisis regresi linier berganda merupakan regresi yang memiliki satu variabel dependen dan dua atau lebih variabel independen. Dalam penelitian ini model pengujian yang digunakan adalah analisis regresi linear berganda karena tujuan penelitian ini adalah untuk  menguji  kekuatan  hubungan  dan  menentukan  arah hubungan antara dua variabel bebas atau lebih. Berikut ini adalah hasil analisis regresi linier berganda.</w:t>
      </w:r>
    </w:p>
    <w:p w14:paraId="616C1835">
      <w:pPr>
        <w:pStyle w:val="21"/>
        <w:jc w:val="both"/>
        <w:rPr>
          <w:b/>
          <w:bCs/>
          <w:sz w:val="22"/>
          <w:szCs w:val="22"/>
        </w:rPr>
      </w:pPr>
      <w:r>
        <w:rPr>
          <w:b/>
          <w:bCs/>
          <w:sz w:val="22"/>
          <w:szCs w:val="22"/>
        </w:rPr>
        <w:t>Tabel 3. Analisis Regresi Linier Berganda</w:t>
      </w:r>
    </w:p>
    <w:tbl>
      <w:tblPr>
        <w:tblStyle w:val="25"/>
        <w:tblW w:w="0" w:type="auto"/>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
        <w:gridCol w:w="990"/>
        <w:gridCol w:w="687"/>
        <w:gridCol w:w="687"/>
        <w:gridCol w:w="1478"/>
      </w:tblGrid>
      <w:tr w14:paraId="194CB42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PrEx>
        <w:tc>
          <w:tcPr>
            <w:tcW w:w="4256" w:type="dxa"/>
            <w:gridSpan w:val="5"/>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5675C4C">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b/>
                <w:bCs/>
                <w:color w:val="000000" w:themeColor="text1"/>
                <w:kern w:val="0"/>
                <w:sz w:val="14"/>
                <w:szCs w:val="14"/>
                <w:lang w:val="zh-CN"/>
                <w14:textFill>
                  <w14:solidFill>
                    <w14:schemeClr w14:val="tx1"/>
                  </w14:solidFill>
                </w14:textFill>
                <w14:ligatures w14:val="standardContextual"/>
              </w:rPr>
              <w:t>Coefficients</w:t>
            </w:r>
            <w:r>
              <w:rPr>
                <w:rFonts w:ascii="Arial" w:hAnsi="Arial" w:cs="Arial"/>
                <w:b/>
                <w:bCs/>
                <w:color w:val="000000" w:themeColor="text1"/>
                <w:kern w:val="0"/>
                <w:sz w:val="14"/>
                <w:szCs w:val="14"/>
                <w:vertAlign w:val="superscript"/>
                <w:lang w:val="zh-CN"/>
                <w14:textFill>
                  <w14:solidFill>
                    <w14:schemeClr w14:val="tx1"/>
                  </w14:solidFill>
                </w14:textFill>
                <w14:ligatures w14:val="standardContextual"/>
              </w:rPr>
              <w:t>a</w:t>
            </w:r>
          </w:p>
        </w:tc>
      </w:tr>
      <w:tr w14:paraId="0A68D8C3">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2"/>
            <w:vMerge w:val="restart"/>
            <w:tcBorders>
              <w:left w:val="single" w:color="7E7E7E" w:themeColor="text1" w:themeTint="80" w:sz="4" w:space="0"/>
              <w:right w:val="single" w:color="7E7E7E" w:themeColor="text1" w:themeTint="80" w:sz="4" w:space="0"/>
              <w:insideV w:val="single" w:sz="4" w:space="0"/>
            </w:tcBorders>
          </w:tcPr>
          <w:p w14:paraId="2EA8801B">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Model</w:t>
            </w:r>
          </w:p>
        </w:tc>
        <w:tc>
          <w:tcPr>
            <w:tcW w:w="0" w:type="auto"/>
            <w:gridSpan w:val="2"/>
            <w:tcBorders>
              <w:left w:val="single" w:color="7E7E7E" w:themeColor="text1" w:themeTint="80" w:sz="4" w:space="0"/>
              <w:right w:val="single" w:color="7E7E7E" w:themeColor="text1" w:themeTint="80" w:sz="4" w:space="0"/>
              <w:insideV w:val="single" w:sz="4" w:space="0"/>
            </w:tcBorders>
          </w:tcPr>
          <w:p w14:paraId="11476547">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Unstandardized Coefficients</w:t>
            </w:r>
          </w:p>
        </w:tc>
        <w:tc>
          <w:tcPr>
            <w:tcW w:w="1478" w:type="dxa"/>
            <w:tcBorders>
              <w:left w:val="single" w:color="7E7E7E" w:themeColor="text1" w:themeTint="80" w:sz="4" w:space="0"/>
              <w:right w:val="single" w:color="7E7E7E" w:themeColor="text1" w:themeTint="80" w:sz="4" w:space="0"/>
              <w:insideV w:val="single" w:sz="4" w:space="0"/>
            </w:tcBorders>
          </w:tcPr>
          <w:p w14:paraId="7B05039F">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Standardized Coefficients</w:t>
            </w:r>
          </w:p>
        </w:tc>
      </w:tr>
      <w:tr w14:paraId="1B6B11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gridSpan w:val="2"/>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735056D3">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C1FE060">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B</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DEFA94E">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Std. Error</w:t>
            </w:r>
          </w:p>
        </w:tc>
        <w:tc>
          <w:tcPr>
            <w:tcW w:w="1478"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E3ED481">
            <w:pPr>
              <w:autoSpaceDE w:val="0"/>
              <w:autoSpaceDN w:val="0"/>
              <w:adjustRightInd w:val="0"/>
              <w:spacing w:after="0" w:line="240" w:lineRule="auto"/>
              <w:ind w:left="60" w:right="60"/>
              <w:jc w:val="center"/>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Beta</w:t>
            </w:r>
          </w:p>
        </w:tc>
      </w:tr>
      <w:tr w14:paraId="48E2A05D">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left w:val="single" w:color="7E7E7E" w:themeColor="text1" w:themeTint="80" w:sz="4" w:space="0"/>
              <w:right w:val="single" w:color="7E7E7E" w:themeColor="text1" w:themeTint="80" w:sz="4" w:space="0"/>
              <w:insideV w:val="single" w:sz="4" w:space="0"/>
            </w:tcBorders>
          </w:tcPr>
          <w:p w14:paraId="757A4F20">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1</w:t>
            </w:r>
          </w:p>
        </w:tc>
        <w:tc>
          <w:tcPr>
            <w:tcW w:w="0" w:type="auto"/>
            <w:tcBorders>
              <w:left w:val="single" w:color="7E7E7E" w:themeColor="text1" w:themeTint="80" w:sz="4" w:space="0"/>
              <w:right w:val="single" w:color="7E7E7E" w:themeColor="text1" w:themeTint="80" w:sz="4" w:space="0"/>
              <w:insideV w:val="single" w:sz="4" w:space="0"/>
            </w:tcBorders>
          </w:tcPr>
          <w:p w14:paraId="703A874B">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(Constant)</w:t>
            </w:r>
          </w:p>
        </w:tc>
        <w:tc>
          <w:tcPr>
            <w:tcW w:w="0" w:type="auto"/>
            <w:tcBorders>
              <w:left w:val="single" w:color="7E7E7E" w:themeColor="text1" w:themeTint="80" w:sz="4" w:space="0"/>
              <w:right w:val="single" w:color="7E7E7E" w:themeColor="text1" w:themeTint="80" w:sz="4" w:space="0"/>
              <w:insideV w:val="single" w:sz="4" w:space="0"/>
            </w:tcBorders>
          </w:tcPr>
          <w:p w14:paraId="10652E14">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-1.389</w:t>
            </w:r>
          </w:p>
        </w:tc>
        <w:tc>
          <w:tcPr>
            <w:tcW w:w="0" w:type="auto"/>
            <w:tcBorders>
              <w:left w:val="single" w:color="7E7E7E" w:themeColor="text1" w:themeTint="80" w:sz="4" w:space="0"/>
              <w:right w:val="single" w:color="7E7E7E" w:themeColor="text1" w:themeTint="80" w:sz="4" w:space="0"/>
              <w:insideV w:val="single" w:sz="4" w:space="0"/>
            </w:tcBorders>
          </w:tcPr>
          <w:p w14:paraId="14A5630D">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2.898</w:t>
            </w:r>
          </w:p>
        </w:tc>
        <w:tc>
          <w:tcPr>
            <w:tcW w:w="1478" w:type="dxa"/>
            <w:tcBorders>
              <w:left w:val="single" w:color="7E7E7E" w:themeColor="text1" w:themeTint="80" w:sz="4" w:space="0"/>
              <w:right w:val="single" w:color="7E7E7E" w:themeColor="text1" w:themeTint="80" w:sz="4" w:space="0"/>
              <w:insideV w:val="single" w:sz="4" w:space="0"/>
            </w:tcBorders>
          </w:tcPr>
          <w:p w14:paraId="27D59C87">
            <w:pPr>
              <w:autoSpaceDE w:val="0"/>
              <w:autoSpaceDN w:val="0"/>
              <w:adjustRightInd w:val="0"/>
              <w:spacing w:after="0" w:line="240" w:lineRule="auto"/>
              <w:rPr>
                <w:rFonts w:ascii="Times New Roman" w:hAnsi="Times New Roman" w:cs="Times New Roman"/>
                <w:color w:val="000000" w:themeColor="text1"/>
                <w:kern w:val="0"/>
                <w:sz w:val="14"/>
                <w:szCs w:val="14"/>
                <w:lang w:val="zh-CN"/>
                <w14:textFill>
                  <w14:solidFill>
                    <w14:schemeClr w14:val="tx1"/>
                  </w14:solidFill>
                </w14:textFill>
                <w14:ligatures w14:val="standardContextual"/>
              </w:rPr>
            </w:pPr>
          </w:p>
        </w:tc>
      </w:tr>
      <w:tr w14:paraId="2AEBBB4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92EE7E7">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78353C5">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Literasi Fintech</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4319803">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.266</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DA1970F">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.084</w:t>
            </w:r>
          </w:p>
        </w:tc>
        <w:tc>
          <w:tcPr>
            <w:tcW w:w="1478" w:type="dxa"/>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B2D10D7">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.217</w:t>
            </w:r>
          </w:p>
        </w:tc>
      </w:tr>
      <w:tr w14:paraId="2957692E">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left w:val="single" w:color="7E7E7E" w:themeColor="text1" w:themeTint="80" w:sz="4" w:space="0"/>
              <w:right w:val="single" w:color="7E7E7E" w:themeColor="text1" w:themeTint="80" w:sz="4" w:space="0"/>
              <w:insideV w:val="single" w:sz="4" w:space="0"/>
            </w:tcBorders>
          </w:tcPr>
          <w:p w14:paraId="307C9552">
            <w:pPr>
              <w:autoSpaceDE w:val="0"/>
              <w:autoSpaceDN w:val="0"/>
              <w:adjustRightInd w:val="0"/>
              <w:spacing w:after="0" w:line="240" w:lineRule="auto"/>
              <w:rPr>
                <w:rFonts w:ascii="Arial" w:hAnsi="Arial" w:cs="Arial"/>
                <w:color w:val="000000" w:themeColor="text1"/>
                <w:kern w:val="0"/>
                <w:sz w:val="14"/>
                <w:szCs w:val="14"/>
                <w:lang w:val="zh-CN"/>
                <w14:textFill>
                  <w14:solidFill>
                    <w14:schemeClr w14:val="tx1"/>
                  </w14:solidFill>
                </w14:textFill>
                <w14:ligatures w14:val="standardContextual"/>
              </w:rPr>
            </w:pPr>
          </w:p>
        </w:tc>
        <w:tc>
          <w:tcPr>
            <w:tcW w:w="0" w:type="auto"/>
            <w:tcBorders>
              <w:left w:val="single" w:color="7E7E7E" w:themeColor="text1" w:themeTint="80" w:sz="4" w:space="0"/>
              <w:right w:val="single" w:color="7E7E7E" w:themeColor="text1" w:themeTint="80" w:sz="4" w:space="0"/>
              <w:insideV w:val="single" w:sz="4" w:space="0"/>
            </w:tcBorders>
          </w:tcPr>
          <w:p w14:paraId="36792E4D">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Perilaku Budgeting</w:t>
            </w:r>
          </w:p>
        </w:tc>
        <w:tc>
          <w:tcPr>
            <w:tcW w:w="0" w:type="auto"/>
            <w:tcBorders>
              <w:left w:val="single" w:color="7E7E7E" w:themeColor="text1" w:themeTint="80" w:sz="4" w:space="0"/>
              <w:right w:val="single" w:color="7E7E7E" w:themeColor="text1" w:themeTint="80" w:sz="4" w:space="0"/>
              <w:insideV w:val="single" w:sz="4" w:space="0"/>
            </w:tcBorders>
          </w:tcPr>
          <w:p w14:paraId="61F20CB3">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.762</w:t>
            </w:r>
          </w:p>
        </w:tc>
        <w:tc>
          <w:tcPr>
            <w:tcW w:w="0" w:type="auto"/>
            <w:tcBorders>
              <w:left w:val="single" w:color="7E7E7E" w:themeColor="text1" w:themeTint="80" w:sz="4" w:space="0"/>
              <w:right w:val="single" w:color="7E7E7E" w:themeColor="text1" w:themeTint="80" w:sz="4" w:space="0"/>
              <w:insideV w:val="single" w:sz="4" w:space="0"/>
            </w:tcBorders>
          </w:tcPr>
          <w:p w14:paraId="1DDE08DE">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.070</w:t>
            </w:r>
          </w:p>
        </w:tc>
        <w:tc>
          <w:tcPr>
            <w:tcW w:w="1478" w:type="dxa"/>
            <w:tcBorders>
              <w:left w:val="single" w:color="7E7E7E" w:themeColor="text1" w:themeTint="80" w:sz="4" w:space="0"/>
              <w:right w:val="single" w:color="7E7E7E" w:themeColor="text1" w:themeTint="80" w:sz="4" w:space="0"/>
              <w:insideV w:val="single" w:sz="4" w:space="0"/>
            </w:tcBorders>
          </w:tcPr>
          <w:p w14:paraId="6A06FE51">
            <w:pPr>
              <w:autoSpaceDE w:val="0"/>
              <w:autoSpaceDN w:val="0"/>
              <w:adjustRightInd w:val="0"/>
              <w:spacing w:after="0" w:line="240" w:lineRule="auto"/>
              <w:ind w:left="60" w:right="60"/>
              <w:jc w:val="right"/>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.750</w:t>
            </w:r>
          </w:p>
        </w:tc>
      </w:tr>
      <w:tr w14:paraId="32EADDF1">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6" w:type="dxa"/>
            <w:gridSpan w:val="5"/>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96AD7F0">
            <w:pPr>
              <w:autoSpaceDE w:val="0"/>
              <w:autoSpaceDN w:val="0"/>
              <w:adjustRightInd w:val="0"/>
              <w:spacing w:after="0" w:line="240" w:lineRule="auto"/>
              <w:ind w:left="60" w:right="60"/>
              <w:rPr>
                <w:rFonts w:ascii="Arial" w:hAnsi="Arial" w:cs="Arial"/>
                <w:color w:val="000000" w:themeColor="text1"/>
                <w:kern w:val="0"/>
                <w:sz w:val="14"/>
                <w:szCs w:val="14"/>
                <w:lang w:val="zh-CN"/>
                <w14:textFill>
                  <w14:solidFill>
                    <w14:schemeClr w14:val="tx1"/>
                  </w14:solidFill>
                </w14:textFill>
                <w14:ligatures w14:val="standardContextual"/>
              </w:rPr>
            </w:pPr>
            <w:r>
              <w:rPr>
                <w:rFonts w:ascii="Arial" w:hAnsi="Arial" w:cs="Arial"/>
                <w:color w:val="000000" w:themeColor="text1"/>
                <w:kern w:val="0"/>
                <w:sz w:val="14"/>
                <w:szCs w:val="14"/>
                <w:lang w:val="zh-CN"/>
                <w14:textFill>
                  <w14:solidFill>
                    <w14:schemeClr w14:val="tx1"/>
                  </w14:solidFill>
                </w14:textFill>
                <w14:ligatures w14:val="standardContextual"/>
              </w:rPr>
              <w:t>a. Dependent Variable: Kesejahteraan Keuangan</w:t>
            </w:r>
          </w:p>
        </w:tc>
      </w:tr>
    </w:tbl>
    <w:p w14:paraId="64E3EFAD">
      <w:pPr>
        <w:pStyle w:val="21"/>
        <w:jc w:val="both"/>
        <w:rPr>
          <w:sz w:val="22"/>
          <w:szCs w:val="22"/>
        </w:rPr>
      </w:pPr>
      <w:r>
        <w:rPr>
          <w:sz w:val="22"/>
          <w:szCs w:val="22"/>
        </w:rPr>
        <w:t>(Sumber : data diolah penulis, 2026)</w:t>
      </w:r>
    </w:p>
    <w:p w14:paraId="176E9C63">
      <w:pPr>
        <w:pStyle w:val="21"/>
        <w:ind w:firstLine="284"/>
        <w:jc w:val="both"/>
        <w:rPr>
          <w:sz w:val="22"/>
          <w:szCs w:val="22"/>
        </w:rPr>
      </w:pPr>
      <w:r>
        <w:rPr>
          <w:sz w:val="22"/>
          <w:szCs w:val="22"/>
        </w:rPr>
        <w:t xml:space="preserve">Berdasarkan hasil analisis regresi linier berganda pada Tabel 4.6, diperoleh persamaan regresi sebagai berikut : </w:t>
      </w:r>
    </w:p>
    <w:p w14:paraId="097241F5">
      <w:pPr>
        <w:pStyle w:val="21"/>
        <w:jc w:val="center"/>
        <w:rPr>
          <w:b/>
          <w:bCs/>
          <w:sz w:val="22"/>
          <w:szCs w:val="22"/>
        </w:rPr>
      </w:pPr>
      <w:r>
        <w:rPr>
          <w:b/>
          <w:bCs/>
          <w:sz w:val="22"/>
          <w:szCs w:val="22"/>
        </w:rPr>
        <w:t>Kesejahteraan Keuangan (Y) = –1,389 + 0,266 X1 + 0,762 X2 + e.</w:t>
      </w:r>
    </w:p>
    <w:p w14:paraId="7F590C1F">
      <w:pPr>
        <w:pStyle w:val="21"/>
        <w:ind w:firstLine="284"/>
        <w:jc w:val="both"/>
        <w:rPr>
          <w:sz w:val="22"/>
          <w:szCs w:val="22"/>
        </w:rPr>
      </w:pPr>
      <w:r>
        <w:rPr>
          <w:sz w:val="22"/>
          <w:szCs w:val="22"/>
        </w:rPr>
        <w:t>Berdasarkan pada persamaan tersebut, diintrepretasikan hasil sebagai berikut :</w:t>
      </w:r>
    </w:p>
    <w:p w14:paraId="0A868A8E">
      <w:pPr>
        <w:pStyle w:val="21"/>
        <w:ind w:firstLine="284"/>
        <w:jc w:val="both"/>
        <w:rPr>
          <w:sz w:val="22"/>
          <w:szCs w:val="22"/>
        </w:rPr>
      </w:pPr>
      <w:r>
        <w:rPr>
          <w:sz w:val="22"/>
          <w:szCs w:val="22"/>
        </w:rPr>
        <w:t xml:space="preserve">Nilai konstanta sebesar –1,389 mengindikasikan bahwa apabila Literasi Fintech dan Perilaku Budgeting bernilai nol, maka Kesejahteraan Keuangan berada pada nilai –1,389. </w:t>
      </w:r>
      <w:r>
        <w:rPr>
          <w:sz w:val="22"/>
          <w:szCs w:val="22"/>
        </w:rPr>
        <w:tab/>
      </w:r>
    </w:p>
    <w:p w14:paraId="3E13E0AB">
      <w:pPr>
        <w:pStyle w:val="21"/>
        <w:ind w:firstLine="284"/>
        <w:jc w:val="both"/>
        <w:rPr>
          <w:sz w:val="22"/>
          <w:szCs w:val="22"/>
        </w:rPr>
      </w:pPr>
      <w:r>
        <w:rPr>
          <w:sz w:val="22"/>
          <w:szCs w:val="22"/>
        </w:rPr>
        <w:t>Koefisien regresi Literasi Fintech sebesar 0,266 menunjukkan arah hubungan yang positif, yang berarti apabila Literasi Fintech meningkat sebesar satu-satuan, maka akan meningkatkan Kesejahteraan Keuangan sebesar 0,266 dengan asumsi variabel lainnya tetap.</w:t>
      </w:r>
    </w:p>
    <w:p w14:paraId="1B9EE594">
      <w:pPr>
        <w:pStyle w:val="21"/>
        <w:ind w:firstLine="284"/>
        <w:jc w:val="both"/>
        <w:rPr>
          <w:sz w:val="22"/>
          <w:szCs w:val="22"/>
        </w:rPr>
      </w:pPr>
      <w:r>
        <w:rPr>
          <w:sz w:val="22"/>
          <w:szCs w:val="22"/>
        </w:rPr>
        <w:t>Koefisien regresi Perilaku Budgeting sebesar 0,762 menunjukkan arah hubungan yang positif, yang berarti apabila Perilaku Budgeting meningkat sebesar satu-satuan, maka akan meningkatkan Kesejahteraan Keuangan sebesar 0,762 dengan asumsi variabel lainnya tetap.</w:t>
      </w:r>
    </w:p>
    <w:p w14:paraId="39DA0FFF">
      <w:pPr>
        <w:pStyle w:val="21"/>
        <w:ind w:firstLine="284"/>
        <w:jc w:val="both"/>
        <w:rPr>
          <w:b/>
          <w:bCs/>
          <w:sz w:val="22"/>
          <w:szCs w:val="22"/>
        </w:rPr>
      </w:pPr>
    </w:p>
    <w:p w14:paraId="2974D2A4">
      <w:pPr>
        <w:pStyle w:val="21"/>
        <w:jc w:val="both"/>
        <w:rPr>
          <w:b/>
          <w:bCs/>
          <w:sz w:val="22"/>
          <w:szCs w:val="22"/>
        </w:rPr>
      </w:pPr>
      <w:r>
        <w:rPr>
          <w:b/>
          <w:bCs/>
          <w:sz w:val="22"/>
          <w:szCs w:val="22"/>
        </w:rPr>
        <w:t>Hasil Uji Signifikansi Simultan</w:t>
      </w:r>
    </w:p>
    <w:p w14:paraId="089DC81F">
      <w:pPr>
        <w:pStyle w:val="21"/>
        <w:ind w:firstLine="284"/>
        <w:jc w:val="both"/>
        <w:rPr>
          <w:sz w:val="22"/>
          <w:szCs w:val="22"/>
        </w:rPr>
      </w:pPr>
    </w:p>
    <w:p w14:paraId="7A04FBDE">
      <w:pPr>
        <w:pStyle w:val="21"/>
        <w:jc w:val="both"/>
        <w:rPr>
          <w:b/>
          <w:bCs/>
          <w:sz w:val="22"/>
          <w:szCs w:val="22"/>
        </w:rPr>
      </w:pPr>
      <w:r>
        <w:rPr>
          <w:b/>
          <w:bCs/>
          <w:sz w:val="22"/>
          <w:szCs w:val="22"/>
        </w:rPr>
        <w:t>Tabel 4. Hasil Uji Simultan</w:t>
      </w:r>
    </w:p>
    <w:tbl>
      <w:tblPr>
        <w:tblStyle w:val="25"/>
        <w:tblW w:w="2182" w:type="pct"/>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9"/>
        <w:gridCol w:w="798"/>
      </w:tblGrid>
      <w:tr w14:paraId="0491BBB2">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B6A0E1A">
            <w:pPr>
              <w:autoSpaceDE w:val="0"/>
              <w:autoSpaceDN w:val="0"/>
              <w:adjustRightInd w:val="0"/>
              <w:spacing w:after="0" w:line="240" w:lineRule="auto"/>
              <w:ind w:left="60" w:right="60"/>
              <w:jc w:val="center"/>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F</w:t>
            </w:r>
          </w:p>
        </w:tc>
        <w:tc>
          <w:tcPr>
            <w:tcW w:w="2149" w:type="pct"/>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5EABEC36">
            <w:pPr>
              <w:autoSpaceDE w:val="0"/>
              <w:autoSpaceDN w:val="0"/>
              <w:adjustRightInd w:val="0"/>
              <w:spacing w:after="0" w:line="240" w:lineRule="auto"/>
              <w:ind w:left="60" w:right="60"/>
              <w:jc w:val="center"/>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Sig.</w:t>
            </w:r>
          </w:p>
        </w:tc>
      </w:tr>
      <w:tr w14:paraId="45A32098">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51" w:type="pct"/>
            <w:tcBorders>
              <w:left w:val="single" w:color="7E7E7E" w:themeColor="text1" w:themeTint="80" w:sz="4" w:space="0"/>
              <w:right w:val="single" w:color="7E7E7E" w:themeColor="text1" w:themeTint="80" w:sz="4" w:space="0"/>
              <w:insideV w:val="single" w:sz="4" w:space="0"/>
            </w:tcBorders>
          </w:tcPr>
          <w:p w14:paraId="2E2BA605">
            <w:pPr>
              <w:autoSpaceDE w:val="0"/>
              <w:autoSpaceDN w:val="0"/>
              <w:adjustRightInd w:val="0"/>
              <w:spacing w:after="0" w:line="240" w:lineRule="auto"/>
              <w:ind w:left="60" w:right="60"/>
              <w:jc w:val="right"/>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216.358</w:t>
            </w:r>
          </w:p>
        </w:tc>
        <w:tc>
          <w:tcPr>
            <w:tcW w:w="2149" w:type="pct"/>
            <w:tcBorders>
              <w:left w:val="single" w:color="7E7E7E" w:themeColor="text1" w:themeTint="80" w:sz="4" w:space="0"/>
              <w:right w:val="single" w:color="7E7E7E" w:themeColor="text1" w:themeTint="80" w:sz="4" w:space="0"/>
              <w:insideV w:val="single" w:sz="4" w:space="0"/>
            </w:tcBorders>
          </w:tcPr>
          <w:p w14:paraId="5B8CDA64">
            <w:pPr>
              <w:autoSpaceDE w:val="0"/>
              <w:autoSpaceDN w:val="0"/>
              <w:adjustRightInd w:val="0"/>
              <w:spacing w:after="0" w:line="240" w:lineRule="auto"/>
              <w:ind w:left="60" w:right="60"/>
              <w:jc w:val="right"/>
              <w:rPr>
                <w:rFonts w:ascii="Arial" w:hAnsi="Arial" w:cs="Arial"/>
                <w:color w:val="000000" w:themeColor="text1"/>
                <w:kern w:val="0"/>
                <w:sz w:val="20"/>
                <w:szCs w:val="20"/>
                <w:lang w:val="zh-CN"/>
                <w14:textFill>
                  <w14:solidFill>
                    <w14:schemeClr w14:val="tx1"/>
                  </w14:solidFill>
                </w14:textFill>
                <w14:ligatures w14:val="standardContextual"/>
              </w:rPr>
            </w:pPr>
            <w:r>
              <w:rPr>
                <w:rFonts w:ascii="Arial" w:hAnsi="Arial" w:cs="Arial"/>
                <w:color w:val="000000" w:themeColor="text1"/>
                <w:kern w:val="0"/>
                <w:sz w:val="20"/>
                <w:szCs w:val="20"/>
                <w:lang w:val="zh-CN"/>
                <w14:textFill>
                  <w14:solidFill>
                    <w14:schemeClr w14:val="tx1"/>
                  </w14:solidFill>
                </w14:textFill>
                <w14:ligatures w14:val="standardContextual"/>
              </w:rPr>
              <w:t>.000</w:t>
            </w:r>
            <w:r>
              <w:rPr>
                <w:rFonts w:ascii="Arial" w:hAnsi="Arial" w:cs="Arial"/>
                <w:color w:val="000000" w:themeColor="text1"/>
                <w:kern w:val="0"/>
                <w:sz w:val="20"/>
                <w:szCs w:val="20"/>
                <w:vertAlign w:val="superscript"/>
                <w:lang w:val="zh-CN"/>
                <w14:textFill>
                  <w14:solidFill>
                    <w14:schemeClr w14:val="tx1"/>
                  </w14:solidFill>
                </w14:textFill>
                <w14:ligatures w14:val="standardContextual"/>
              </w:rPr>
              <w:t>b</w:t>
            </w:r>
          </w:p>
        </w:tc>
      </w:tr>
    </w:tbl>
    <w:p w14:paraId="32D29ACB">
      <w:pPr>
        <w:pStyle w:val="21"/>
        <w:ind w:firstLine="284"/>
        <w:jc w:val="both"/>
        <w:rPr>
          <w:sz w:val="22"/>
          <w:szCs w:val="22"/>
        </w:rPr>
      </w:pPr>
      <w:r>
        <w:rPr>
          <w:sz w:val="22"/>
          <w:szCs w:val="22"/>
        </w:rPr>
        <w:t>(Sumber : data diolah penulis, 2026)</w:t>
      </w:r>
    </w:p>
    <w:p w14:paraId="54893C88">
      <w:pPr>
        <w:pStyle w:val="21"/>
        <w:ind w:firstLine="284"/>
        <w:jc w:val="both"/>
        <w:rPr>
          <w:sz w:val="22"/>
          <w:szCs w:val="22"/>
        </w:rPr>
      </w:pPr>
      <w:r>
        <w:rPr>
          <w:sz w:val="22"/>
          <w:szCs w:val="22"/>
        </w:rPr>
        <w:t>Berdasarkan hasil uji simultan (uji F) pada Tabel 4, diperoleh nilai F hitung sebesar 216,358 dengan tingkat signifikansi 0,000 (&lt; 0,05). Hasil ini menunjukkan bahwa Literasi Fintech dan Perilaku Budgeting secara simultan berpengaruh signifikan terhadap Kesejahteraan Keuangan. Dengan demikian, model regresi linier berganda yang digunakan dalam penelitian ini dinyatakan layak (fit) untuk menjelaskan hubungan antara variabel independen dan variabel dependen, sehingga hipotesis yang menyatakan bahwa Literasi Fintech dan Perilaku Budgeting secara bersama-sama berpengaruh terhadap Kesejahteraan Keuangan dapat diterima.</w:t>
      </w:r>
    </w:p>
    <w:p w14:paraId="41D97D2C">
      <w:pPr>
        <w:pStyle w:val="21"/>
        <w:ind w:firstLine="284"/>
        <w:jc w:val="both"/>
        <w:rPr>
          <w:sz w:val="22"/>
          <w:szCs w:val="22"/>
        </w:rPr>
      </w:pPr>
    </w:p>
    <w:p w14:paraId="2FE3FEA1">
      <w:pPr>
        <w:pStyle w:val="21"/>
        <w:jc w:val="both"/>
        <w:rPr>
          <w:b/>
          <w:bCs/>
          <w:sz w:val="22"/>
          <w:szCs w:val="22"/>
        </w:rPr>
      </w:pPr>
      <w:r>
        <w:rPr>
          <w:b/>
          <w:bCs/>
          <w:sz w:val="22"/>
          <w:szCs w:val="22"/>
        </w:rPr>
        <w:t>Hasil Uji Signifikansi Parsial</w:t>
      </w:r>
    </w:p>
    <w:p w14:paraId="12F38EE7">
      <w:pPr>
        <w:pStyle w:val="21"/>
        <w:jc w:val="both"/>
        <w:rPr>
          <w:b/>
          <w:bCs/>
          <w:sz w:val="22"/>
          <w:szCs w:val="22"/>
        </w:rPr>
      </w:pPr>
    </w:p>
    <w:p w14:paraId="57E25734">
      <w:pPr>
        <w:pStyle w:val="21"/>
        <w:jc w:val="both"/>
        <w:rPr>
          <w:b/>
          <w:bCs/>
          <w:sz w:val="22"/>
          <w:szCs w:val="22"/>
        </w:rPr>
      </w:pPr>
      <w:r>
        <w:rPr>
          <w:b/>
          <w:bCs/>
          <w:sz w:val="22"/>
          <w:szCs w:val="22"/>
        </w:rPr>
        <w:t>Tabel 5. Hasil Uji Parsial</w:t>
      </w:r>
    </w:p>
    <w:tbl>
      <w:tblPr>
        <w:tblStyle w:val="25"/>
        <w:tblW w:w="0" w:type="auto"/>
        <w:jc w:val="center"/>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4"/>
        <w:gridCol w:w="1795"/>
        <w:gridCol w:w="883"/>
        <w:gridCol w:w="692"/>
      </w:tblGrid>
      <w:tr w14:paraId="644AC1D4">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4"/>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5E1035C">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b/>
                <w:bCs/>
                <w:color w:val="000000" w:themeColor="text1"/>
                <w:kern w:val="0"/>
                <w:sz w:val="16"/>
                <w:szCs w:val="16"/>
                <w:lang w:val="zh-CN"/>
                <w14:textFill>
                  <w14:solidFill>
                    <w14:schemeClr w14:val="tx1"/>
                  </w14:solidFill>
                </w14:textFill>
                <w14:ligatures w14:val="standardContextual"/>
              </w:rPr>
              <w:t>Coefficients</w:t>
            </w:r>
            <w:r>
              <w:rPr>
                <w:rFonts w:ascii="Arial" w:hAnsi="Arial" w:cs="Arial"/>
                <w:b/>
                <w:bCs/>
                <w:color w:val="000000" w:themeColor="text1"/>
                <w:kern w:val="0"/>
                <w:sz w:val="16"/>
                <w:szCs w:val="16"/>
                <w:vertAlign w:val="superscript"/>
                <w:lang w:val="zh-CN"/>
                <w14:textFill>
                  <w14:solidFill>
                    <w14:schemeClr w14:val="tx1"/>
                  </w14:solidFill>
                </w14:textFill>
                <w14:ligatures w14:val="standardContextual"/>
              </w:rPr>
              <w:t>a</w:t>
            </w:r>
          </w:p>
        </w:tc>
      </w:tr>
      <w:tr w14:paraId="619C4CAA">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0" w:type="auto"/>
            <w:gridSpan w:val="2"/>
            <w:vMerge w:val="restart"/>
            <w:tcBorders>
              <w:left w:val="single" w:color="7E7E7E" w:themeColor="text1" w:themeTint="80" w:sz="4" w:space="0"/>
              <w:right w:val="single" w:color="7E7E7E" w:themeColor="text1" w:themeTint="80" w:sz="4" w:space="0"/>
              <w:insideV w:val="single" w:sz="4" w:space="0"/>
            </w:tcBorders>
          </w:tcPr>
          <w:p w14:paraId="22FAC0F4">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Model</w:t>
            </w:r>
          </w:p>
        </w:tc>
        <w:tc>
          <w:tcPr>
            <w:tcW w:w="0" w:type="auto"/>
            <w:vMerge w:val="restart"/>
            <w:tcBorders>
              <w:left w:val="single" w:color="7E7E7E" w:themeColor="text1" w:themeTint="80" w:sz="4" w:space="0"/>
              <w:right w:val="single" w:color="7E7E7E" w:themeColor="text1" w:themeTint="80" w:sz="4" w:space="0"/>
              <w:insideV w:val="single" w:sz="4" w:space="0"/>
            </w:tcBorders>
          </w:tcPr>
          <w:p w14:paraId="08C90971">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t</w:t>
            </w:r>
          </w:p>
        </w:tc>
        <w:tc>
          <w:tcPr>
            <w:tcW w:w="0" w:type="auto"/>
            <w:vMerge w:val="restart"/>
            <w:tcBorders>
              <w:left w:val="single" w:color="7E7E7E" w:themeColor="text1" w:themeTint="80" w:sz="4" w:space="0"/>
              <w:right w:val="single" w:color="7E7E7E" w:themeColor="text1" w:themeTint="80" w:sz="4" w:space="0"/>
              <w:insideV w:val="single" w:sz="4" w:space="0"/>
            </w:tcBorders>
          </w:tcPr>
          <w:p w14:paraId="237BDB64">
            <w:pPr>
              <w:autoSpaceDE w:val="0"/>
              <w:autoSpaceDN w:val="0"/>
              <w:adjustRightInd w:val="0"/>
              <w:spacing w:after="0" w:line="240" w:lineRule="auto"/>
              <w:ind w:left="60" w:right="60"/>
              <w:jc w:val="center"/>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Sig.</w:t>
            </w:r>
          </w:p>
        </w:tc>
      </w:tr>
      <w:tr w14:paraId="09241A25">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7" w:hRule="atLeast"/>
          <w:jc w:val="center"/>
        </w:trPr>
        <w:tc>
          <w:tcPr>
            <w:tcW w:w="0" w:type="auto"/>
            <w:gridSpan w:val="2"/>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435FE95">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66747863">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D3B5B23">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r>
      <w:tr w14:paraId="31E41337">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restart"/>
            <w:tcBorders>
              <w:left w:val="single" w:color="7E7E7E" w:themeColor="text1" w:themeTint="80" w:sz="4" w:space="0"/>
              <w:right w:val="single" w:color="7E7E7E" w:themeColor="text1" w:themeTint="80" w:sz="4" w:space="0"/>
              <w:insideV w:val="single" w:sz="4" w:space="0"/>
            </w:tcBorders>
          </w:tcPr>
          <w:p w14:paraId="490BBB68">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1</w:t>
            </w:r>
          </w:p>
        </w:tc>
        <w:tc>
          <w:tcPr>
            <w:tcW w:w="0" w:type="auto"/>
            <w:tcBorders>
              <w:left w:val="single" w:color="7E7E7E" w:themeColor="text1" w:themeTint="80" w:sz="4" w:space="0"/>
              <w:right w:val="single" w:color="7E7E7E" w:themeColor="text1" w:themeTint="80" w:sz="4" w:space="0"/>
              <w:insideV w:val="single" w:sz="4" w:space="0"/>
            </w:tcBorders>
          </w:tcPr>
          <w:p w14:paraId="622166F0">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(Constant)</w:t>
            </w:r>
          </w:p>
        </w:tc>
        <w:tc>
          <w:tcPr>
            <w:tcW w:w="0" w:type="auto"/>
            <w:tcBorders>
              <w:left w:val="single" w:color="7E7E7E" w:themeColor="text1" w:themeTint="80" w:sz="4" w:space="0"/>
              <w:right w:val="single" w:color="7E7E7E" w:themeColor="text1" w:themeTint="80" w:sz="4" w:space="0"/>
              <w:insideV w:val="single" w:sz="4" w:space="0"/>
            </w:tcBorders>
          </w:tcPr>
          <w:p w14:paraId="3676DD14">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-.479</w:t>
            </w:r>
          </w:p>
        </w:tc>
        <w:tc>
          <w:tcPr>
            <w:tcW w:w="0" w:type="auto"/>
            <w:tcBorders>
              <w:left w:val="single" w:color="7E7E7E" w:themeColor="text1" w:themeTint="80" w:sz="4" w:space="0"/>
              <w:right w:val="single" w:color="7E7E7E" w:themeColor="text1" w:themeTint="80" w:sz="4" w:space="0"/>
              <w:insideV w:val="single" w:sz="4" w:space="0"/>
            </w:tcBorders>
          </w:tcPr>
          <w:p w14:paraId="090C2495">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.633</w:t>
            </w:r>
          </w:p>
        </w:tc>
      </w:tr>
      <w:tr w14:paraId="036C11FC">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5C1E978">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4B2654D2">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Literasi Fintech</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1890C6EC">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3.160</w:t>
            </w:r>
          </w:p>
        </w:tc>
        <w:tc>
          <w:tcPr>
            <w:tcW w:w="0" w:type="auto"/>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052BFBEB">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.002</w:t>
            </w:r>
          </w:p>
        </w:tc>
      </w:tr>
      <w:tr w14:paraId="63F7CDDF">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Merge w:val="continue"/>
            <w:tcBorders>
              <w:left w:val="single" w:color="7E7E7E" w:themeColor="text1" w:themeTint="80" w:sz="4" w:space="0"/>
              <w:right w:val="single" w:color="7E7E7E" w:themeColor="text1" w:themeTint="80" w:sz="4" w:space="0"/>
              <w:insideV w:val="single" w:sz="4" w:space="0"/>
            </w:tcBorders>
          </w:tcPr>
          <w:p w14:paraId="63FA9915">
            <w:pPr>
              <w:autoSpaceDE w:val="0"/>
              <w:autoSpaceDN w:val="0"/>
              <w:adjustRightInd w:val="0"/>
              <w:spacing w:after="0" w:line="240" w:lineRule="auto"/>
              <w:rPr>
                <w:rFonts w:ascii="Arial" w:hAnsi="Arial" w:cs="Arial"/>
                <w:color w:val="000000" w:themeColor="text1"/>
                <w:kern w:val="0"/>
                <w:sz w:val="16"/>
                <w:szCs w:val="16"/>
                <w:lang w:val="zh-CN"/>
                <w14:textFill>
                  <w14:solidFill>
                    <w14:schemeClr w14:val="tx1"/>
                  </w14:solidFill>
                </w14:textFill>
                <w14:ligatures w14:val="standardContextual"/>
              </w:rPr>
            </w:pPr>
          </w:p>
        </w:tc>
        <w:tc>
          <w:tcPr>
            <w:tcW w:w="0" w:type="auto"/>
            <w:tcBorders>
              <w:left w:val="single" w:color="7E7E7E" w:themeColor="text1" w:themeTint="80" w:sz="4" w:space="0"/>
              <w:right w:val="single" w:color="7E7E7E" w:themeColor="text1" w:themeTint="80" w:sz="4" w:space="0"/>
              <w:insideV w:val="single" w:sz="4" w:space="0"/>
            </w:tcBorders>
          </w:tcPr>
          <w:p w14:paraId="1FCF9EBC">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Perilaku Budgeting</w:t>
            </w:r>
          </w:p>
        </w:tc>
        <w:tc>
          <w:tcPr>
            <w:tcW w:w="0" w:type="auto"/>
            <w:tcBorders>
              <w:left w:val="single" w:color="7E7E7E" w:themeColor="text1" w:themeTint="80" w:sz="4" w:space="0"/>
              <w:right w:val="single" w:color="7E7E7E" w:themeColor="text1" w:themeTint="80" w:sz="4" w:space="0"/>
              <w:insideV w:val="single" w:sz="4" w:space="0"/>
            </w:tcBorders>
          </w:tcPr>
          <w:p w14:paraId="7B095F8B">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10.946</w:t>
            </w:r>
          </w:p>
        </w:tc>
        <w:tc>
          <w:tcPr>
            <w:tcW w:w="0" w:type="auto"/>
            <w:tcBorders>
              <w:left w:val="single" w:color="7E7E7E" w:themeColor="text1" w:themeTint="80" w:sz="4" w:space="0"/>
              <w:right w:val="single" w:color="7E7E7E" w:themeColor="text1" w:themeTint="80" w:sz="4" w:space="0"/>
              <w:insideV w:val="single" w:sz="4" w:space="0"/>
            </w:tcBorders>
          </w:tcPr>
          <w:p w14:paraId="31A3621D">
            <w:pPr>
              <w:autoSpaceDE w:val="0"/>
              <w:autoSpaceDN w:val="0"/>
              <w:adjustRightInd w:val="0"/>
              <w:spacing w:after="0" w:line="240" w:lineRule="auto"/>
              <w:ind w:left="60" w:right="60"/>
              <w:jc w:val="right"/>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.000</w:t>
            </w:r>
          </w:p>
        </w:tc>
      </w:tr>
      <w:tr w14:paraId="3E672A10">
        <w:tblPrEx>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gridSpan w:val="4"/>
            <w:tc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sz="4" w:space="0"/>
              <w:insideV w:val="single" w:sz="4" w:space="0"/>
            </w:tcBorders>
          </w:tcPr>
          <w:p w14:paraId="34A1CDF6">
            <w:pPr>
              <w:autoSpaceDE w:val="0"/>
              <w:autoSpaceDN w:val="0"/>
              <w:adjustRightInd w:val="0"/>
              <w:spacing w:after="0" w:line="240" w:lineRule="auto"/>
              <w:ind w:left="60" w:right="60"/>
              <w:rPr>
                <w:rFonts w:ascii="Arial" w:hAnsi="Arial" w:cs="Arial"/>
                <w:color w:val="000000" w:themeColor="text1"/>
                <w:kern w:val="0"/>
                <w:sz w:val="16"/>
                <w:szCs w:val="16"/>
                <w:lang w:val="zh-CN"/>
                <w14:textFill>
                  <w14:solidFill>
                    <w14:schemeClr w14:val="tx1"/>
                  </w14:solidFill>
                </w14:textFill>
                <w14:ligatures w14:val="standardContextual"/>
              </w:rPr>
            </w:pPr>
            <w:r>
              <w:rPr>
                <w:rFonts w:ascii="Arial" w:hAnsi="Arial" w:cs="Arial"/>
                <w:color w:val="000000" w:themeColor="text1"/>
                <w:kern w:val="0"/>
                <w:sz w:val="16"/>
                <w:szCs w:val="16"/>
                <w:lang w:val="zh-CN"/>
                <w14:textFill>
                  <w14:solidFill>
                    <w14:schemeClr w14:val="tx1"/>
                  </w14:solidFill>
                </w14:textFill>
                <w14:ligatures w14:val="standardContextual"/>
              </w:rPr>
              <w:t>a. Dependent Variable: Kesejahteraan Keuangan</w:t>
            </w:r>
          </w:p>
        </w:tc>
      </w:tr>
    </w:tbl>
    <w:p w14:paraId="0D90C45A">
      <w:pPr>
        <w:pStyle w:val="21"/>
        <w:jc w:val="both"/>
        <w:rPr>
          <w:sz w:val="22"/>
          <w:szCs w:val="22"/>
        </w:rPr>
      </w:pPr>
      <w:r>
        <w:rPr>
          <w:sz w:val="22"/>
          <w:szCs w:val="22"/>
        </w:rPr>
        <w:t>(Sumber : data diolah penulis, 2026)</w:t>
      </w:r>
    </w:p>
    <w:p w14:paraId="05C96094">
      <w:pPr>
        <w:pStyle w:val="21"/>
        <w:ind w:firstLine="284"/>
        <w:jc w:val="both"/>
        <w:rPr>
          <w:sz w:val="22"/>
          <w:szCs w:val="22"/>
        </w:rPr>
      </w:pPr>
      <w:r>
        <w:rPr>
          <w:sz w:val="22"/>
          <w:szCs w:val="22"/>
        </w:rPr>
        <w:t>Berdasarkan hasil uji signifikansi parsial (uji t) pada Tabel 5, variabel Literasi Fintech memiliki nilai t hitung sebesar 3,160 dengan tingkat signifikansi 0,002 (&lt; 0,05), sehingga dapat disimpulkan bahwa Literasi Fintech berpengaruh positif dan signifikan terhadap Kesejahteraan Keuangan. Sementara itu, variabel Perilaku Budgeting memiliki nilai t hitung sebesar 10,946 dengan tingkat signifikansi 0,000 (&lt; 0,05), yang menunjukkan bahwa Perilaku Budgeting berpengaruh positif dan signifikan terhadap Kesejahteraan Keuangan.</w:t>
      </w:r>
      <w:r>
        <w:commentReference w:id="4"/>
      </w:r>
    </w:p>
    <w:p w14:paraId="198AC3DE">
      <w:pPr>
        <w:pStyle w:val="21"/>
        <w:ind w:firstLine="284"/>
        <w:jc w:val="both"/>
        <w:rPr>
          <w:sz w:val="22"/>
          <w:szCs w:val="22"/>
        </w:rPr>
      </w:pPr>
    </w:p>
    <w:p w14:paraId="5D50665E">
      <w:pPr>
        <w:pStyle w:val="20"/>
        <w:numPr>
          <w:ilvl w:val="0"/>
          <w:numId w:val="3"/>
        </w:numPr>
        <w:spacing w:before="0" w:after="0"/>
        <w:ind w:left="426"/>
        <w:jc w:val="both"/>
        <w:rPr>
          <w:sz w:val="22"/>
          <w:szCs w:val="22"/>
          <w:lang w:val="id-ID"/>
        </w:rPr>
      </w:pPr>
      <w:r>
        <w:rPr>
          <w:sz w:val="22"/>
          <w:szCs w:val="22"/>
          <w:lang w:val="en-US"/>
        </w:rPr>
        <w:t>KESIMPULAN</w:t>
      </w:r>
    </w:p>
    <w:p w14:paraId="752F362F">
      <w:pPr>
        <w:pStyle w:val="20"/>
        <w:spacing w:before="0" w:after="0"/>
        <w:ind w:left="426"/>
        <w:jc w:val="both"/>
        <w:rPr>
          <w:sz w:val="22"/>
          <w:szCs w:val="22"/>
          <w:lang w:val="id-ID"/>
        </w:rPr>
      </w:pPr>
    </w:p>
    <w:p w14:paraId="1C814515">
      <w:pPr>
        <w:pStyle w:val="21"/>
        <w:ind w:firstLine="426"/>
        <w:jc w:val="both"/>
        <w:rPr>
          <w:sz w:val="22"/>
          <w:szCs w:val="22"/>
        </w:rPr>
      </w:pPr>
      <w:r>
        <w:rPr>
          <w:sz w:val="22"/>
          <w:szCs w:val="22"/>
        </w:rPr>
        <w:t>Berdasarkan hasil pengujian yang telah dilakukan, dapat disimpulkan bahwa secara simultan Literasi Fintech dan Perilaku Budgeting berpengaruh signifikan terhadap Kesejahteraan Keuangan, yang dibuktikan dengan nilai F hitung sebesar 216,358 dan tingkat signifikansi 0,000 (&lt; 0,05). Secara parsial, Literasi Fintech terbukti berpengaruh positif dan signifikan terhadap Kesejahteraan Keuangan dengan nilai t hitung sebesar 3,160 dan tingkat signifikansi 0,002 (&lt; 0,05), yang menunjukkan bahwa semakin tinggi tingkat literasi fintech responden maka semakin meningkat pula kesejahteraan keuangannya. Selain itu, Perilaku Budgeting juga berpengaruh positif dan signifikan terhadap Kesejahteraan Keuangan, sebagaimana ditunjukkan oleh nilai t hitung sebesar 10,946 dengan tingkat signifikansi 0,000 (&lt; 0,05), yang mengindikasikan bahwa pengelolaan anggaran yang baik memiliki peran penting dalam meningkatkan kesejahteraan keuangan responden.</w:t>
      </w:r>
      <w:r>
        <w:commentReference w:id="5"/>
      </w:r>
    </w:p>
    <w:p w14:paraId="2E362EC1">
      <w:pPr>
        <w:pStyle w:val="21"/>
        <w:ind w:firstLine="426"/>
        <w:jc w:val="both"/>
        <w:rPr>
          <w:sz w:val="22"/>
          <w:szCs w:val="22"/>
        </w:rPr>
      </w:pPr>
    </w:p>
    <w:p w14:paraId="2643EE14">
      <w:pPr>
        <w:pStyle w:val="20"/>
        <w:numPr>
          <w:ilvl w:val="0"/>
          <w:numId w:val="3"/>
        </w:numPr>
        <w:spacing w:before="0" w:after="0"/>
        <w:ind w:left="284" w:hanging="284"/>
        <w:jc w:val="both"/>
        <w:rPr>
          <w:sz w:val="22"/>
          <w:szCs w:val="22"/>
          <w:lang w:val="en-US"/>
        </w:rPr>
      </w:pPr>
      <w:r>
        <w:rPr>
          <w:sz w:val="22"/>
          <w:szCs w:val="22"/>
          <w:lang w:val="en-US"/>
        </w:rPr>
        <w:t>UCAPAN TERIMA KASIH</w:t>
      </w:r>
    </w:p>
    <w:p w14:paraId="1F5628F8">
      <w:pPr>
        <w:pStyle w:val="20"/>
        <w:spacing w:before="0" w:after="0"/>
        <w:ind w:firstLine="284"/>
        <w:jc w:val="both"/>
        <w:rPr>
          <w:b w:val="0"/>
          <w:sz w:val="22"/>
          <w:szCs w:val="22"/>
          <w:lang w:val="en-US"/>
        </w:rPr>
      </w:pPr>
    </w:p>
    <w:p w14:paraId="0AB63748">
      <w:pPr>
        <w:pStyle w:val="20"/>
        <w:spacing w:before="0" w:after="0"/>
        <w:ind w:firstLine="284"/>
        <w:jc w:val="both"/>
        <w:rPr>
          <w:b w:val="0"/>
          <w:sz w:val="22"/>
          <w:szCs w:val="22"/>
          <w:lang w:val="en-US"/>
        </w:rPr>
      </w:pPr>
      <w:r>
        <w:rPr>
          <w:b w:val="0"/>
          <w:sz w:val="22"/>
          <w:szCs w:val="22"/>
          <w:lang w:val="en-US"/>
        </w:rPr>
        <w:t>Penulis dapat menempatkan ucapan terimakasih di sini.</w:t>
      </w:r>
    </w:p>
    <w:p w14:paraId="67EB0B18">
      <w:pPr>
        <w:pStyle w:val="21"/>
        <w:jc w:val="both"/>
        <w:rPr>
          <w:sz w:val="22"/>
          <w:szCs w:val="22"/>
          <w:lang w:val="zh-CN"/>
        </w:rPr>
      </w:pPr>
      <w:r>
        <w:rPr>
          <w:sz w:val="22"/>
          <w:szCs w:val="22"/>
        </w:rPr>
        <w:t>&lt;satu spasi&gt;</w:t>
      </w:r>
      <w:r>
        <w:rPr>
          <w:rFonts w:eastAsia="Times New Roman"/>
          <w:lang w:val="zh-CN" w:eastAsia="zh-CN"/>
        </w:rPr>
        <w:t xml:space="preserve"> </w:t>
      </w:r>
      <w:r>
        <w:rPr>
          <w:sz w:val="22"/>
          <w:szCs w:val="22"/>
          <w:lang w:val="zh-CN"/>
        </w:rPr>
        <w:t>Penulis mengucapkan puji dan syukur kepada Tuhan Yang Maha Esa atas rahmat dan karunia-Nya sehingga penelitian ini dapat diselesaikan dengan baik. Penulis juga menyampaikan terima kasih yang sebesar-besarnya kepada pihak Fakultas Ekonomi dan Bisnis yang telah memberikan dukungan akademik selama proses penelitian berlangsung. Ucapan terima kasih turut disampaikan kepada dosen pembimbing yang telah memberikan arahan, masukan, serta bimbingan yang konstruktif sehingga penelitian ini dapat tersusun dengan baik. Selain itu, penulis mengapresiasi seluruh responden yang telah meluangkan waktu dan memberikan informasi yang dibutuhkan dalam penelitian ini. Semoga segala bantuan dan dukungan yang telah diberikan mendapatkan balasan yang setimpal.</w:t>
      </w:r>
    </w:p>
    <w:p w14:paraId="0B7380E1">
      <w:pPr>
        <w:pStyle w:val="21"/>
        <w:jc w:val="both"/>
        <w:rPr>
          <w:sz w:val="22"/>
          <w:szCs w:val="22"/>
        </w:rPr>
      </w:pPr>
      <w:r>
        <w:rPr>
          <w:sz w:val="22"/>
          <w:szCs w:val="22"/>
        </w:rPr>
        <w:t xml:space="preserve"> </w:t>
      </w:r>
    </w:p>
    <w:p w14:paraId="6923E24C">
      <w:pPr>
        <w:pStyle w:val="20"/>
        <w:numPr>
          <w:ilvl w:val="0"/>
          <w:numId w:val="3"/>
        </w:numPr>
        <w:spacing w:before="0" w:after="0"/>
        <w:ind w:left="284" w:hanging="284"/>
        <w:jc w:val="both"/>
        <w:rPr>
          <w:sz w:val="22"/>
          <w:szCs w:val="22"/>
          <w:lang w:val="en-US"/>
        </w:rPr>
      </w:pPr>
      <w:r>
        <w:rPr>
          <w:sz w:val="22"/>
          <w:szCs w:val="22"/>
          <w:lang w:val="en-US"/>
        </w:rPr>
        <w:t>DAFTAR PUSTAKA</w:t>
      </w:r>
    </w:p>
    <w:p w14:paraId="31C07FCA">
      <w:pPr>
        <w:pStyle w:val="20"/>
        <w:spacing w:before="0" w:after="0"/>
        <w:ind w:firstLine="270"/>
        <w:jc w:val="both"/>
        <w:rPr>
          <w:b w:val="0"/>
          <w:sz w:val="22"/>
          <w:szCs w:val="22"/>
          <w:lang w:val="en-US"/>
        </w:rPr>
      </w:pPr>
    </w:p>
    <w:p w14:paraId="1C654CD8">
      <w:pPr>
        <w:widowControl w:val="0"/>
        <w:autoSpaceDE w:val="0"/>
        <w:autoSpaceDN w:val="0"/>
        <w:adjustRightInd w:val="0"/>
        <w:spacing w:after="0" w:line="240" w:lineRule="auto"/>
        <w:ind w:left="480" w:hanging="480"/>
        <w:jc w:val="both"/>
        <w:rPr>
          <w:rFonts w:ascii="Times New Roman" w:hAnsi="Times New Roman" w:cs="Times New Roman"/>
        </w:rPr>
      </w:pPr>
      <w:r>
        <w:rPr>
          <w:b/>
        </w:rPr>
        <w:fldChar w:fldCharType="begin" w:fldLock="1"/>
      </w:r>
      <w:r>
        <w:rPr>
          <w:b/>
        </w:rPr>
        <w:instrText xml:space="preserve">ADDIN Mendeley Bibliography CSL_BIBLIOGRAPHY </w:instrText>
      </w:r>
      <w:r>
        <w:rPr>
          <w:b/>
        </w:rPr>
        <w:fldChar w:fldCharType="separate"/>
      </w:r>
      <w:r>
        <w:rPr>
          <w:rFonts w:ascii="Times New Roman" w:hAnsi="Times New Roman" w:cs="Times New Roman"/>
        </w:rPr>
        <w:t xml:space="preserve">Ali, S. A., Aslam, S., Majeed, M. U., &amp; Usman, M. (2024). The Interplay Of Mental Budgeting, Self-Control, And Financial Behavior: Implications For Individual Financial Well-Being. </w:t>
      </w:r>
      <w:r>
        <w:rPr>
          <w:rFonts w:ascii="Times New Roman" w:hAnsi="Times New Roman" w:cs="Times New Roman"/>
          <w:i/>
          <w:iCs/>
        </w:rPr>
        <w:t>Pakistan Journal Of Humanities And Social Sciences</w:t>
      </w:r>
      <w:r>
        <w:rPr>
          <w:rFonts w:ascii="Times New Roman" w:hAnsi="Times New Roman" w:cs="Times New Roman"/>
        </w:rPr>
        <w:t xml:space="preserve">, </w:t>
      </w:r>
      <w:r>
        <w:rPr>
          <w:rFonts w:ascii="Times New Roman" w:hAnsi="Times New Roman" w:cs="Times New Roman"/>
          <w:i/>
          <w:iCs/>
        </w:rPr>
        <w:t>12</w:t>
      </w:r>
      <w:r>
        <w:rPr>
          <w:rFonts w:ascii="Times New Roman" w:hAnsi="Times New Roman" w:cs="Times New Roman"/>
        </w:rPr>
        <w:t>(2). Https://Doi.Org/10.52131/Pjhss.2024.V12i2.2102</w:t>
      </w:r>
    </w:p>
    <w:p w14:paraId="7541C279">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Antoine, R. ., Farizqa, N. ., Hasna, A. ., &amp; Pasaribu, M. (2025). Penyalahgunaan Data Pribadi Dalam Teknologi Transaksi Digital Di Industri Perbankan Digital (Studi Kasus Pt. Bank Syariah Indonesia). </w:t>
      </w:r>
      <w:r>
        <w:rPr>
          <w:rFonts w:ascii="Times New Roman" w:hAnsi="Times New Roman" w:cs="Times New Roman"/>
          <w:i/>
          <w:iCs/>
        </w:rPr>
        <w:t>Jurnal Multidisiplin Ilmu Akademik</w:t>
      </w:r>
      <w:r>
        <w:rPr>
          <w:rFonts w:ascii="Times New Roman" w:hAnsi="Times New Roman" w:cs="Times New Roman"/>
        </w:rPr>
        <w:t xml:space="preserve">, </w:t>
      </w:r>
      <w:r>
        <w:rPr>
          <w:rFonts w:ascii="Times New Roman" w:hAnsi="Times New Roman" w:cs="Times New Roman"/>
          <w:i/>
          <w:iCs/>
        </w:rPr>
        <w:t>2</w:t>
      </w:r>
      <w:r>
        <w:rPr>
          <w:rFonts w:ascii="Times New Roman" w:hAnsi="Times New Roman" w:cs="Times New Roman"/>
        </w:rPr>
        <w:t>(1). Https://Doi.Org/Https://Doi.Org/10.61722/Jmia.V2i1.3147</w:t>
      </w:r>
    </w:p>
    <w:p w14:paraId="76CE8B2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Bai, R. (2023). Impact Of Financial Literacy, Mental Budgeting And Self Control On Financial Wellbeing: Mediating Impact Of Investment Decision Making. </w:t>
      </w:r>
      <w:r>
        <w:rPr>
          <w:rFonts w:ascii="Times New Roman" w:hAnsi="Times New Roman" w:cs="Times New Roman"/>
          <w:i/>
          <w:iCs/>
        </w:rPr>
        <w:t>Plos One</w:t>
      </w:r>
      <w:r>
        <w:rPr>
          <w:rFonts w:ascii="Times New Roman" w:hAnsi="Times New Roman" w:cs="Times New Roman"/>
        </w:rPr>
        <w:t xml:space="preserve">, </w:t>
      </w:r>
      <w:r>
        <w:rPr>
          <w:rFonts w:ascii="Times New Roman" w:hAnsi="Times New Roman" w:cs="Times New Roman"/>
          <w:i/>
          <w:iCs/>
        </w:rPr>
        <w:t>18</w:t>
      </w:r>
      <w:r>
        <w:rPr>
          <w:rFonts w:ascii="Times New Roman" w:hAnsi="Times New Roman" w:cs="Times New Roman"/>
        </w:rPr>
        <w:t>(11), E0294466. Https://Doi.Org/10.1371/Journal.Pone.0294466</w:t>
      </w:r>
    </w:p>
    <w:p w14:paraId="6CBD1FEC">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Ivanka, S., Zaki, A., Mustaqim, M., &amp; Violita, C. E. (2025). Pengaruh Digital Financial Literacy Terhadap Financial Well-Being Melalui Financial Behaviour Studi Pada Mahasiswa Manajemen Angkatan 2021 Di Sidoarjo. </w:t>
      </w:r>
      <w:r>
        <w:rPr>
          <w:rFonts w:ascii="Times New Roman" w:hAnsi="Times New Roman" w:cs="Times New Roman"/>
          <w:i/>
          <w:iCs/>
        </w:rPr>
        <w:t>Riwayat: Educational Journal Of History And Humanities</w:t>
      </w:r>
      <w:r>
        <w:rPr>
          <w:rFonts w:ascii="Times New Roman" w:hAnsi="Times New Roman" w:cs="Times New Roman"/>
        </w:rPr>
        <w:t xml:space="preserve">, </w:t>
      </w:r>
      <w:r>
        <w:rPr>
          <w:rFonts w:ascii="Times New Roman" w:hAnsi="Times New Roman" w:cs="Times New Roman"/>
          <w:i/>
          <w:iCs/>
        </w:rPr>
        <w:t>8</w:t>
      </w:r>
      <w:r>
        <w:rPr>
          <w:rFonts w:ascii="Times New Roman" w:hAnsi="Times New Roman" w:cs="Times New Roman"/>
        </w:rPr>
        <w:t>(2), 2140–2153. Https://Doi.Org/10.24815/Jr.V8i2.47099</w:t>
      </w:r>
    </w:p>
    <w:p w14:paraId="2E7E88F6">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Melia, M., &amp; Yantiana, N. (2023). Mengungkap Peran Mental Accounting Dalam Pengelolaan Keuangan Geprek Generation. </w:t>
      </w:r>
      <w:r>
        <w:rPr>
          <w:rFonts w:ascii="Times New Roman" w:hAnsi="Times New Roman" w:cs="Times New Roman"/>
          <w:i/>
          <w:iCs/>
        </w:rPr>
        <w:t>Jurnal Pendidikan Akuntansi (Jpak)</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(3), 275–287. Https://Doi.Org/10.26740/Jpak.V11n3.P275-287</w:t>
      </w:r>
    </w:p>
    <w:p w14:paraId="4759125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Negarawati, E., &amp; Rohana, S. (2024). Peran Fintech Dalam Meningkatkan Akses Keuangan Di Era Digital. </w:t>
      </w:r>
      <w:r>
        <w:rPr>
          <w:rFonts w:ascii="Times New Roman" w:hAnsi="Times New Roman" w:cs="Times New Roman"/>
          <w:i/>
          <w:iCs/>
        </w:rPr>
        <w:t>Jurnal Ekonomi, Bisnis Dan Manajemen</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(4), 46–60. Https://Doi.Org/10.58192/Ebismen.V3i4.2712</w:t>
      </w:r>
    </w:p>
    <w:p w14:paraId="3F209C2C">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Prameswari, S., Nugroho, M., &amp; Pristiana, U. (2023). Pengaruh Literasi Keuangan, Kesadaran Keuangan, Pendapatan Terhadap Kesejahteraan Keuangan Dengan Perilaku Keuangan Dan Inklusi Keuangan. </w:t>
      </w:r>
      <w:r>
        <w:rPr>
          <w:rFonts w:ascii="Times New Roman" w:hAnsi="Times New Roman" w:cs="Times New Roman"/>
          <w:i/>
          <w:iCs/>
        </w:rPr>
        <w:t>Cakrawala Repositori Imwi</w:t>
      </w:r>
      <w:r>
        <w:rPr>
          <w:rFonts w:ascii="Times New Roman" w:hAnsi="Times New Roman" w:cs="Times New Roman"/>
        </w:rPr>
        <w:t xml:space="preserve">, </w:t>
      </w:r>
      <w:r>
        <w:rPr>
          <w:rFonts w:ascii="Times New Roman" w:hAnsi="Times New Roman" w:cs="Times New Roman"/>
          <w:i/>
          <w:iCs/>
        </w:rPr>
        <w:t>6</w:t>
      </w:r>
      <w:r>
        <w:rPr>
          <w:rFonts w:ascii="Times New Roman" w:hAnsi="Times New Roman" w:cs="Times New Roman"/>
        </w:rPr>
        <w:t>(1), 505–516. Https://Doi.Org/10.52851/Cakrawala.V6i1.253</w:t>
      </w:r>
    </w:p>
    <w:p w14:paraId="6114094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Pulungan, S. A. R., &amp; Siregar, Q. R. (2024). Pengaruh Perencanaan Keuangan Dan Literasi Keuangan Terhadap Kesejahteraan Keuangan Melalui Pengendalian Diri Pada Warga Desa Tanjung Putus. </w:t>
      </w:r>
      <w:r>
        <w:rPr>
          <w:rFonts w:ascii="Times New Roman" w:hAnsi="Times New Roman" w:cs="Times New Roman"/>
          <w:i/>
          <w:iCs/>
        </w:rPr>
        <w:t>Bursa : Jurnal Ekonomi Dan Bisnis</w:t>
      </w:r>
      <w:r>
        <w:rPr>
          <w:rFonts w:ascii="Times New Roman" w:hAnsi="Times New Roman" w:cs="Times New Roman"/>
        </w:rPr>
        <w:t xml:space="preserve">, </w:t>
      </w:r>
      <w:r>
        <w:rPr>
          <w:rFonts w:ascii="Times New Roman" w:hAnsi="Times New Roman" w:cs="Times New Roman"/>
          <w:i/>
          <w:iCs/>
        </w:rPr>
        <w:t>3</w:t>
      </w:r>
      <w:r>
        <w:rPr>
          <w:rFonts w:ascii="Times New Roman" w:hAnsi="Times New Roman" w:cs="Times New Roman"/>
        </w:rPr>
        <w:t>(2), 93–103. Https://Doi.Org/10.59086/Jeb.V3i2.564</w:t>
      </w:r>
    </w:p>
    <w:p w14:paraId="58B55CC2">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Purwanto, H., Yandri, D., &amp; Yoga, M. P. (2022). Perkembangan Dan Dampak Financial Technology (Fintech) Terhadap Perilaku Manajemen Keuangan Di Masyarakat. </w:t>
      </w:r>
      <w:r>
        <w:rPr>
          <w:rFonts w:ascii="Times New Roman" w:hAnsi="Times New Roman" w:cs="Times New Roman"/>
          <w:i/>
          <w:iCs/>
        </w:rPr>
        <w:t>Kompleksitas: Jurnal Ilmiah Manajemen, Organisasi Dan Bisnis</w:t>
      </w:r>
      <w:r>
        <w:rPr>
          <w:rFonts w:ascii="Times New Roman" w:hAnsi="Times New Roman" w:cs="Times New Roman"/>
        </w:rPr>
        <w:t xml:space="preserve">, </w:t>
      </w:r>
      <w:r>
        <w:rPr>
          <w:rFonts w:ascii="Times New Roman" w:hAnsi="Times New Roman" w:cs="Times New Roman"/>
          <w:i/>
          <w:iCs/>
        </w:rPr>
        <w:t>11</w:t>
      </w:r>
      <w:r>
        <w:rPr>
          <w:rFonts w:ascii="Times New Roman" w:hAnsi="Times New Roman" w:cs="Times New Roman"/>
        </w:rPr>
        <w:t>(1), 80–91. Https://Doi.Org/10.56486/Kompleksitas.Vol11no1.220</w:t>
      </w:r>
    </w:p>
    <w:p w14:paraId="40B46880">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Putri, A. M., Damayanti, S. M., &amp; Rahadi, R. A. (2022). Digital Financial Literacy In Indonesia : A Literature Review. </w:t>
      </w:r>
      <w:r>
        <w:rPr>
          <w:rFonts w:ascii="Times New Roman" w:hAnsi="Times New Roman" w:cs="Times New Roman"/>
          <w:i/>
          <w:iCs/>
        </w:rPr>
        <w:t>Central Asia And The Caucasus</w:t>
      </w:r>
      <w:r>
        <w:rPr>
          <w:rFonts w:ascii="Times New Roman" w:hAnsi="Times New Roman" w:cs="Times New Roman"/>
        </w:rPr>
        <w:t xml:space="preserve">, </w:t>
      </w:r>
      <w:r>
        <w:rPr>
          <w:rFonts w:ascii="Times New Roman" w:hAnsi="Times New Roman" w:cs="Times New Roman"/>
          <w:i/>
          <w:iCs/>
        </w:rPr>
        <w:t>23</w:t>
      </w:r>
      <w:r>
        <w:rPr>
          <w:rFonts w:ascii="Times New Roman" w:hAnsi="Times New Roman" w:cs="Times New Roman"/>
        </w:rPr>
        <w:t>(1). Https://Doi.Org/Https://Doi.Org/10.37178/Ca-C.23.1.318</w:t>
      </w:r>
    </w:p>
    <w:p w14:paraId="6419D129">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Rahayu, A. D., &amp; Andriansyah, E. H. (2025). Pengaruh Literasi Ekonomi Dan Financial Technology (Fintech) Terhadap Kesejahteraan Keuangan Pada Gen Z Mahasiswa Di Kota Surabaya Melalui Perilaku Ekonomi Sebagai Variabel Intervening. </w:t>
      </w:r>
      <w:r>
        <w:rPr>
          <w:rFonts w:ascii="Times New Roman" w:hAnsi="Times New Roman" w:cs="Times New Roman"/>
          <w:i/>
          <w:iCs/>
        </w:rPr>
        <w:t>Riggs: Journal Of Artificial Intelligence And Digital Business</w:t>
      </w:r>
      <w:r>
        <w:rPr>
          <w:rFonts w:ascii="Times New Roman" w:hAnsi="Times New Roman" w:cs="Times New Roman"/>
        </w:rPr>
        <w:t xml:space="preserve">, </w:t>
      </w:r>
      <w:r>
        <w:rPr>
          <w:rFonts w:ascii="Times New Roman" w:hAnsi="Times New Roman" w:cs="Times New Roman"/>
          <w:i/>
          <w:iCs/>
        </w:rPr>
        <w:t>4</w:t>
      </w:r>
      <w:r>
        <w:rPr>
          <w:rFonts w:ascii="Times New Roman" w:hAnsi="Times New Roman" w:cs="Times New Roman"/>
        </w:rPr>
        <w:t>(2), 5980–5986. Https://Doi.Org/10.31004/Riggs.V4i2.1541</w:t>
      </w:r>
    </w:p>
    <w:p w14:paraId="4D7A09DB">
      <w:pPr>
        <w:widowControl w:val="0"/>
        <w:autoSpaceDE w:val="0"/>
        <w:autoSpaceDN w:val="0"/>
        <w:adjustRightInd w:val="0"/>
        <w:spacing w:after="0" w:line="240" w:lineRule="auto"/>
        <w:ind w:left="480" w:hanging="480"/>
        <w:jc w:val="both"/>
        <w:rPr>
          <w:rFonts w:ascii="Times New Roman" w:hAnsi="Times New Roman" w:cs="Times New Roman"/>
        </w:rPr>
      </w:pPr>
      <w:r>
        <w:rPr>
          <w:rFonts w:ascii="Times New Roman" w:hAnsi="Times New Roman" w:cs="Times New Roman"/>
        </w:rPr>
        <w:t xml:space="preserve">Rizqi, A. (2025). Peran Literasi Keuangan Digital Dan Stres Keuangan Dalam Membentuk Kesejahteraan Finansial : Perilaku Keuangan Dalam Memediasi. </w:t>
      </w:r>
      <w:r>
        <w:rPr>
          <w:rFonts w:ascii="Times New Roman" w:hAnsi="Times New Roman" w:cs="Times New Roman"/>
          <w:i/>
          <w:iCs/>
        </w:rPr>
        <w:t>Jurnal Lentera Bisnis</w:t>
      </w:r>
      <w:r>
        <w:rPr>
          <w:rFonts w:ascii="Times New Roman" w:hAnsi="Times New Roman" w:cs="Times New Roman"/>
        </w:rPr>
        <w:t xml:space="preserve">, </w:t>
      </w:r>
      <w:r>
        <w:rPr>
          <w:rFonts w:ascii="Times New Roman" w:hAnsi="Times New Roman" w:cs="Times New Roman"/>
          <w:i/>
          <w:iCs/>
        </w:rPr>
        <w:t>14</w:t>
      </w:r>
      <w:r>
        <w:rPr>
          <w:rFonts w:ascii="Times New Roman" w:hAnsi="Times New Roman" w:cs="Times New Roman"/>
        </w:rPr>
        <w:t>(3), 3913–3941. Https://Doi.Org/10.34127/Jrlab.V14i3.1795</w:t>
      </w:r>
    </w:p>
    <w:p w14:paraId="3228ED14">
      <w:pPr>
        <w:pStyle w:val="20"/>
        <w:spacing w:before="0" w:after="0"/>
        <w:ind w:firstLine="270"/>
        <w:jc w:val="both"/>
        <w:rPr>
          <w:b w:val="0"/>
          <w:sz w:val="22"/>
          <w:szCs w:val="22"/>
          <w:lang w:val="en-US"/>
        </w:rPr>
      </w:pPr>
      <w:r>
        <w:rPr>
          <w:b w:val="0"/>
          <w:sz w:val="22"/>
          <w:szCs w:val="22"/>
          <w:lang w:val="en-US"/>
        </w:rPr>
        <w:fldChar w:fldCharType="end"/>
      </w:r>
    </w:p>
    <w:p w14:paraId="40F32A2C">
      <w:pPr>
        <w:pStyle w:val="20"/>
        <w:spacing w:before="0" w:after="0"/>
        <w:ind w:firstLine="270"/>
        <w:jc w:val="both"/>
        <w:rPr>
          <w:b w:val="0"/>
          <w:sz w:val="22"/>
          <w:szCs w:val="22"/>
          <w:lang w:val="en-US"/>
        </w:rPr>
      </w:pPr>
    </w:p>
    <w:p w14:paraId="4BA59FE4">
      <w:pPr>
        <w:pStyle w:val="20"/>
        <w:spacing w:before="0" w:after="0"/>
        <w:jc w:val="both"/>
        <w:rPr>
          <w:b w:val="0"/>
          <w:sz w:val="22"/>
          <w:szCs w:val="22"/>
          <w:lang w:val="en-US"/>
        </w:rPr>
      </w:pPr>
    </w:p>
    <w:p w14:paraId="2BF3D9BA">
      <w:pPr>
        <w:pStyle w:val="20"/>
        <w:spacing w:before="0" w:after="0"/>
        <w:jc w:val="both"/>
        <w:rPr>
          <w:b w:val="0"/>
          <w:sz w:val="22"/>
          <w:szCs w:val="22"/>
          <w:lang w:val="en-US"/>
        </w:rPr>
      </w:pPr>
    </w:p>
    <w:p w14:paraId="44F47DA0">
      <w:pPr>
        <w:pStyle w:val="20"/>
        <w:spacing w:before="0" w:after="0"/>
        <w:jc w:val="both"/>
        <w:rPr>
          <w:b w:val="0"/>
          <w:sz w:val="22"/>
          <w:szCs w:val="22"/>
          <w:lang w:val="en-US"/>
        </w:rPr>
      </w:pPr>
    </w:p>
    <w:p w14:paraId="728440C8">
      <w:pPr>
        <w:pStyle w:val="20"/>
        <w:spacing w:before="0" w:after="0"/>
        <w:jc w:val="both"/>
        <w:rPr>
          <w:b w:val="0"/>
          <w:sz w:val="22"/>
          <w:szCs w:val="22"/>
          <w:lang w:val="en-US"/>
        </w:rPr>
      </w:pPr>
    </w:p>
    <w:p w14:paraId="56B63ACE">
      <w:pPr>
        <w:pStyle w:val="20"/>
        <w:spacing w:before="0" w:after="0"/>
        <w:jc w:val="both"/>
        <w:rPr>
          <w:b w:val="0"/>
          <w:sz w:val="22"/>
          <w:szCs w:val="22"/>
          <w:lang w:val="en-US"/>
        </w:rPr>
      </w:pPr>
    </w:p>
    <w:p w14:paraId="27FADE4F">
      <w:pPr>
        <w:pStyle w:val="20"/>
        <w:spacing w:before="0" w:after="0"/>
        <w:jc w:val="both"/>
        <w:rPr>
          <w:b w:val="0"/>
          <w:sz w:val="22"/>
          <w:szCs w:val="22"/>
          <w:lang w:val="en-US"/>
        </w:rPr>
      </w:pPr>
    </w:p>
    <w:p w14:paraId="5E2F3EA2">
      <w:pPr>
        <w:pStyle w:val="20"/>
        <w:spacing w:before="0" w:after="0"/>
        <w:jc w:val="both"/>
        <w:rPr>
          <w:b w:val="0"/>
          <w:sz w:val="22"/>
          <w:szCs w:val="22"/>
          <w:lang w:val="en-US"/>
        </w:rPr>
      </w:pPr>
    </w:p>
    <w:p w14:paraId="5582C70F">
      <w:pPr>
        <w:pStyle w:val="20"/>
        <w:spacing w:before="0" w:after="0"/>
        <w:jc w:val="both"/>
        <w:rPr>
          <w:b w:val="0"/>
          <w:sz w:val="22"/>
          <w:szCs w:val="22"/>
          <w:lang w:val="en-US"/>
        </w:rPr>
      </w:pPr>
    </w:p>
    <w:p w14:paraId="151B6E1B">
      <w:pPr>
        <w:pStyle w:val="20"/>
        <w:spacing w:before="0" w:after="0"/>
        <w:jc w:val="both"/>
        <w:rPr>
          <w:b w:val="0"/>
          <w:sz w:val="22"/>
          <w:szCs w:val="22"/>
          <w:lang w:val="en-US"/>
        </w:rPr>
      </w:pPr>
    </w:p>
    <w:p w14:paraId="585BCB9D">
      <w:pPr>
        <w:pStyle w:val="20"/>
        <w:spacing w:before="0" w:after="0"/>
        <w:jc w:val="both"/>
        <w:rPr>
          <w:b w:val="0"/>
          <w:sz w:val="22"/>
          <w:szCs w:val="22"/>
          <w:lang w:val="en-US"/>
        </w:rPr>
      </w:pPr>
    </w:p>
    <w:p w14:paraId="549F1CA7">
      <w:pPr>
        <w:pStyle w:val="20"/>
        <w:spacing w:before="0" w:after="0"/>
        <w:jc w:val="both"/>
        <w:rPr>
          <w:b w:val="0"/>
          <w:sz w:val="22"/>
          <w:szCs w:val="22"/>
          <w:lang w:val="en-US"/>
        </w:rPr>
      </w:pPr>
    </w:p>
    <w:p w14:paraId="771B0B9B">
      <w:pPr>
        <w:pStyle w:val="20"/>
        <w:spacing w:before="0" w:after="0"/>
        <w:jc w:val="both"/>
        <w:rPr>
          <w:b w:val="0"/>
          <w:sz w:val="22"/>
          <w:szCs w:val="22"/>
          <w:lang w:val="en-US"/>
        </w:rPr>
      </w:pPr>
    </w:p>
    <w:p w14:paraId="63992A73">
      <w:pPr>
        <w:pStyle w:val="20"/>
        <w:spacing w:before="0" w:after="0"/>
        <w:jc w:val="both"/>
        <w:rPr>
          <w:b w:val="0"/>
          <w:sz w:val="22"/>
          <w:szCs w:val="22"/>
          <w:lang w:val="en-US"/>
        </w:rPr>
      </w:pPr>
    </w:p>
    <w:p w14:paraId="05FE6269">
      <w:pPr>
        <w:pStyle w:val="20"/>
        <w:spacing w:before="0" w:after="0"/>
        <w:jc w:val="both"/>
        <w:rPr>
          <w:b w:val="0"/>
          <w:sz w:val="22"/>
          <w:szCs w:val="22"/>
          <w:lang w:val="en-US"/>
        </w:rPr>
      </w:pPr>
    </w:p>
    <w:p w14:paraId="0B120773">
      <w:pPr>
        <w:pStyle w:val="20"/>
        <w:spacing w:before="0" w:after="0"/>
        <w:jc w:val="both"/>
        <w:rPr>
          <w:b w:val="0"/>
          <w:sz w:val="22"/>
          <w:szCs w:val="22"/>
          <w:lang w:val="en-US"/>
        </w:rPr>
      </w:pPr>
    </w:p>
    <w:p w14:paraId="4DB48E2F">
      <w:pPr>
        <w:pStyle w:val="20"/>
        <w:spacing w:before="0" w:after="0"/>
        <w:jc w:val="both"/>
        <w:rPr>
          <w:b w:val="0"/>
          <w:sz w:val="22"/>
          <w:szCs w:val="22"/>
          <w:lang w:val="en-US"/>
        </w:rPr>
      </w:pPr>
    </w:p>
    <w:p w14:paraId="22BF7EE3">
      <w:pPr>
        <w:pStyle w:val="20"/>
        <w:spacing w:before="0" w:after="0"/>
        <w:jc w:val="both"/>
        <w:rPr>
          <w:b w:val="0"/>
          <w:sz w:val="22"/>
          <w:szCs w:val="22"/>
          <w:lang w:val="en-US"/>
        </w:rPr>
      </w:pPr>
    </w:p>
    <w:p w14:paraId="27738DD4">
      <w:pPr>
        <w:pStyle w:val="20"/>
        <w:spacing w:before="0" w:after="0"/>
        <w:jc w:val="both"/>
        <w:rPr>
          <w:b w:val="0"/>
          <w:sz w:val="22"/>
          <w:szCs w:val="22"/>
          <w:lang w:val="en-US"/>
        </w:rPr>
      </w:pPr>
    </w:p>
    <w:p w14:paraId="1714BCCF">
      <w:pPr>
        <w:pStyle w:val="20"/>
        <w:spacing w:before="0" w:after="0"/>
        <w:jc w:val="both"/>
        <w:rPr>
          <w:b w:val="0"/>
          <w:sz w:val="22"/>
          <w:szCs w:val="22"/>
          <w:lang w:val="en-US"/>
        </w:rPr>
      </w:pPr>
    </w:p>
    <w:p w14:paraId="119C0CEC">
      <w:pPr>
        <w:pStyle w:val="20"/>
        <w:spacing w:before="0" w:after="0"/>
        <w:jc w:val="both"/>
        <w:rPr>
          <w:b w:val="0"/>
          <w:sz w:val="22"/>
          <w:szCs w:val="22"/>
          <w:lang w:val="en-US"/>
        </w:rPr>
      </w:pPr>
    </w:p>
    <w:p w14:paraId="2AA8644C">
      <w:pPr>
        <w:pStyle w:val="20"/>
        <w:spacing w:before="0" w:after="0"/>
        <w:jc w:val="both"/>
        <w:rPr>
          <w:b w:val="0"/>
          <w:sz w:val="22"/>
          <w:szCs w:val="22"/>
          <w:lang w:val="en-US"/>
        </w:rPr>
      </w:pPr>
    </w:p>
    <w:p w14:paraId="191C71AE">
      <w:pPr>
        <w:pStyle w:val="20"/>
        <w:spacing w:before="0" w:after="0"/>
        <w:jc w:val="both"/>
        <w:rPr>
          <w:b w:val="0"/>
          <w:sz w:val="22"/>
          <w:szCs w:val="22"/>
          <w:lang w:val="en-US"/>
        </w:rPr>
      </w:pPr>
    </w:p>
    <w:p w14:paraId="7341F148">
      <w:pPr>
        <w:pStyle w:val="20"/>
        <w:spacing w:before="0" w:after="0"/>
        <w:jc w:val="both"/>
        <w:rPr>
          <w:b w:val="0"/>
          <w:sz w:val="22"/>
          <w:szCs w:val="22"/>
          <w:lang w:val="en-US"/>
        </w:rPr>
      </w:pPr>
    </w:p>
    <w:p w14:paraId="43D24587">
      <w:pPr>
        <w:pStyle w:val="20"/>
        <w:spacing w:before="0" w:after="0"/>
        <w:jc w:val="both"/>
        <w:rPr>
          <w:b w:val="0"/>
          <w:sz w:val="22"/>
          <w:szCs w:val="22"/>
          <w:lang w:val="en-US"/>
        </w:rPr>
      </w:pPr>
    </w:p>
    <w:p w14:paraId="74C214F2">
      <w:pPr>
        <w:pStyle w:val="20"/>
        <w:spacing w:before="0" w:after="0"/>
        <w:jc w:val="both"/>
        <w:rPr>
          <w:b w:val="0"/>
          <w:sz w:val="22"/>
          <w:szCs w:val="22"/>
          <w:lang w:val="en-US"/>
        </w:rPr>
      </w:pPr>
    </w:p>
    <w:p w14:paraId="54AA7E00">
      <w:pPr>
        <w:pStyle w:val="20"/>
        <w:spacing w:before="0" w:after="0"/>
        <w:jc w:val="both"/>
        <w:rPr>
          <w:b w:val="0"/>
          <w:sz w:val="22"/>
          <w:szCs w:val="22"/>
          <w:lang w:val="en-US"/>
        </w:rPr>
      </w:pPr>
    </w:p>
    <w:p w14:paraId="3377BB31">
      <w:pPr>
        <w:pStyle w:val="20"/>
        <w:spacing w:before="0" w:after="0"/>
        <w:jc w:val="both"/>
        <w:rPr>
          <w:b w:val="0"/>
          <w:sz w:val="22"/>
          <w:szCs w:val="22"/>
        </w:rPr>
        <w:sectPr>
          <w:type w:val="continuous"/>
          <w:pgSz w:w="11907" w:h="16840"/>
          <w:pgMar w:top="1418" w:right="1418" w:bottom="1418" w:left="1701" w:header="851" w:footer="737" w:gutter="0"/>
          <w:cols w:space="708" w:num="2"/>
          <w:docGrid w:linePitch="360" w:charSpace="0"/>
        </w:sectPr>
      </w:pPr>
    </w:p>
    <w:p w14:paraId="135508D1">
      <w:pPr>
        <w:pStyle w:val="20"/>
        <w:spacing w:before="0" w:after="0"/>
        <w:jc w:val="both"/>
        <w:rPr>
          <w:b w:val="0"/>
          <w:sz w:val="22"/>
          <w:szCs w:val="22"/>
        </w:rPr>
      </w:pPr>
    </w:p>
    <w:sectPr>
      <w:type w:val="continuous"/>
      <w:pgSz w:w="11907" w:h="16840"/>
      <w:pgMar w:top="1418" w:right="1418" w:bottom="1418" w:left="1701" w:header="851" w:footer="737"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xioo" w:date="2026-06-24T02:45:58Z" w:initials="A">
    <w:p w14:paraId="07234362">
      <w:pPr>
        <w:pStyle w:val="6"/>
        <w:rPr>
          <w:rFonts w:hint="default"/>
          <w:lang w:val="en-US"/>
        </w:rPr>
      </w:pPr>
      <w:r>
        <w:rPr>
          <w:rFonts w:hint="default"/>
          <w:lang w:val="en-US"/>
        </w:rPr>
        <w:t>Pastikan artikel saudara telah baik dan benar</w:t>
      </w:r>
      <w:bookmarkStart w:id="0" w:name="_GoBack"/>
      <w:bookmarkEnd w:id="0"/>
    </w:p>
  </w:comment>
  <w:comment w:id="1" w:author="Axioo" w:date="2026-06-24T02:44:20Z" w:initials="A">
    <w:p w14:paraId="22F100F1">
      <w:pPr>
        <w:pStyle w:val="6"/>
        <w:rPr>
          <w:rFonts w:hint="default"/>
          <w:lang w:val="en-US"/>
        </w:rPr>
      </w:pPr>
      <w:r>
        <w:rPr>
          <w:rFonts w:hint="default"/>
          <w:lang w:val="en-US"/>
        </w:rPr>
        <w:t>baik</w:t>
      </w:r>
    </w:p>
  </w:comment>
  <w:comment w:id="2" w:author="Axioo" w:date="2026-06-24T02:44:37Z" w:initials="A">
    <w:p w14:paraId="5B3CE926">
      <w:pPr>
        <w:pStyle w:val="6"/>
        <w:rPr>
          <w:rFonts w:hint="default"/>
          <w:lang w:val="en-US"/>
        </w:rPr>
      </w:pPr>
      <w:r>
        <w:rPr>
          <w:rFonts w:hint="default"/>
          <w:lang w:val="en-US"/>
        </w:rPr>
        <w:t>baik</w:t>
      </w:r>
    </w:p>
  </w:comment>
  <w:comment w:id="3" w:author="Axioo" w:date="2026-06-24T02:44:49Z" w:initials="A">
    <w:p w14:paraId="34386D84">
      <w:pPr>
        <w:pStyle w:val="6"/>
        <w:rPr>
          <w:rFonts w:hint="default"/>
          <w:lang w:val="en-US"/>
        </w:rPr>
      </w:pPr>
      <w:r>
        <w:rPr>
          <w:rFonts w:hint="default"/>
          <w:lang w:val="en-US"/>
        </w:rPr>
        <w:t>baik</w:t>
      </w:r>
    </w:p>
  </w:comment>
  <w:comment w:id="4" w:author="Axioo" w:date="2026-06-24T02:45:08Z" w:initials="A">
    <w:p w14:paraId="7EF8F98D">
      <w:pPr>
        <w:pStyle w:val="6"/>
        <w:rPr>
          <w:rFonts w:hint="default"/>
          <w:lang w:val="en-US"/>
        </w:rPr>
      </w:pPr>
      <w:r>
        <w:rPr>
          <w:rFonts w:hint="default"/>
          <w:lang w:val="en-US"/>
        </w:rPr>
        <w:t>baik</w:t>
      </w:r>
    </w:p>
  </w:comment>
  <w:comment w:id="5" w:author="Axioo" w:date="2026-06-24T02:45:37Z" w:initials="A">
    <w:p w14:paraId="187C96D7">
      <w:pPr>
        <w:pStyle w:val="6"/>
        <w:rPr>
          <w:rFonts w:hint="default"/>
          <w:lang w:val="en-US"/>
        </w:rPr>
      </w:pPr>
      <w:r>
        <w:rPr>
          <w:rFonts w:hint="default"/>
          <w:lang w:val="en-US"/>
        </w:rPr>
        <w:t>baik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7234362" w15:done="0"/>
  <w15:commentEx w15:paraId="22F100F1" w15:done="0"/>
  <w15:commentEx w15:paraId="5B3CE926" w15:done="0"/>
  <w15:commentEx w15:paraId="34386D84" w15:done="0"/>
  <w15:commentEx w15:paraId="7EF8F98D" w15:done="0"/>
  <w15:commentEx w15:paraId="187C96D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erif">
    <w:altName w:val="MS Gothic"/>
    <w:panose1 w:val="00000000000000000000"/>
    <w:charset w:val="8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DejaVu Sans">
    <w:altName w:val="MS Gothic"/>
    <w:panose1 w:val="00000000000000000000"/>
    <w:charset w:val="8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dvGulliv-R">
    <w:altName w:val="Yu Gothic"/>
    <w:panose1 w:val="00000000000000000000"/>
    <w:charset w:val="80"/>
    <w:family w:val="auto"/>
    <w:pitch w:val="default"/>
    <w:sig w:usb0="00000000" w:usb1="00000000" w:usb2="00000010" w:usb3="00000000" w:csb0="00020000" w:csb1="0000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CD08C4">
    <w:pPr>
      <w:pStyle w:val="7"/>
      <w:jc w:val="right"/>
    </w:pPr>
    <w:r>
      <w:rPr>
        <w:rFonts w:ascii="Times New Roman" w:hAnsi="Times New Roman"/>
        <w:sz w:val="18"/>
        <w:szCs w:val="18"/>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0.9pt;margin-top:-3.2pt;height:0.05pt;width:445.5pt;z-index:251661312;mso-width-relative:page;mso-height-relative:page;" filled="f" stroked="t" coordsize="21600,21600" o:gfxdata="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zvA622AAAAAgBAAAPAAAA&#10;AAAAAAEAIAAAACIAAABkcnMvZG93bnJldi54bWxQSwECFAAUAAAACACHTuJAnCsGhdwBAADDAwAA&#10;DgAAAAAAAAABACAAAAAnAQAAZHJzL2Uyb0RvYy54bWxQSwUGAAAAAAYABgBZAQAAdQUAAAAA&#10;">
              <v:fill on="f" focussize="0,0"/>
              <v:stroke color="#000000" joinstyle="round"/>
              <v:imagedata o:title=""/>
              <o:lock v:ext="edit" aspectratio="f"/>
            </v:shape>
          </w:pict>
        </mc:Fallback>
      </mc:AlternateContent>
    </w:r>
    <w:r>
      <w:rPr>
        <w:rFonts w:ascii="Times New Roman" w:hAnsi="Times New Roman"/>
        <w:sz w:val="18"/>
        <w:szCs w:val="18"/>
      </w:rPr>
      <mc:AlternateContent>
        <mc:Choice Requires="wps">
          <w:drawing>
            <wp:anchor distT="0" distB="0" distL="114300" distR="114300" simplePos="0" relativeHeight="251660288" behindDoc="0" locked="0" layoutInCell="1" allowOverlap="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5pt;margin-top:2.1pt;height:32.25pt;width:334.5pt;z-index:251660288;mso-width-relative:page;mso-height-relative:page;" fillcolor="#FFFFFF [3201]" filled="t" stroked="f" coordsize="21600,21600" o:gfxdata="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3mtX11AAAAAgBAAAPAAAAAAAAAAEAIAAAACIA&#10;AABkcnMvZG93bnJldi54bWxQSwECFAAUAAAACACHTuJA/tRkZUYCAACcBAAADgAAAAAAAAABACAA&#10;AAAjAQAAZHJzL2Uyb0RvYy54bWxQSwUGAAAAAAYABgBZAQAA2wUAAAAA&#10;">
              <v:fill on="t" focussize="0,0"/>
              <v:stroke on="f" weight="0.5pt"/>
              <v:imagedata o:title=""/>
              <o:lock v:ext="edit" aspectratio="f"/>
              <v:textbox>
                <w:txbxContent>
                  <w:p w14:paraId="6135922A">
                    <w:pPr>
                      <w:rPr>
                        <w:rFonts w:ascii="Times New Roman" w:hAnsi="Times New Roman" w:cs="Times New Roman"/>
                      </w:rPr>
                    </w:pPr>
                    <w:r>
                      <w:rPr>
                        <w:rFonts w:ascii="Times New Roman" w:hAnsi="Times New Roman" w:cs="Times New Roman"/>
                      </w:rPr>
                      <w:t>http://univ-tridinanti.ac.id/ejournal/index.php/ekonomi/index</w:t>
                    </w:r>
                  </w:p>
                </w:txbxContent>
              </v:textbox>
            </v:shape>
          </w:pict>
        </mc:Fallback>
      </mc:AlternateContent>
    </w:r>
    <w:r>
      <w:rPr>
        <w:rFonts w:ascii="Times New Roman" w:hAnsi="Times New Roman"/>
        <w:sz w:val="18"/>
        <w:szCs w:val="18"/>
      </w:rPr>
      <w:t>`</w:t>
    </w:r>
    <w:sdt>
      <w:sdtPr>
        <w:id w:val="1175392548"/>
        <w:docPartObj>
          <w:docPartGallery w:val="AutoText"/>
        </w:docPartObj>
      </w:sdtPr>
      <w:sdtContent>
        <w:r>
          <w:fldChar w:fldCharType="begin"/>
        </w:r>
        <w:r>
          <w:instrText xml:space="preserve"> PAGE   \* MERGEFORMAT </w:instrText>
        </w:r>
        <w:r>
          <w:fldChar w:fldCharType="separate"/>
        </w:r>
        <w:r>
          <w:t>1</w:t>
        </w:r>
        <w:r>
          <w:fldChar w:fldCharType="end"/>
        </w:r>
      </w:sdtContent>
    </w:sdt>
  </w:p>
  <w:p w14:paraId="5BD613B4">
    <w:pPr>
      <w:pStyle w:val="7"/>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884F6">
    <w:pPr>
      <w:pStyle w:val="9"/>
      <w:tabs>
        <w:tab w:val="clear" w:pos="4680"/>
        <w:tab w:val="clear" w:pos="9360"/>
      </w:tabs>
      <w:rPr>
        <w:rFonts w:ascii="Times New Roman" w:hAnsi="Times New Roman"/>
        <w:b/>
        <w:sz w:val="18"/>
        <w:szCs w:val="18"/>
      </w:rPr>
    </w:pPr>
    <w:r>
      <w:rPr>
        <w:rFonts w:ascii="Times New Roman" w:hAnsi="Times New Roman"/>
        <w:b/>
        <w:sz w:val="18"/>
        <w:szCs w:val="18"/>
      </w:rPr>
      <w:t>Jurnal Kompetitif, Vol. xy, No. xz, hal. XX – XX, Juni dan Desember,</w:t>
    </w:r>
  </w:p>
  <w:p w14:paraId="23B189DD">
    <w:pPr>
      <w:pStyle w:val="9"/>
      <w:tabs>
        <w:tab w:val="clear" w:pos="4680"/>
        <w:tab w:val="clear" w:pos="9360"/>
      </w:tabs>
      <w:rPr>
        <w:rFonts w:ascii="Times New Roman" w:hAnsi="Times New Roman"/>
        <w:b/>
        <w:sz w:val="20"/>
        <w:szCs w:val="20"/>
      </w:rPr>
    </w:pPr>
    <w:r>
      <w:rPr>
        <w:rFonts w:ascii="Times New Roman" w:hAnsi="Times New Roman"/>
        <w:b/>
        <w:sz w:val="18"/>
        <w:szCs w:val="18"/>
      </w:rPr>
      <w:t>p-ISSN 2302-4585; e-ISSN 2721-3765</w:t>
    </w:r>
  </w:p>
  <w:p w14:paraId="6D02BB79">
    <w:pPr>
      <w:pStyle w:val="9"/>
      <w:tabs>
        <w:tab w:val="clear" w:pos="4680"/>
        <w:tab w:val="clear" w:pos="9360"/>
      </w:tabs>
      <w:rPr>
        <w:rFonts w:ascii="Times New Roman" w:hAnsi="Times New Roman"/>
        <w:b/>
        <w:sz w:val="20"/>
        <w:szCs w:val="20"/>
      </w:rPr>
    </w:pPr>
    <w:r>
      <w:rPr>
        <w:rFonts w:ascii="Times New Roman" w:hAnsi="Times New Roman"/>
        <w:sz w:val="18"/>
        <w:szCs w:val="18"/>
      </w:rPr>
      <mc:AlternateContent>
        <mc:Choice Requires="wps">
          <w:drawing>
            <wp:anchor distT="0" distB="0" distL="114300" distR="114300" simplePos="0" relativeHeight="251659264" behindDoc="0" locked="0" layoutInCell="1" allowOverlap="1">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65pt;margin-top:7.25pt;height:0.05pt;width:445.5pt;z-index:251659264;mso-width-relative:page;mso-height-relative:page;" filled="f" stroked="t" coordsize="21600,21600" o:gfxdata="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8h3sR9cAAAAIAQAADwAAAAAA&#10;AAABACAAAAAiAAAAZHJzL2Rvd25yZXYueG1sUEsBAhQAFAAAAAgAh07iQJoxRbfbAQAAwwMAAA4A&#10;AAAAAAAAAQAgAAAAJgEAAGRycy9lMm9Eb2MueG1sUEsFBgAAAAAGAAYAWQEAAHMFAAAAAA==&#10;">
              <v:fill on="f" focussize="0,0"/>
              <v:stroke color="#000000" joinstyle="round"/>
              <v:imagedata o:title=""/>
              <o:lock v:ext="edit" aspectratio="f"/>
            </v:shape>
          </w:pict>
        </mc:Fallback>
      </mc:AlternateContent>
    </w:r>
  </w:p>
  <w:p w14:paraId="1CDF0925">
    <w:pPr>
      <w:pStyle w:val="9"/>
      <w:tabs>
        <w:tab w:val="clear" w:pos="4680"/>
        <w:tab w:val="clear" w:pos="9360"/>
      </w:tabs>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8042E1"/>
    <w:multiLevelType w:val="singleLevel"/>
    <w:tmpl w:val="1B8042E1"/>
    <w:lvl w:ilvl="0" w:tentative="0">
      <w:start w:val="1"/>
      <w:numFmt w:val="decimal"/>
      <w:lvlText w:val="%1."/>
      <w:lvlJc w:val="left"/>
      <w:pPr>
        <w:ind w:left="720" w:hanging="360"/>
      </w:pPr>
      <w:rPr>
        <w:rFonts w:hint="default"/>
        <w:b/>
      </w:rPr>
    </w:lvl>
  </w:abstractNum>
  <w:abstractNum w:abstractNumId="1">
    <w:nsid w:val="546A34E7"/>
    <w:multiLevelType w:val="multilevel"/>
    <w:tmpl w:val="546A34E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7F3142E5"/>
    <w:multiLevelType w:val="multilevel"/>
    <w:tmpl w:val="7F3142E5"/>
    <w:lvl w:ilvl="0" w:tentative="0">
      <w:start w:val="5"/>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xioo">
    <w15:presenceInfo w15:providerId="None" w15:userId="Axio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461"/>
    <w:rsid w:val="000077EA"/>
    <w:rsid w:val="000A02F9"/>
    <w:rsid w:val="000A52AD"/>
    <w:rsid w:val="000C35D5"/>
    <w:rsid w:val="000F53D3"/>
    <w:rsid w:val="00114D19"/>
    <w:rsid w:val="001266E2"/>
    <w:rsid w:val="001D6C15"/>
    <w:rsid w:val="00201938"/>
    <w:rsid w:val="00221BEE"/>
    <w:rsid w:val="00241315"/>
    <w:rsid w:val="0024472B"/>
    <w:rsid w:val="002632B2"/>
    <w:rsid w:val="0027569D"/>
    <w:rsid w:val="002916BB"/>
    <w:rsid w:val="003A0116"/>
    <w:rsid w:val="003A0A7E"/>
    <w:rsid w:val="003A4FD5"/>
    <w:rsid w:val="003B1FAD"/>
    <w:rsid w:val="003C5642"/>
    <w:rsid w:val="003D7346"/>
    <w:rsid w:val="00431B84"/>
    <w:rsid w:val="00454EC3"/>
    <w:rsid w:val="004737BF"/>
    <w:rsid w:val="004E7102"/>
    <w:rsid w:val="004F31FC"/>
    <w:rsid w:val="00507CDB"/>
    <w:rsid w:val="00513DB0"/>
    <w:rsid w:val="00514CD5"/>
    <w:rsid w:val="0052659B"/>
    <w:rsid w:val="00541140"/>
    <w:rsid w:val="00551440"/>
    <w:rsid w:val="005A2EE2"/>
    <w:rsid w:val="005C3D22"/>
    <w:rsid w:val="005E22AA"/>
    <w:rsid w:val="00637C2B"/>
    <w:rsid w:val="006C2BF1"/>
    <w:rsid w:val="00753A77"/>
    <w:rsid w:val="007838C0"/>
    <w:rsid w:val="007C0FBD"/>
    <w:rsid w:val="00812ABA"/>
    <w:rsid w:val="0081438B"/>
    <w:rsid w:val="008D00C5"/>
    <w:rsid w:val="009147E6"/>
    <w:rsid w:val="0093711E"/>
    <w:rsid w:val="009F0E60"/>
    <w:rsid w:val="00A16880"/>
    <w:rsid w:val="00A227F4"/>
    <w:rsid w:val="00A933FB"/>
    <w:rsid w:val="00AF538F"/>
    <w:rsid w:val="00B80303"/>
    <w:rsid w:val="00BC58A3"/>
    <w:rsid w:val="00BE61F2"/>
    <w:rsid w:val="00C32B1A"/>
    <w:rsid w:val="00C9155F"/>
    <w:rsid w:val="00C962BE"/>
    <w:rsid w:val="00CA3828"/>
    <w:rsid w:val="00CD771F"/>
    <w:rsid w:val="00D21E7E"/>
    <w:rsid w:val="00DB71F1"/>
    <w:rsid w:val="00E4159C"/>
    <w:rsid w:val="00E54461"/>
    <w:rsid w:val="00E56AEB"/>
    <w:rsid w:val="00E71D81"/>
    <w:rsid w:val="00E73AC2"/>
    <w:rsid w:val="00F25418"/>
    <w:rsid w:val="00F472D2"/>
    <w:rsid w:val="00F93D4E"/>
    <w:rsid w:val="00FC0411"/>
    <w:rsid w:val="00FF3B1A"/>
    <w:rsid w:val="4C035C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6"/>
    <w:semiHidden/>
    <w:unhideWhenUsed/>
    <w:qFormat/>
    <w:uiPriority w:val="99"/>
    <w:pPr>
      <w:spacing w:after="0" w:line="240" w:lineRule="auto"/>
    </w:pPr>
    <w:rPr>
      <w:rFonts w:ascii="Tahoma" w:hAnsi="Tahoma" w:cs="Tahoma"/>
      <w:sz w:val="16"/>
      <w:szCs w:val="16"/>
    </w:rPr>
  </w:style>
  <w:style w:type="paragraph" w:styleId="5">
    <w:name w:val="caption"/>
    <w:basedOn w:val="1"/>
    <w:qFormat/>
    <w:uiPriority w:val="0"/>
    <w:pPr>
      <w:widowControl w:val="0"/>
      <w:suppressLineNumbers/>
      <w:suppressAutoHyphens/>
      <w:spacing w:before="120" w:after="120" w:line="240" w:lineRule="auto"/>
    </w:pPr>
    <w:rPr>
      <w:rFonts w:ascii="Liberation Serif" w:hAnsi="Liberation Serif" w:eastAsia="DejaVu Sans" w:cs="DejaVu Sans"/>
      <w:i/>
      <w:iCs/>
      <w:kern w:val="1"/>
      <w:sz w:val="24"/>
      <w:szCs w:val="24"/>
      <w:lang w:val="en-ZW" w:eastAsia="hi-IN" w:bidi="hi-IN"/>
    </w:rPr>
  </w:style>
  <w:style w:type="paragraph" w:styleId="6">
    <w:name w:val="annotation text"/>
    <w:basedOn w:val="1"/>
    <w:semiHidden/>
    <w:unhideWhenUsed/>
    <w:uiPriority w:val="99"/>
    <w:pPr>
      <w:jc w:val="left"/>
    </w:pPr>
  </w:style>
  <w:style w:type="paragraph" w:styleId="7">
    <w:name w:val="footer"/>
    <w:basedOn w:val="1"/>
    <w:link w:val="15"/>
    <w:unhideWhenUsed/>
    <w:qFormat/>
    <w:uiPriority w:val="99"/>
    <w:pPr>
      <w:tabs>
        <w:tab w:val="center" w:pos="4680"/>
        <w:tab w:val="right" w:pos="9360"/>
      </w:tabs>
      <w:spacing w:after="0" w:line="240" w:lineRule="auto"/>
    </w:pPr>
  </w:style>
  <w:style w:type="character" w:styleId="8">
    <w:name w:val="footnote reference"/>
    <w:semiHidden/>
    <w:unhideWhenUsed/>
    <w:qFormat/>
    <w:uiPriority w:val="99"/>
    <w:rPr>
      <w:vertAlign w:val="superscript"/>
    </w:rPr>
  </w:style>
  <w:style w:type="paragraph" w:styleId="9">
    <w:name w:val="header"/>
    <w:basedOn w:val="1"/>
    <w:link w:val="14"/>
    <w:unhideWhenUsed/>
    <w:qFormat/>
    <w:uiPriority w:val="99"/>
    <w:pPr>
      <w:tabs>
        <w:tab w:val="center" w:pos="4680"/>
        <w:tab w:val="right" w:pos="9360"/>
      </w:tabs>
      <w:spacing w:after="0" w:line="240" w:lineRule="auto"/>
    </w:pPr>
  </w:style>
  <w:style w:type="character" w:styleId="10">
    <w:name w:val="Hyperlink"/>
    <w:basedOn w:val="2"/>
    <w:unhideWhenUsed/>
    <w:qFormat/>
    <w:uiPriority w:val="99"/>
    <w:rPr>
      <w:color w:val="0000FF" w:themeColor="hyperlink"/>
      <w:u w:val="single"/>
      <w14:textFill>
        <w14:solidFill>
          <w14:schemeClr w14:val="hlink"/>
        </w14:solidFill>
      </w14:textFill>
    </w:rPr>
  </w:style>
  <w:style w:type="paragraph" w:styleId="11">
    <w:name w:val="Normal (Web)"/>
    <w:basedOn w:val="1"/>
    <w:semiHidden/>
    <w:unhideWhenUsed/>
    <w:qFormat/>
    <w:uiPriority w:val="99"/>
    <w:rPr>
      <w:rFonts w:ascii="Times New Roman" w:hAnsi="Times New Roman" w:cs="Times New Roman"/>
      <w:sz w:val="24"/>
      <w:szCs w:val="24"/>
    </w:rPr>
  </w:style>
  <w:style w:type="table" w:styleId="12">
    <w:name w:val="Table Grid"/>
    <w:basedOn w:val="3"/>
    <w:qFormat/>
    <w:uiPriority w:val="39"/>
    <w:pPr>
      <w:spacing w:after="0" w:line="240" w:lineRule="auto"/>
      <w:jc w:val="both"/>
    </w:pPr>
    <w:rPr>
      <w:rFonts w:ascii="Times New Roman" w:hAnsi="Times New Roman"/>
      <w:sz w:val="24"/>
      <w:lang w:val="id-ID"/>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3">
    <w:name w:val="Light Shading Accent 4"/>
    <w:basedOn w:val="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14">
    <w:name w:val="Header Char"/>
    <w:basedOn w:val="2"/>
    <w:link w:val="9"/>
    <w:qFormat/>
    <w:uiPriority w:val="99"/>
  </w:style>
  <w:style w:type="character" w:customStyle="1" w:styleId="15">
    <w:name w:val="Footer Char"/>
    <w:basedOn w:val="2"/>
    <w:link w:val="7"/>
    <w:uiPriority w:val="99"/>
  </w:style>
  <w:style w:type="character" w:customStyle="1" w:styleId="16">
    <w:name w:val="Balloon Text Char"/>
    <w:basedOn w:val="2"/>
    <w:link w:val="4"/>
    <w:semiHidden/>
    <w:qFormat/>
    <w:uiPriority w:val="99"/>
    <w:rPr>
      <w:rFonts w:ascii="Tahoma" w:hAnsi="Tahoma" w:cs="Tahoma"/>
      <w:sz w:val="16"/>
      <w:szCs w:val="16"/>
    </w:rPr>
  </w:style>
  <w:style w:type="paragraph" w:styleId="17">
    <w:name w:val="List Paragraph"/>
    <w:basedOn w:val="1"/>
    <w:link w:val="18"/>
    <w:qFormat/>
    <w:uiPriority w:val="34"/>
    <w:pPr>
      <w:ind w:left="720"/>
      <w:contextualSpacing/>
    </w:pPr>
  </w:style>
  <w:style w:type="character" w:customStyle="1" w:styleId="18">
    <w:name w:val="List Paragraph Char"/>
    <w:link w:val="17"/>
    <w:qFormat/>
    <w:locked/>
    <w:uiPriority w:val="34"/>
  </w:style>
  <w:style w:type="paragraph" w:customStyle="1" w:styleId="19">
    <w:name w:val="icsm_addresses"/>
    <w:basedOn w:val="1"/>
    <w:qFormat/>
    <w:uiPriority w:val="0"/>
    <w:pPr>
      <w:spacing w:after="120" w:line="240" w:lineRule="auto"/>
      <w:jc w:val="center"/>
    </w:pPr>
    <w:rPr>
      <w:rFonts w:ascii="Times New Roman" w:hAnsi="Times New Roman" w:eastAsia="Times New Roman" w:cs="Times New Roman"/>
      <w:i/>
      <w:sz w:val="16"/>
      <w:szCs w:val="20"/>
      <w:lang w:val="en-GB"/>
    </w:rPr>
  </w:style>
  <w:style w:type="paragraph" w:customStyle="1" w:styleId="20">
    <w:name w:val="icsm_heading1"/>
    <w:basedOn w:val="1"/>
    <w:qFormat/>
    <w:uiPriority w:val="0"/>
    <w:pPr>
      <w:spacing w:before="480" w:after="240" w:line="240" w:lineRule="auto"/>
    </w:pPr>
    <w:rPr>
      <w:rFonts w:ascii="Times New Roman" w:hAnsi="Times New Roman" w:eastAsia="Times New Roman" w:cs="Times New Roman"/>
      <w:b/>
      <w:sz w:val="20"/>
      <w:szCs w:val="20"/>
      <w:lang w:val="en-GB"/>
    </w:rPr>
  </w:style>
  <w:style w:type="paragraph" w:customStyle="1" w:styleId="21">
    <w:name w:val="Default"/>
    <w:qFormat/>
    <w:uiPriority w:val="0"/>
    <w:pPr>
      <w:autoSpaceDE w:val="0"/>
      <w:autoSpaceDN w:val="0"/>
      <w:adjustRightInd w:val="0"/>
      <w:spacing w:after="0" w:line="240" w:lineRule="auto"/>
    </w:pPr>
    <w:rPr>
      <w:rFonts w:ascii="Times New Roman" w:hAnsi="Times New Roman" w:eastAsia="Calibri" w:cs="Times New Roman"/>
      <w:color w:val="000000"/>
      <w:sz w:val="24"/>
      <w:szCs w:val="24"/>
      <w:lang w:val="en-US" w:eastAsia="en-US" w:bidi="ar-SA"/>
    </w:rPr>
  </w:style>
  <w:style w:type="paragraph" w:customStyle="1" w:styleId="22">
    <w:name w:val="icsm_bodytext"/>
    <w:basedOn w:val="1"/>
    <w:qFormat/>
    <w:uiPriority w:val="0"/>
    <w:pPr>
      <w:spacing w:after="0" w:line="240" w:lineRule="auto"/>
      <w:ind w:firstLine="240"/>
      <w:jc w:val="both"/>
    </w:pPr>
    <w:rPr>
      <w:rFonts w:ascii="Times New Roman" w:hAnsi="Times New Roman" w:eastAsia="Times New Roman" w:cs="Times New Roman"/>
      <w:sz w:val="20"/>
      <w:szCs w:val="20"/>
      <w:lang w:val="en-GB"/>
    </w:rPr>
  </w:style>
  <w:style w:type="paragraph" w:customStyle="1" w:styleId="23">
    <w:name w:val="icsm_references"/>
    <w:basedOn w:val="1"/>
    <w:qFormat/>
    <w:uiPriority w:val="0"/>
    <w:pPr>
      <w:spacing w:after="0" w:line="240" w:lineRule="auto"/>
      <w:ind w:left="240" w:hanging="240"/>
    </w:pPr>
    <w:rPr>
      <w:rFonts w:ascii="Times New Roman" w:hAnsi="Times New Roman" w:eastAsia="Times New Roman" w:cs="Times New Roman"/>
      <w:sz w:val="16"/>
      <w:szCs w:val="20"/>
      <w:lang w:val="en-GB"/>
    </w:rPr>
  </w:style>
  <w:style w:type="character" w:customStyle="1" w:styleId="24">
    <w:name w:val="Unresolved Mention"/>
    <w:basedOn w:val="2"/>
    <w:semiHidden/>
    <w:unhideWhenUsed/>
    <w:qFormat/>
    <w:uiPriority w:val="99"/>
    <w:rPr>
      <w:color w:val="605E5C"/>
      <w:shd w:val="clear" w:color="auto" w:fill="E1DFDD"/>
    </w:rPr>
  </w:style>
  <w:style w:type="table" w:customStyle="1" w:styleId="25">
    <w:name w:val="Plain Table 2"/>
    <w:basedOn w:val="3"/>
    <w:qFormat/>
    <w:uiPriority w:val="42"/>
    <w:pPr>
      <w:spacing w:after="0" w:line="240" w:lineRule="auto"/>
    </w:pPr>
    <w:rPr>
      <w:kern w:val="2"/>
      <w:lang w:val="zh-CN"/>
      <w14:ligatures w14:val="standardContextual"/>
    </w:r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A0F0EC-FB30-49E2-A8B7-F59FB9947A88}">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8</Pages>
  <Words>1689</Words>
  <Characters>11981</Characters>
  <Lines>391</Lines>
  <Paragraphs>110</Paragraphs>
  <TotalTime>9</TotalTime>
  <ScaleCrop>false</ScaleCrop>
  <LinksUpToDate>false</LinksUpToDate>
  <CharactersWithSpaces>13641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2026-03-05T02:13:00Z</dcterms:created>
  <dc:creator>ismail - [2010]</dc:creator>
  <cp:lastModifiedBy>Axioo</cp:lastModifiedBy>
  <cp:lastPrinted>2026-03-05T02:13:00Z</cp:lastPrinted>
  <dcterms:modified xsi:type="dcterms:W3CDTF">2026-06-23T19:46:17Z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3b72074a-57a2-37d5-befa-80ea5589f337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eyJoZGlkIjoiZDU5YWRiYzdiMTNkM2VlOTkwM2Q3MTk0YmJhMGNiNDciLCJ1c2VySWQiOiI5Nzk5MDI2MjY2MDMifQ==</vt:lpwstr>
  </property>
  <property fmtid="{D5CDD505-2E9C-101B-9397-08002B2CF9AE}" pid="26" name="KSOProductBuildVer">
    <vt:lpwstr>1033-12.1.0.26880</vt:lpwstr>
  </property>
  <property fmtid="{D5CDD505-2E9C-101B-9397-08002B2CF9AE}" pid="27" name="ICV">
    <vt:lpwstr>900C44E1C90248B38A515891CB7A8EC8_12</vt:lpwstr>
  </property>
</Properties>
</file>