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DB5FC">
      <w:pPr>
        <w:pStyle w:val="2"/>
        <w:spacing w:before="219"/>
        <w:ind w:left="1146" w:hanging="565"/>
        <w:jc w:val="center"/>
      </w:pPr>
      <w:r>
        <w:t>FAKTOR-FAKTOR YANG MEMENGARUHI KEPUTUSAN NASABAH MEMILIH PRODUK BANK SYARIAH</w:t>
      </w:r>
    </w:p>
    <w:p w14:paraId="2CAB3879">
      <w:pPr>
        <w:pStyle w:val="7"/>
        <w:spacing w:before="5"/>
        <w:ind w:left="0"/>
        <w:jc w:val="left"/>
        <w:rPr>
          <w:rFonts w:ascii="Calibri"/>
          <w:b/>
          <w:sz w:val="8"/>
        </w:rPr>
      </w:pPr>
      <w:r>
        <w:rPr>
          <w:rFonts w:ascii="Calibri"/>
          <w:b/>
          <w:sz w:val="8"/>
        </w:rPr>
        <mc:AlternateContent>
          <mc:Choice Requires="wps">
            <w:drawing>
              <wp:anchor distT="0" distB="0" distL="0" distR="0" simplePos="0" relativeHeight="251671552" behindDoc="1" locked="0" layoutInCell="1" allowOverlap="1">
                <wp:simplePos x="0" y="0"/>
                <wp:positionH relativeFrom="page">
                  <wp:posOffset>896620</wp:posOffset>
                </wp:positionH>
                <wp:positionV relativeFrom="paragraph">
                  <wp:posOffset>80645</wp:posOffset>
                </wp:positionV>
                <wp:extent cx="5770245" cy="5080"/>
                <wp:effectExtent l="0" t="0" r="0" b="0"/>
                <wp:wrapTopAndBottom/>
                <wp:docPr id="5" name="Graphic 5"/>
                <wp:cNvGraphicFramePr/>
                <a:graphic xmlns:a="http://schemas.openxmlformats.org/drawingml/2006/main">
                  <a:graphicData uri="http://schemas.microsoft.com/office/word/2010/wordprocessingShape">
                    <wps:wsp>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70.6pt;margin-top:6.35pt;height:0.4pt;width:454.35pt;mso-position-horizontal-relative:page;mso-wrap-distance-bottom:0pt;mso-wrap-distance-top:0pt;z-index:-251644928;mso-width-relative:page;mso-height-relative:page;" fillcolor="#000000" filled="t" stroked="f" coordsize="5770245,5080" o:gfxdata="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hp1C2gAA&#10;AAoBAAAPAAAAAAAAAAEAIAAAACIAAABkcnMvZG93bnJldi54bWxQSwECFAAUAAAACACHTuJAhsGY&#10;BRwCAADcBAAADgAAAAAAAAABACAAAAApAQAAZHJzL2Uyb0RvYy54bWxQSwUGAAAAAAYABgBZAQAA&#10;twUAAAAA&#10;" path="m5770245,0l0,0,0,5079,5770245,5079,5770245,0xe">
                <v:fill on="t" focussize="0,0"/>
                <v:stroke on="f"/>
                <v:imagedata o:title=""/>
                <o:lock v:ext="edit" aspectratio="f"/>
                <v:textbox inset="0mm,0mm,0mm,0mm"/>
                <w10:wrap type="topAndBottom"/>
              </v:shape>
            </w:pict>
          </mc:Fallback>
        </mc:AlternateContent>
      </w:r>
    </w:p>
    <w:p w14:paraId="3FA24F13">
      <w:pPr>
        <w:pStyle w:val="7"/>
        <w:spacing w:before="142"/>
        <w:ind w:left="0"/>
        <w:jc w:val="left"/>
        <w:rPr>
          <w:rFonts w:ascii="Calibri"/>
          <w:b/>
        </w:rPr>
      </w:pPr>
    </w:p>
    <w:p w14:paraId="50C072EE">
      <w:pPr>
        <w:pStyle w:val="3"/>
        <w:ind w:left="2" w:right="2"/>
        <w:jc w:val="center"/>
        <w:rPr>
          <w:rFonts w:ascii="Calibri"/>
        </w:rPr>
      </w:pPr>
      <w:r>
        <w:t>Nuri Annisa Fitri</w:t>
      </w:r>
      <w:r>
        <w:rPr>
          <w:spacing w:val="-20"/>
        </w:rPr>
        <w:t xml:space="preserve"> </w:t>
      </w:r>
      <w:r>
        <w:rPr>
          <w:vertAlign w:val="superscript"/>
        </w:rPr>
        <w:t>1*</w:t>
      </w:r>
      <w:r>
        <w:t>,</w:t>
      </w:r>
      <w:r>
        <w:rPr>
          <w:spacing w:val="-5"/>
        </w:rPr>
        <w:t xml:space="preserve"> </w:t>
      </w:r>
      <w:r>
        <w:t>Hisbullah Basri</w:t>
      </w:r>
      <w:r>
        <w:rPr>
          <w:spacing w:val="-19"/>
        </w:rPr>
        <w:t xml:space="preserve"> </w:t>
      </w:r>
      <w:r>
        <w:rPr>
          <w:vertAlign w:val="superscript"/>
        </w:rPr>
        <w:t>2)</w:t>
      </w:r>
      <w:r>
        <w:t>,</w:t>
      </w:r>
      <w:r>
        <w:rPr>
          <w:spacing w:val="-12"/>
        </w:rPr>
        <w:t xml:space="preserve"> </w:t>
      </w:r>
      <w:r>
        <w:t>Irayani</w:t>
      </w:r>
      <w:r>
        <w:rPr>
          <w:spacing w:val="-5"/>
        </w:rPr>
        <w:t xml:space="preserve"> </w:t>
      </w:r>
      <w:r>
        <w:rPr>
          <w:rFonts w:ascii="Calibri"/>
          <w:spacing w:val="-5"/>
          <w:vertAlign w:val="superscript"/>
        </w:rPr>
        <w:t>3)</w:t>
      </w:r>
      <w:r>
        <w:t>, Nadia Dwi Anggraini</w:t>
      </w:r>
      <w:r>
        <w:rPr>
          <w:spacing w:val="-5"/>
        </w:rPr>
        <w:t xml:space="preserve"> </w:t>
      </w:r>
      <w:r>
        <w:rPr>
          <w:rFonts w:ascii="Calibri"/>
          <w:spacing w:val="-5"/>
          <w:vertAlign w:val="superscript"/>
        </w:rPr>
        <w:t>4)</w:t>
      </w:r>
    </w:p>
    <w:p w14:paraId="0205E4F0">
      <w:pPr>
        <w:spacing w:before="3" w:line="289" w:lineRule="exact"/>
        <w:ind w:left="3" w:right="1"/>
        <w:jc w:val="center"/>
        <w:rPr>
          <w:rFonts w:ascii="Calibri"/>
          <w:b/>
          <w:sz w:val="24"/>
        </w:rPr>
      </w:pPr>
      <w:r>
        <w:rPr>
          <w:rFonts w:ascii="Calibri"/>
          <w:b/>
          <w:sz w:val="24"/>
        </w:rPr>
        <w:t>Fakultas</w:t>
      </w:r>
      <w:r>
        <w:rPr>
          <w:rFonts w:ascii="Calibri"/>
          <w:b/>
          <w:spacing w:val="-5"/>
          <w:sz w:val="24"/>
        </w:rPr>
        <w:t xml:space="preserve"> </w:t>
      </w:r>
      <w:r>
        <w:rPr>
          <w:rFonts w:ascii="Calibri"/>
          <w:b/>
          <w:sz w:val="24"/>
        </w:rPr>
        <w:t>Ekonomi</w:t>
      </w:r>
      <w:r>
        <w:rPr>
          <w:rFonts w:ascii="Calibri"/>
          <w:b/>
          <w:spacing w:val="-3"/>
          <w:sz w:val="24"/>
        </w:rPr>
        <w:t xml:space="preserve"> </w:t>
      </w:r>
      <w:r>
        <w:rPr>
          <w:rFonts w:ascii="Calibri"/>
          <w:b/>
          <w:sz w:val="24"/>
        </w:rPr>
        <w:t>dan</w:t>
      </w:r>
      <w:r>
        <w:rPr>
          <w:rFonts w:ascii="Calibri"/>
          <w:b/>
          <w:spacing w:val="-7"/>
          <w:sz w:val="24"/>
        </w:rPr>
        <w:t xml:space="preserve"> </w:t>
      </w:r>
      <w:r>
        <w:rPr>
          <w:rFonts w:ascii="Calibri"/>
          <w:b/>
          <w:sz w:val="24"/>
        </w:rPr>
        <w:t>Bisnis,</w:t>
      </w:r>
      <w:r>
        <w:rPr>
          <w:rFonts w:ascii="Calibri"/>
          <w:b/>
          <w:spacing w:val="-5"/>
          <w:sz w:val="24"/>
        </w:rPr>
        <w:t xml:space="preserve"> </w:t>
      </w:r>
      <w:r>
        <w:rPr>
          <w:rFonts w:ascii="Calibri"/>
          <w:b/>
          <w:sz w:val="24"/>
        </w:rPr>
        <w:t>Universitas</w:t>
      </w:r>
      <w:r>
        <w:rPr>
          <w:rFonts w:ascii="Calibri"/>
          <w:b/>
          <w:spacing w:val="-3"/>
          <w:sz w:val="24"/>
        </w:rPr>
        <w:t xml:space="preserve"> </w:t>
      </w:r>
      <w:r>
        <w:rPr>
          <w:rFonts w:ascii="Calibri"/>
          <w:b/>
          <w:sz w:val="24"/>
        </w:rPr>
        <w:t>Tridinanti,</w:t>
      </w:r>
      <w:r>
        <w:rPr>
          <w:rFonts w:ascii="Calibri"/>
          <w:b/>
          <w:spacing w:val="-5"/>
          <w:sz w:val="24"/>
        </w:rPr>
        <w:t xml:space="preserve"> </w:t>
      </w:r>
      <w:r>
        <w:rPr>
          <w:rFonts w:ascii="Calibri"/>
          <w:b/>
          <w:sz w:val="24"/>
        </w:rPr>
        <w:t>Palembang,</w:t>
      </w:r>
      <w:r>
        <w:rPr>
          <w:rFonts w:ascii="Calibri"/>
          <w:b/>
          <w:spacing w:val="5"/>
          <w:sz w:val="24"/>
        </w:rPr>
        <w:t xml:space="preserve"> </w:t>
      </w:r>
      <w:r>
        <w:rPr>
          <w:rFonts w:ascii="Calibri"/>
          <w:b/>
          <w:sz w:val="24"/>
        </w:rPr>
        <w:t>Sumatera</w:t>
      </w:r>
      <w:r>
        <w:rPr>
          <w:rFonts w:ascii="Calibri"/>
          <w:b/>
          <w:spacing w:val="-2"/>
          <w:sz w:val="24"/>
        </w:rPr>
        <w:t xml:space="preserve"> Selatan</w:t>
      </w:r>
    </w:p>
    <w:p w14:paraId="372C81D0">
      <w:pPr>
        <w:spacing w:line="272" w:lineRule="exact"/>
        <w:ind w:left="3" w:right="1"/>
        <w:jc w:val="center"/>
        <w:rPr>
          <w:i/>
          <w:sz w:val="24"/>
        </w:rPr>
      </w:pPr>
      <w:r>
        <w:rPr>
          <w:sz w:val="24"/>
        </w:rPr>
        <w:t>E-mail</w:t>
      </w:r>
      <w:r>
        <w:rPr>
          <w:spacing w:val="-2"/>
          <w:sz w:val="24"/>
        </w:rPr>
        <w:t xml:space="preserve"> </w:t>
      </w:r>
      <w:r>
        <w:rPr>
          <w:sz w:val="24"/>
        </w:rPr>
        <w:t>:</w:t>
      </w:r>
      <w:r>
        <w:rPr>
          <w:spacing w:val="-6"/>
          <w:sz w:val="24"/>
        </w:rPr>
        <w:t xml:space="preserve"> </w:t>
      </w:r>
      <w:r>
        <w:fldChar w:fldCharType="begin"/>
      </w:r>
      <w:r>
        <w:instrText xml:space="preserve"> HYPERLINK "mailto:nuri_af@univ-tridinanti.ac.id" </w:instrText>
      </w:r>
      <w:r>
        <w:fldChar w:fldCharType="separate"/>
      </w:r>
      <w:r>
        <w:rPr>
          <w:rStyle w:val="10"/>
          <w:i/>
          <w:spacing w:val="-2"/>
          <w:sz w:val="24"/>
        </w:rPr>
        <w:t>nuri_af@univ-tridinanti.ac.id</w:t>
      </w:r>
      <w:r>
        <w:rPr>
          <w:rStyle w:val="10"/>
          <w:i/>
          <w:spacing w:val="-2"/>
          <w:sz w:val="24"/>
        </w:rPr>
        <w:fldChar w:fldCharType="end"/>
      </w:r>
    </w:p>
    <w:p w14:paraId="417CCC00">
      <w:pPr>
        <w:pStyle w:val="7"/>
        <w:spacing w:before="230"/>
        <w:ind w:left="0"/>
        <w:jc w:val="left"/>
        <w:rPr>
          <w:i/>
        </w:rPr>
      </w:pPr>
    </w:p>
    <w:p w14:paraId="6BAAF8C2">
      <w:pPr>
        <w:spacing w:before="1"/>
        <w:ind w:left="2" w:right="3"/>
        <w:jc w:val="center"/>
        <w:rPr>
          <w:rFonts w:ascii="Calibri"/>
          <w:b/>
        </w:rPr>
      </w:pPr>
      <w:r>
        <w:rPr>
          <w:rFonts w:ascii="Calibri"/>
          <w:b/>
          <w:spacing w:val="-2"/>
        </w:rPr>
        <w:t>ABSTRACT</w:t>
      </w:r>
    </w:p>
    <w:p w14:paraId="61364AEE">
      <w:pPr>
        <w:jc w:val="both"/>
        <w:rPr>
          <w:i/>
          <w:iCs/>
          <w:sz w:val="20"/>
          <w:szCs w:val="20"/>
        </w:rPr>
      </w:pPr>
      <w:r>
        <w:rPr>
          <w:i/>
          <w:iCs/>
          <w:sz w:val="20"/>
          <w:szCs w:val="20"/>
        </w:rPr>
        <w:t>This study aims to determine the factors that influence individuals to choose Islamic banking products. Sampling was conducted using a random sampling technique. This technique resulted in a sample size of 100 respondents. The primary data used in this study was a questionnaire. The questionnaire was distributed to respondents via Google Form. The questionnaire results were processed using IBM SPSS Statistics software. The results of the hypothesis testing indicate that Religiosity (X1) significantly influences Customer Decisions (Y) with a sig. value of 0.038 (&lt;0.05). Profit (X2) significantly influences Customer Decisions (Y) with a sig. value of 0.009 (&lt;0.05). Service (X3) does not significantly influence Customer Decisions (Y), with a sig. value of 0.471 (&gt;0.05). Facilities (X4) does not significantly influence Customer Decisions (Y), with a sig. value of 0.009 (&lt;0.05). of 0.259 (&gt;0.05). Product (X5) significantly influences Customer Decisions (Y) with a sig. value of 0.000 (&lt;0.05). Simultaneously, the sig. F value is 0.000 &lt;0.05. This means that Religiosity, Profit (profit sharing), Service, Facilities, and Products influence Customer Decisions.</w:t>
      </w:r>
    </w:p>
    <w:p w14:paraId="52BA3D0E">
      <w:pPr>
        <w:jc w:val="both"/>
        <w:rPr>
          <w:i/>
          <w:iCs/>
          <w:sz w:val="20"/>
          <w:szCs w:val="20"/>
        </w:rPr>
      </w:pPr>
    </w:p>
    <w:p w14:paraId="7AE569BE">
      <w:pPr>
        <w:jc w:val="both"/>
        <w:rPr>
          <w:i/>
          <w:iCs/>
          <w:sz w:val="20"/>
          <w:szCs w:val="20"/>
        </w:rPr>
      </w:pPr>
      <w:r>
        <w:rPr>
          <w:i/>
          <w:iCs/>
          <w:sz w:val="20"/>
          <w:szCs w:val="20"/>
        </w:rPr>
        <w:t>Keywords: Customer Decisions, Religiosity, Profit (profit sharing), Service, Facilities, Products.</w:t>
      </w:r>
    </w:p>
    <w:p w14:paraId="0EF7BD83">
      <w:pPr>
        <w:pStyle w:val="7"/>
        <w:spacing w:before="149"/>
        <w:ind w:left="0"/>
        <w:jc w:val="left"/>
        <w:rPr>
          <w:i/>
          <w:sz w:val="20"/>
        </w:rPr>
      </w:pPr>
    </w:p>
    <w:p w14:paraId="512E099B">
      <w:pPr>
        <w:pStyle w:val="2"/>
        <w:ind w:left="2" w:right="1"/>
        <w:jc w:val="center"/>
      </w:pPr>
      <w:r>
        <w:rPr>
          <w:spacing w:val="-2"/>
        </w:rPr>
        <w:t>ABSTRAK</w:t>
      </w:r>
    </w:p>
    <w:p w14:paraId="570F9F6B">
      <w:pPr>
        <w:jc w:val="both"/>
        <w:rPr>
          <w:color w:val="000000" w:themeColor="text1"/>
          <w:sz w:val="20"/>
          <w:szCs w:val="20"/>
          <w:lang w:eastAsia="id-ID"/>
          <w14:textFill>
            <w14:solidFill>
              <w14:schemeClr w14:val="tx1"/>
            </w14:solidFill>
          </w14:textFill>
        </w:rPr>
      </w:pPr>
      <w:r>
        <w:rPr>
          <w:color w:val="000000" w:themeColor="text1"/>
          <w:sz w:val="20"/>
          <w:szCs w:val="20"/>
          <w:lang w:eastAsia="id-ID"/>
          <w14:textFill>
            <w14:solidFill>
              <w14:schemeClr w14:val="tx1"/>
            </w14:solidFill>
          </w14:textFill>
        </w:rPr>
        <w:t>Penelitian ini bertujuan untuk mengetahui faktor-faktor yang memengaruhi seseorang memilih produk bank syariah. Pengambilan sampel menggunakan teknik random sampling. Melalui teknik tersebut, jumlah sampel penelitian ini sebanyak 100 responden. Data Primer yang digunakan penelitian ini dalam bentuk kuesioner. Kuesioner dibagikan kepada para resonden melalui google form. Hasil kuesioner diolah melalui software IBM SPSS Statistics. Berdasarkan hasil pengujian hipotesis menunjukkan bahwa Religiusitas (X1) berpengaruh signifikan terhadap Keputusan Nasabah (Y) dengan nilai sig. sebesar 0,038 (&lt;0,05). Profit (X2) berpengaruh signifikan terhadap Keputusan Nasabah (Y) dengan nilai sig. sebesar 0,009 (&lt;0,05). Pelayanan (X3) tidak berpengaruh signifikan terhadap Keputusan Nasabah (Y), dimana nilai sig. sebesar 0,471 (&gt;0,05). Fasilitas (X4) tidak berpengaruh signifikan terhadap Keputusan Nasabah (Y), dimana nilai sig. sebesar 0,259 (&gt;0,05). Produk (X5) berpengaruh signifikan terhadap Keputusan Nasabah (Y) dengan nilai sig. sebesar 0,000 (&lt;0,05). Secara simultan, nilai sig. F sebesar 0,000 &lt; 0,05. Artinya, Religiusitas, Profit (bagi hasil), Pelayanan, Fasilitas, Produk berpengaruh terhadap Keputusan Nasabah.</w:t>
      </w:r>
    </w:p>
    <w:p w14:paraId="0D63B6F2">
      <w:pPr>
        <w:jc w:val="both"/>
        <w:rPr>
          <w:color w:val="000000" w:themeColor="text1"/>
          <w:sz w:val="20"/>
          <w:szCs w:val="20"/>
          <w:lang w:eastAsia="id-ID"/>
          <w14:textFill>
            <w14:solidFill>
              <w14:schemeClr w14:val="tx1"/>
            </w14:solidFill>
          </w14:textFill>
        </w:rPr>
      </w:pPr>
    </w:p>
    <w:p w14:paraId="47DD503A">
      <w:pPr>
        <w:jc w:val="both"/>
        <w:rPr>
          <w:color w:val="000000" w:themeColor="text1"/>
          <w:sz w:val="20"/>
          <w:szCs w:val="20"/>
          <w:lang w:eastAsia="id-ID"/>
          <w14:textFill>
            <w14:solidFill>
              <w14:schemeClr w14:val="tx1"/>
            </w14:solidFill>
          </w14:textFill>
        </w:rPr>
      </w:pPr>
      <w:r>
        <w:rPr>
          <w:sz w:val="20"/>
          <w:szCs w:val="20"/>
          <w:lang w:eastAsia="id-ID"/>
        </w:rPr>
        <w:t>Kata Kunci : Keputusan Nasabah, Religiusitas, Profit (bagi hasil), Pelayanan, Fasilitas, Produk.</w:t>
      </w:r>
    </w:p>
    <w:p w14:paraId="105B8FE6">
      <w:pPr>
        <w:pStyle w:val="7"/>
        <w:spacing w:before="162"/>
        <w:ind w:left="0"/>
        <w:jc w:val="left"/>
        <w:rPr>
          <w:sz w:val="20"/>
        </w:rPr>
      </w:pPr>
    </w:p>
    <w:p w14:paraId="23AC2154">
      <w:pPr>
        <w:pStyle w:val="7"/>
        <w:jc w:val="left"/>
        <w:rPr>
          <w:sz w:val="20"/>
        </w:rPr>
        <w:sectPr>
          <w:headerReference r:id="rId3" w:type="default"/>
          <w:footerReference r:id="rId4" w:type="default"/>
          <w:type w:val="continuous"/>
          <w:pgSz w:w="11910" w:h="16840"/>
          <w:pgMar w:top="1220" w:right="1275" w:bottom="1360" w:left="1275" w:header="175" w:footer="1165" w:gutter="0"/>
          <w:pgNumType w:fmt="decimal" w:start="26"/>
          <w:cols w:space="720" w:num="1"/>
        </w:sectPr>
      </w:pPr>
    </w:p>
    <w:p w14:paraId="1D8764E4">
      <w:pPr>
        <w:pStyle w:val="2"/>
        <w:spacing w:before="98"/>
        <w:rPr>
          <w:rFonts w:ascii="Times New Roman"/>
        </w:rPr>
      </w:pPr>
      <w:r>
        <w:rPr>
          <w:rFonts w:ascii="Times New Roman"/>
          <w:spacing w:val="-2"/>
        </w:rPr>
        <w:t>PENDAHULUAN</w:t>
      </w:r>
    </w:p>
    <w:p w14:paraId="513734C5">
      <w:pPr>
        <w:jc w:val="both"/>
        <w:rPr>
          <w:sz w:val="24"/>
          <w:szCs w:val="24"/>
        </w:rPr>
      </w:pPr>
      <w:r>
        <w:rPr>
          <w:sz w:val="24"/>
          <w:szCs w:val="24"/>
        </w:rPr>
        <w:t xml:space="preserve">Perbankan syariah sebagai salah satu cabang industri keuangan global yang pertumbuhannya paling cepat selama beberapa tahun terakhir ini </w:t>
      </w:r>
      <w:r>
        <w:rPr>
          <w:sz w:val="24"/>
          <w:szCs w:val="24"/>
        </w:rPr>
        <w:fldChar w:fldCharType="begin" w:fldLock="1"/>
      </w:r>
      <w:r>
        <w:rPr>
          <w:sz w:val="24"/>
          <w:szCs w:val="24"/>
        </w:rPr>
        <w:instrText xml:space="preserve">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Pr>
          <w:sz w:val="24"/>
          <w:szCs w:val="24"/>
        </w:rPr>
        <w:fldChar w:fldCharType="separate"/>
      </w:r>
      <w:r>
        <w:rPr>
          <w:sz w:val="24"/>
          <w:szCs w:val="24"/>
        </w:rPr>
        <w:t>(Tekdogan &amp; Atasoy, 2021)</w:t>
      </w:r>
      <w:r>
        <w:rPr>
          <w:sz w:val="24"/>
          <w:szCs w:val="24"/>
        </w:rPr>
        <w:fldChar w:fldCharType="end"/>
      </w:r>
      <w:r>
        <w:rPr>
          <w:sz w:val="24"/>
          <w:szCs w:val="24"/>
        </w:rPr>
        <w:t>. Pertumbuhan perbankan syariah terbilang cukup signifikan dan menyebar di berbagai negara, termasuk Indonesia. Perkembangan ini tidak terlepas dari meningkatnya kesadaran masyarakat yang ingin mengedepankan transaksi keuangan yang adil dan seimbang sesuai prinsip Islam. Prinsip Islam di sini artinya bagi perbankan syariah produk dan layanan yang ditawarkan harus sesuai dengan prinsip syariah. Prinsip syariah seperti menghindari unsur riba, gharar dan maysir. Pembiayaan pada perbankan syariah berbasis akad mudharabah, musyarakah, murabahah dan berbagai skema lainnya yang menghindari unsur riba, gharar dan maysir. Masyarakat yang ingin mengelola keuangannya sesuai dengan ajaran Islam pasti menjadikan bank syariah sebagai pilihannya. Ada beberapa faktor penting yang menjadi alasan seseorang memilih atau memutuskan untuk menggunakan produk perbankan syariah dan masing-masing faktor ini memiliki peran penting dalam membentuk persepsi dan preferensi mereka.</w:t>
      </w:r>
    </w:p>
    <w:p w14:paraId="4DF04F3E">
      <w:pPr>
        <w:jc w:val="both"/>
        <w:rPr>
          <w:color w:val="EE0000"/>
          <w:sz w:val="24"/>
          <w:szCs w:val="24"/>
        </w:rPr>
      </w:pP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Yusuf, &amp; Martaliah, 2024)","manualFormatting":"(Khatami et.al, 2024)","plainTextFormattedCitation":"(Khatami, Yusuf, &amp; Martaliah, 2024)","previouslyFormattedCitation":"(Khatami, Yusuf, &amp; Martaliah,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color w:val="000000" w:themeColor="text1"/>
          <w:sz w:val="24"/>
          <w:szCs w:val="24"/>
          <w14:textFill>
            <w14:solidFill>
              <w14:schemeClr w14:val="tx1"/>
            </w14:solidFill>
          </w14:textFill>
        </w:rPr>
        <w:t>Salah satu alasan utama masyarakat memilih produk bank syariah adalah faktor religiusitas. Kesadaran masyarakat mengenai pentingnya melakukan transaksi keuangan dengan berpedoman pada ajaran Islam membuat mereka beralih dari bank konvensional ke bank syariah. Keyakinan yang dimiliki seseorang, dalam hal ini sikap religiusitas menjadi salah satu faktor yang menentukan mereka dalam mengambil keputusan, termasuk memilih layanan perbankan berbasis syariah untuk memenuhi transaksi keuangannya. Seseorang yang beralih dari nasabah bank konvensional menjadi bank syariah menunjukkan bahwa mereka memiliki sikap religiusitas yang tinggi. Bank syariah hadir untuk dapat memberikan ketenangan bagi masyarakat karena dana yang mereka simpan dan transaksi yang dilakukan tidak mengandung riba. Para ulama dan lembaga keagamaan berperan penting dalam memberikan edukasi mengenai layanan keuangan berbasis syariah.</w:t>
      </w:r>
    </w:p>
    <w:p w14:paraId="171CEA06">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Selain faktor religiusitas, keuntungan finansial (bagi hasil) juga menjadi pertimbangan utama bagi nasabah dalam memilih bank syariah </w:t>
      </w: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Suprapto, &amp; Fuad, 2023)","manualFormatting":"(Azhar et.al, 2023)","plainTextFormattedCitation":"(Azhar, Suprapto, &amp; Fuad, 2023)","previouslyFormattedCitation":"(Azhar, Suprapto, &amp; Fuad,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(Azhar et.al,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Sistem perbankan syariah menerapkan sistem bagi hasil yang berbanding terbalik dengan sistem bunga yang ditetapkan bank konvensional. Adanya sistem bagi hasil ini membuat para nasabah merasakan keuntungan dari transaksi keuangan secara adil dan transparan. Sebagai contoh, bank syariah menerapkan akad mudharabah di mana pemilik modal (sahibul mal) adalah nasabah dan pengelola dana (mudharib) adalah bank. Kedua belah pihak ini telah membentuk kesepakatan dari awal mengenai pembagian keuntungan yang diperoleh dari suatu usaha. Skema seperti ini dipandang lebih adil jika dibandingkan dengan skema penetapan bunga yang diterapkan oleh bank konvensional. Potensi keuntungan yang lebih besar melalui penerapan sistem bagi hasil ini membuat masyarakat pada akhirnya memilih bank syariah dibandingkan bank konvensional yang menetapkan bunga. Selain itu, penerapan sistem bagi hasil ini sesuai dengan prinsip keadilan yang dimaksud dalam Islam, di mana antara bank dan nasabah menanggung secara bersama baik keuntungan maupun risiko kerugian.</w:t>
      </w:r>
    </w:p>
    <w:p w14:paraId="4B4A9C41">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Pelayanan yang diberikan oleh bank syariah juga menjadi salah satu faktor penting yang mempengaruhi keputusan nasabah dalam memilih produk perbankan syariah </w:t>
      </w:r>
      <w:r>
        <w:rPr>
          <w:b/>
          <w:bCs/>
          <w:color w:val="000000" w:themeColor="text1"/>
          <w:sz w:val="24"/>
          <w:szCs w:val="24"/>
          <w14:textFill>
            <w14:solidFill>
              <w14:schemeClr w14:val="tx1"/>
            </w14:solidFill>
          </w14:textFill>
        </w:rPr>
        <w:fldChar w:fldCharType="begin" w:fldLock="1"/>
      </w:r>
      <w:r>
        <w:rPr>
          <w:b/>
          <w:bCs/>
          <w:color w:val="000000" w:themeColor="text1"/>
          <w:sz w:val="24"/>
          <w:szCs w:val="24"/>
          <w14:textFill>
            <w14:solidFill>
              <w14:schemeClr w14:val="tx1"/>
            </w14:solidFill>
          </w14:textFill>
        </w:rPr>
        <w:instrText xml:space="preserve">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Pr>
          <w:b/>
          <w:bCs/>
          <w:color w:val="000000" w:themeColor="text1"/>
          <w:sz w:val="24"/>
          <w:szCs w:val="24"/>
          <w14:textFill>
            <w14:solidFill>
              <w14:schemeClr w14:val="tx1"/>
            </w14:solidFill>
          </w14:textFill>
        </w:rPr>
        <w:fldChar w:fldCharType="separate"/>
      </w:r>
      <w:r>
        <w:rPr>
          <w:bCs/>
          <w:color w:val="000000" w:themeColor="text1"/>
          <w:sz w:val="24"/>
          <w:szCs w:val="24"/>
          <w14:textFill>
            <w14:solidFill>
              <w14:schemeClr w14:val="tx1"/>
            </w14:solidFill>
          </w14:textFill>
        </w:rPr>
        <w:t>(Zahara, 2020)</w:t>
      </w:r>
      <w:r>
        <w:rPr>
          <w:b/>
          <w:bCs/>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Tingkat kepuasan nasabah dapat diukur melalui kualitas layanan yang diberikan bank terhadap nasabahnya. Pengukuran kualitas layanan ini dapat dilihat dari berbagai aspek, seperti keramahan staf pegawai, kecepatan transaksi, kemudahan nasabah dalam mendapatkan informasi, serta transparansi dalam sistem keuangan. Dalam konteks perbankan syariah, selain bekerja secara profesionalisme, adanya kejujuran, amanah dan keadilan sesuai dengan nilai-nilai Islam menjadi penyempurna kualitas pelayanan. Saat ini, bank syariah dinilai sudah dapat bersaing dengan bank konvensional, hal ini dibuktikan dengan telah tersedianya layanan digital yang lebih efisien dan kantor atau unit yang mudah ditemukan dan sudah tersebar luas. Perbankan syariah terus memberikan layanan yang prima baik kepada nasabah maupun kepada masyarakat luas, seperti memberikan kemudahan bagi mereka untuk mendapatkan edukasi mengenai produk-produk syariah. </w:t>
      </w:r>
    </w:p>
    <w:p w14:paraId="08594CAC">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Ketersediaan fasilitas yang memadai juga menjadi pertimbangan bagi nasabah dalam memilih bank syariah </w:t>
      </w: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(Angliawati,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Dalam konteks perbankan, fasilitas diumpamakan sebagai magnet yang dapat menarik nasabah baru dan mempertahankan kesetiaan nasabahnya. Fasilitas yang maksimal akan memperkuat daya tarik bank tersebut. Pengukuran fasilitas yang maksimal ini dapat dilihat dari kelengkapan yang disediakan bank tersebut, seperti layanan ATM, </w:t>
      </w:r>
      <w:r>
        <w:rPr>
          <w:i/>
          <w:iCs/>
          <w:color w:val="000000" w:themeColor="text1"/>
          <w:sz w:val="24"/>
          <w:szCs w:val="24"/>
          <w14:textFill>
            <w14:solidFill>
              <w14:schemeClr w14:val="tx1"/>
            </w14:solidFill>
          </w14:textFill>
        </w:rPr>
        <w:t>Internet Banking</w:t>
      </w:r>
      <w:r>
        <w:rPr>
          <w:color w:val="000000" w:themeColor="text1"/>
          <w:sz w:val="24"/>
          <w:szCs w:val="24"/>
          <w14:textFill>
            <w14:solidFill>
              <w14:schemeClr w14:val="tx1"/>
            </w14:solidFill>
          </w14:textFill>
        </w:rPr>
        <w:t xml:space="preserve">, </w:t>
      </w:r>
      <w:r>
        <w:rPr>
          <w:i/>
          <w:iCs/>
          <w:color w:val="000000" w:themeColor="text1"/>
          <w:sz w:val="24"/>
          <w:szCs w:val="24"/>
          <w14:textFill>
            <w14:solidFill>
              <w14:schemeClr w14:val="tx1"/>
            </w14:solidFill>
          </w14:textFill>
        </w:rPr>
        <w:t>Mobile Banking</w:t>
      </w:r>
      <w:r>
        <w:rPr>
          <w:color w:val="000000" w:themeColor="text1"/>
          <w:sz w:val="24"/>
          <w:szCs w:val="24"/>
          <w14:textFill>
            <w14:solidFill>
              <w14:schemeClr w14:val="tx1"/>
            </w14:solidFill>
          </w14:textFill>
        </w:rPr>
        <w:t>, kantor atau unit yang tersebar luas, kenyamanan dan kemudahan bagi para nasabah dalam mengakses fasilitas tersebut. Dalam beberapa tahun terakhir ini, perbankan syariah terus berinovasi untuk meningkatkan fasilitas yang akan mereka tawarkan kepada masyarakat. Salah satu langkah yang diambil bank syariah untuk bersaing dengan bank konvensional adalah dengan menciptakan digitalisasi layanan perbankan yang mampu memenuhi kebutuhan nasabah dengan mudah dan efisien.</w:t>
      </w:r>
    </w:p>
    <w:p w14:paraId="05C17AEC">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Wiralaga, &amp; Zahra, 2023)","manualFormatting":"(Bustomi et.al, 2023)","plainTextFormattedCitation":"(Bustomi, Wiralaga, &amp; Zahra, 2023)","previouslyFormattedCitation":"(Bustomi, Wiralaga, &amp; Zahra,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(Bustomi et.al,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dalam penelitiannya mengatakan faktor produk yang ditawarkan oleh bank syariah juga memainkan peran penting dalam menarik minat nasabah. Produk yang disediakan bank syariah telah sesuai dengan prinsip syariah. produk tabungan Syariah berbasis akad wadiah (titipan) dan mudharabah (bagi hasil), Deposito berbasis akad (mudharabah), Pembiayaan dengan prinsip syariah (murabahah, Ijarah, musyarakah), serta produk investasi yang tidak bertentangan dengan prinsip syariah. keberagaman produk yang ditawarkan bank syariah memberikan kemudahan bagi nasabah untuk memenuhi kebutuhan mereka. produk yang kompetitif selalu disertai inovasi yang berkelanjutan. Inovasi merupakan faktor kunci yang dilakukan perbankan syariah untuk menarik nasabah baru sekaligus meningkatkan daya saing di industri perbankan.</w:t>
      </w:r>
    </w:p>
    <w:p w14:paraId="610EAB87">
      <w:pPr>
        <w:jc w:val="both"/>
        <w:rPr>
          <w:color w:val="000000" w:themeColor="text1"/>
          <w:sz w:val="24"/>
          <w:szCs w:val="24"/>
          <w14:textFill>
            <w14:solidFill>
              <w14:schemeClr w14:val="tx1"/>
            </w14:solidFill>
          </w14:textFill>
        </w:rPr>
      </w:pPr>
    </w:p>
    <w:p w14:paraId="34B5CC1E">
      <w:pPr>
        <w:pStyle w:val="3"/>
        <w:rPr>
          <w:spacing w:val="-2"/>
        </w:rPr>
      </w:pPr>
      <w:r>
        <w:rPr>
          <w:spacing w:val="-2"/>
        </w:rPr>
        <w:t>TINJAUAN PUSTAKA</w:t>
      </w:r>
    </w:p>
    <w:p w14:paraId="71EE0CAB">
      <w:pPr>
        <w:pStyle w:val="3"/>
        <w:rPr>
          <w:spacing w:val="-2"/>
        </w:rPr>
      </w:pPr>
    </w:p>
    <w:p w14:paraId="0628374B">
      <w:pPr>
        <w:pStyle w:val="12"/>
        <w:widowControl/>
        <w:numPr>
          <w:ilvl w:val="0"/>
          <w:numId w:val="1"/>
        </w:numPr>
        <w:autoSpaceDE/>
        <w:autoSpaceDN/>
        <w:spacing w:after="160" w:line="259" w:lineRule="auto"/>
        <w:ind w:left="284" w:hanging="284"/>
        <w:contextualSpacing/>
        <w:rPr>
          <w:b/>
          <w:bCs/>
          <w:sz w:val="24"/>
          <w:szCs w:val="24"/>
        </w:rPr>
      </w:pPr>
      <w:r>
        <w:rPr>
          <w:b/>
          <w:bCs/>
          <w:sz w:val="24"/>
          <w:szCs w:val="24"/>
        </w:rPr>
        <w:t>Bank Syariah</w:t>
      </w:r>
    </w:p>
    <w:p w14:paraId="4FDDE20E">
      <w:pPr>
        <w:jc w:val="both"/>
        <w:rPr>
          <w:sz w:val="24"/>
          <w:szCs w:val="24"/>
        </w:rPr>
      </w:pPr>
      <w:r>
        <w:rPr>
          <w:sz w:val="24"/>
          <w:szCs w:val="24"/>
        </w:rPr>
        <w:t xml:space="preserve">Aspek yang menjadi pembeda bank syariah dan bank konvensional adalah bunga (riba) dan ketidakpastian (gharar) yang tidak berlaku bagi bank syariah. Bank syariah diwajibkan untuk menggunakan metodologi perbankan berbasis aset dan pembagian risiko dan dilarang menggunakan aset berisiko tertentu seperti kontrak derivatif. Hal ini dikarenakan bank syariah tunduk pada regulasi yang ketat berdasarkan prinsip Syariah </w:t>
      </w:r>
      <w:r>
        <w:rPr>
          <w:sz w:val="24"/>
          <w:szCs w:val="24"/>
        </w:rPr>
        <w:fldChar w:fldCharType="begin" w:fldLock="1"/>
      </w:r>
      <w:r>
        <w:rPr>
          <w:sz w:val="24"/>
          <w:szCs w:val="24"/>
        </w:rPr>
        <w:instrText xml:space="preserve">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Pr>
          <w:sz w:val="24"/>
          <w:szCs w:val="24"/>
        </w:rPr>
        <w:fldChar w:fldCharType="separate"/>
      </w:r>
      <w:r>
        <w:rPr>
          <w:sz w:val="24"/>
          <w:szCs w:val="24"/>
        </w:rPr>
        <w:t>(Tekdogan &amp; Atasoy, 2021)</w:t>
      </w:r>
      <w:r>
        <w:rPr>
          <w:sz w:val="24"/>
          <w:szCs w:val="24"/>
        </w:rPr>
        <w:fldChar w:fldCharType="end"/>
      </w:r>
      <w:r>
        <w:rPr>
          <w:sz w:val="24"/>
          <w:szCs w:val="24"/>
        </w:rPr>
        <w:t>.</w:t>
      </w:r>
    </w:p>
    <w:p w14:paraId="3C18DDB7">
      <w:pPr>
        <w:jc w:val="both"/>
        <w:rPr>
          <w:sz w:val="24"/>
          <w:szCs w:val="24"/>
        </w:rPr>
      </w:pPr>
    </w:p>
    <w:p w14:paraId="0E361A91">
      <w:pPr>
        <w:pStyle w:val="12"/>
        <w:widowControl/>
        <w:numPr>
          <w:ilvl w:val="0"/>
          <w:numId w:val="1"/>
        </w:numPr>
        <w:autoSpaceDE/>
        <w:autoSpaceDN/>
        <w:spacing w:line="259" w:lineRule="auto"/>
        <w:ind w:left="284" w:hanging="284"/>
        <w:contextualSpacing/>
        <w:rPr>
          <w:b/>
          <w:bCs/>
          <w:sz w:val="24"/>
          <w:szCs w:val="24"/>
        </w:rPr>
      </w:pPr>
      <w:r>
        <w:rPr>
          <w:b/>
          <w:bCs/>
          <w:sz w:val="24"/>
          <w:szCs w:val="24"/>
        </w:rPr>
        <w:t>Keputusan Nasabah</w:t>
      </w:r>
    </w:p>
    <w:p w14:paraId="5FDBB9FF">
      <w:pPr>
        <w:pStyle w:val="12"/>
        <w:widowControl/>
        <w:autoSpaceDE/>
        <w:autoSpaceDN/>
        <w:spacing w:line="259" w:lineRule="auto"/>
        <w:ind w:left="284" w:firstLine="0"/>
        <w:contextualSpacing/>
        <w:rPr>
          <w:b/>
          <w:bCs/>
          <w:sz w:val="24"/>
          <w:szCs w:val="24"/>
        </w:rPr>
      </w:pPr>
    </w:p>
    <w:p w14:paraId="4CA5DA3B">
      <w:pPr>
        <w:jc w:val="both"/>
        <w:rPr>
          <w:sz w:val="24"/>
          <w:szCs w:val="24"/>
        </w:rPr>
      </w:pPr>
      <w:r>
        <w:rPr>
          <w:sz w:val="24"/>
          <w:szCs w:val="24"/>
        </w:rPr>
        <w:fldChar w:fldCharType="begin" w:fldLock="1"/>
      </w:r>
      <w:r>
        <w:rPr>
          <w:sz w:val="24"/>
          <w:szCs w:val="24"/>
        </w:rPr>
        <w:instrText xml:space="preserve">ADDIN CSL_CITATION {"citationItems":[{"id":"ITEM-1","itemData":{"author":[{"dropping-particle":"","family":"Sudianto","given":"","non-dropping-particle":"","parse-names":false,"suffix":""},{"dropping-particle":"","family":"Linda","given":"","non-dropping-particle":"","parse-names":false,"suffix":""}],"container-title":"Jurnal Ekonomi, Bisnis, Dan Manajemen","id":"ITEM-1","issue":"1","issued":{"date-parts":[["2023"]]},"page":"147–160","title":"Penggunaan Layanan Jasa Transfer Melalui Muamalat DIN (Digital Islamic Network) Dalam Meningkatkan Loyalitas Nasabah","type":"article-journal","volume":"4"},"uris":["http://www.mendeley.com/documents/?uuid=46f8ac65-298e-4724-af7a-a34d559b8496"]}],"mendeley":{"formattedCitation":"(Sudianto &amp; Linda, 2023)","plainTextFormattedCitation":"(Sudianto &amp; Linda, 2023)"},"properties":{"noteIndex":0},"schema":"https://github.com/citation-style-language/schema/raw/master/csl-citation.json"}</w:instrText>
      </w:r>
      <w:r>
        <w:rPr>
          <w:sz w:val="24"/>
          <w:szCs w:val="24"/>
        </w:rPr>
        <w:fldChar w:fldCharType="separate"/>
      </w:r>
      <w:r>
        <w:rPr>
          <w:sz w:val="24"/>
          <w:szCs w:val="24"/>
        </w:rPr>
        <w:t>(Sudianto &amp; Linda, 2023)</w:t>
      </w:r>
      <w:r>
        <w:rPr>
          <w:sz w:val="24"/>
          <w:szCs w:val="24"/>
        </w:rPr>
        <w:fldChar w:fldCharType="end"/>
      </w:r>
      <w:r>
        <w:rPr>
          <w:sz w:val="24"/>
          <w:szCs w:val="24"/>
        </w:rPr>
        <w:t xml:space="preserve"> Keputusan nasabah adalah hasil evaluasi yang berdasarkan pendapat nasabah tentang nilai dan manfaat produk bank syariah serta kesesuaian dengan keyakinan. </w:t>
      </w:r>
      <w:r>
        <w:rPr>
          <w:sz w:val="24"/>
          <w:szCs w:val="24"/>
        </w:rPr>
        <w:fldChar w:fldCharType="begin" w:fldLock="1"/>
      </w:r>
      <w:r>
        <w:rPr>
          <w:sz w:val="24"/>
          <w:szCs w:val="24"/>
        </w:rPr>
        <w:instrText xml:space="preserve">ADDIN CSL_CITATION {"citationItems":[{"id":"ITEM-1","itemData":{"author":[{"dropping-particle":"","family":"Alma","given":"Buchari","non-dropping-particle":"","parse-names":false,"suffix":""}],"id":"ITEM-1","issued":{"date-parts":[["2016"]]},"publisher":"Alfabeta","publisher-place":"Bandung","title":"Manajemen Pemasaran dan Pemasaran Jasa","type":"book"},"uris":["http://www.mendeley.com/documents/?uuid=83c441a0-126d-4efd-a5b8-5efb1dbb9cac"]}],"mendeley":{"formattedCitation":"(Alma, 2016)","plainTextFormattedCitation":"(Alma, 2016)","previouslyFormattedCitation":"(Alma, 2016)"},"properties":{"noteIndex":0},"schema":"https://github.com/citation-style-language/schema/raw/master/csl-citation.json"}</w:instrText>
      </w:r>
      <w:r>
        <w:rPr>
          <w:sz w:val="24"/>
          <w:szCs w:val="24"/>
        </w:rPr>
        <w:fldChar w:fldCharType="separate"/>
      </w:r>
      <w:r>
        <w:rPr>
          <w:sz w:val="24"/>
          <w:szCs w:val="24"/>
        </w:rPr>
        <w:t>(Alma, 2016)</w:t>
      </w:r>
      <w:r>
        <w:rPr>
          <w:sz w:val="24"/>
          <w:szCs w:val="24"/>
        </w:rPr>
        <w:fldChar w:fldCharType="end"/>
      </w:r>
      <w:r>
        <w:rPr>
          <w:sz w:val="24"/>
          <w:szCs w:val="24"/>
        </w:rPr>
        <w:t xml:space="preserve"> Indikator keputusan nasabah antara lain: </w:t>
      </w:r>
    </w:p>
    <w:p w14:paraId="11B1F40F">
      <w:pPr>
        <w:pStyle w:val="12"/>
        <w:widowControl/>
        <w:numPr>
          <w:ilvl w:val="0"/>
          <w:numId w:val="2"/>
        </w:numPr>
        <w:autoSpaceDE/>
        <w:autoSpaceDN/>
        <w:spacing w:line="259" w:lineRule="auto"/>
        <w:contextualSpacing/>
        <w:rPr>
          <w:sz w:val="24"/>
          <w:szCs w:val="24"/>
        </w:rPr>
      </w:pPr>
      <w:r>
        <w:rPr>
          <w:sz w:val="24"/>
          <w:szCs w:val="24"/>
        </w:rPr>
        <w:t xml:space="preserve">Adanya pengaruh dari teman sejawat, atau keinginan dari dalam diri sendiri </w:t>
      </w:r>
    </w:p>
    <w:p w14:paraId="72ECA921">
      <w:pPr>
        <w:pStyle w:val="12"/>
        <w:widowControl/>
        <w:numPr>
          <w:ilvl w:val="0"/>
          <w:numId w:val="2"/>
        </w:numPr>
        <w:autoSpaceDE/>
        <w:autoSpaceDN/>
        <w:spacing w:line="259" w:lineRule="auto"/>
        <w:contextualSpacing/>
        <w:rPr>
          <w:sz w:val="24"/>
          <w:szCs w:val="24"/>
        </w:rPr>
      </w:pPr>
      <w:r>
        <w:rPr>
          <w:sz w:val="24"/>
          <w:szCs w:val="24"/>
        </w:rPr>
        <w:t xml:space="preserve">Adanya pengaruh dari reklame atau alat promosi lainnya </w:t>
      </w:r>
    </w:p>
    <w:p w14:paraId="7C215457">
      <w:pPr>
        <w:pStyle w:val="12"/>
        <w:widowControl/>
        <w:numPr>
          <w:ilvl w:val="0"/>
          <w:numId w:val="2"/>
        </w:numPr>
        <w:autoSpaceDE/>
        <w:autoSpaceDN/>
        <w:spacing w:line="259" w:lineRule="auto"/>
        <w:contextualSpacing/>
        <w:rPr>
          <w:sz w:val="24"/>
          <w:szCs w:val="24"/>
        </w:rPr>
      </w:pPr>
      <w:r>
        <w:rPr>
          <w:sz w:val="24"/>
          <w:szCs w:val="24"/>
        </w:rPr>
        <w:t>Pengaruh dari lingkungan lainnya</w:t>
      </w:r>
    </w:p>
    <w:p w14:paraId="25AD8977">
      <w:pPr>
        <w:jc w:val="both"/>
        <w:rPr>
          <w:sz w:val="24"/>
          <w:szCs w:val="24"/>
        </w:rPr>
      </w:pPr>
    </w:p>
    <w:p w14:paraId="0D7F5773">
      <w:pPr>
        <w:jc w:val="both"/>
        <w:rPr>
          <w:b/>
          <w:bCs/>
          <w:sz w:val="24"/>
          <w:szCs w:val="24"/>
        </w:rPr>
      </w:pPr>
      <w:r>
        <w:rPr>
          <w:b/>
          <w:bCs/>
          <w:sz w:val="24"/>
          <w:szCs w:val="24"/>
        </w:rPr>
        <w:t>Faktor-Faktor yang Mempengaruhi Perilaku Nasabah</w:t>
      </w:r>
    </w:p>
    <w:p w14:paraId="31D160AF">
      <w:pPr>
        <w:jc w:val="both"/>
        <w:rPr>
          <w:b/>
          <w:bCs/>
          <w:sz w:val="24"/>
          <w:szCs w:val="24"/>
        </w:rPr>
      </w:pPr>
    </w:p>
    <w:p w14:paraId="694A999C">
      <w:pPr>
        <w:pStyle w:val="12"/>
        <w:widowControl/>
        <w:numPr>
          <w:ilvl w:val="0"/>
          <w:numId w:val="3"/>
        </w:numPr>
        <w:autoSpaceDE/>
        <w:autoSpaceDN/>
        <w:spacing w:line="259" w:lineRule="auto"/>
        <w:contextualSpacing/>
        <w:rPr>
          <w:b/>
          <w:bCs/>
          <w:sz w:val="24"/>
          <w:szCs w:val="24"/>
        </w:rPr>
      </w:pPr>
      <w:r>
        <w:rPr>
          <w:b/>
          <w:bCs/>
          <w:sz w:val="24"/>
          <w:szCs w:val="24"/>
        </w:rPr>
        <w:t xml:space="preserve">Religiusitas </w:t>
      </w:r>
    </w:p>
    <w:p w14:paraId="185D9A5B">
      <w:pPr>
        <w:pStyle w:val="12"/>
        <w:widowControl/>
        <w:autoSpaceDE/>
        <w:autoSpaceDN/>
        <w:spacing w:line="259" w:lineRule="auto"/>
        <w:ind w:left="360" w:firstLine="0"/>
        <w:contextualSpacing/>
        <w:rPr>
          <w:b/>
          <w:bCs/>
          <w:sz w:val="24"/>
          <w:szCs w:val="24"/>
        </w:rPr>
      </w:pPr>
    </w:p>
    <w:p w14:paraId="6DF3F6C5">
      <w:pPr>
        <w:jc w:val="both"/>
        <w:rPr>
          <w:sz w:val="24"/>
          <w:szCs w:val="24"/>
        </w:rPr>
      </w:pPr>
      <w:r>
        <w:rPr>
          <w:sz w:val="24"/>
          <w:szCs w:val="24"/>
        </w:rPr>
        <w:t xml:space="preserve">Religiusitas memiliki arti seberapa kuat seseorang dalam menjalankan aktivitas atau kehidupannya berlandaskan agama yang diyakininya. Hal ini termasuk mengacu pada perilaku nasabah dalam memilih bank sebagai tempat transaksi. </w:t>
      </w:r>
      <w:r>
        <w:rPr>
          <w:sz w:val="24"/>
          <w:szCs w:val="24"/>
        </w:rPr>
        <w:fldChar w:fldCharType="begin" w:fldLock="1"/>
      </w:r>
      <w:r>
        <w:rPr>
          <w:sz w:val="24"/>
          <w:szCs w:val="24"/>
        </w:rPr>
        <w:instrText xml:space="preserve">ADDIN CSL_CITATION {"citationItems":[{"id":"ITEM-1","itemData":{"author":[{"dropping-particle":"","family":"Nasrudin","given":"J.","non-dropping-particle":"","parse-names":false,"suffix":""}],"id":"ITEM-1","issued":{"date-parts":[["2020"]]},"publisher":"PT. Rajagrafindo Persada","publisher-place":"Depok","title":"Refleksi Keberagamaan dalam Sistem Pengobatan Tradisional Masyarakat Pedesaan","type":"book"},"uris":["http://www.mendeley.com/documents/?uuid=4058692f-4dd1-4aa5-a771-5ac0715f8d21"]}],"mendeley":{"formattedCitation":"(Nasrudin, 2020)","plainTextFormattedCitation":"(Nasrudin, 2020)","previouslyFormattedCitation":"(Nasrudin, 2020)"},"properties":{"noteIndex":0},"schema":"https://github.com/citation-style-language/schema/raw/master/csl-citation.json"}</w:instrText>
      </w:r>
      <w:r>
        <w:rPr>
          <w:sz w:val="24"/>
          <w:szCs w:val="24"/>
        </w:rPr>
        <w:fldChar w:fldCharType="separate"/>
      </w:r>
      <w:r>
        <w:rPr>
          <w:sz w:val="24"/>
          <w:szCs w:val="24"/>
        </w:rPr>
        <w:t>(Nasrudin, 2020)</w:t>
      </w:r>
      <w:r>
        <w:rPr>
          <w:sz w:val="24"/>
          <w:szCs w:val="24"/>
        </w:rPr>
        <w:fldChar w:fldCharType="end"/>
      </w:r>
      <w:r>
        <w:rPr>
          <w:sz w:val="24"/>
          <w:szCs w:val="24"/>
        </w:rPr>
        <w:t xml:space="preserve"> menganalisis lebih dalam mengenai lima dimensi pada religiuitas yang dikemukakan oleh Glock and Stark, yaitu sebagai berikut: </w:t>
      </w:r>
    </w:p>
    <w:p w14:paraId="434EE27F">
      <w:pPr>
        <w:pStyle w:val="12"/>
        <w:widowControl/>
        <w:numPr>
          <w:ilvl w:val="0"/>
          <w:numId w:val="4"/>
        </w:numPr>
        <w:autoSpaceDE/>
        <w:autoSpaceDN/>
        <w:spacing w:line="259" w:lineRule="auto"/>
        <w:contextualSpacing/>
        <w:rPr>
          <w:sz w:val="24"/>
          <w:szCs w:val="24"/>
        </w:rPr>
      </w:pPr>
      <w:r>
        <w:rPr>
          <w:sz w:val="24"/>
          <w:szCs w:val="24"/>
        </w:rPr>
        <w:t xml:space="preserve">Dimensi Keyakinan atau Ideologi </w:t>
      </w:r>
    </w:p>
    <w:p w14:paraId="4453F096">
      <w:pPr>
        <w:pStyle w:val="12"/>
        <w:widowControl/>
        <w:numPr>
          <w:ilvl w:val="0"/>
          <w:numId w:val="4"/>
        </w:numPr>
        <w:autoSpaceDE/>
        <w:autoSpaceDN/>
        <w:spacing w:line="259" w:lineRule="auto"/>
        <w:contextualSpacing/>
        <w:rPr>
          <w:sz w:val="24"/>
          <w:szCs w:val="24"/>
        </w:rPr>
      </w:pPr>
      <w:r>
        <w:rPr>
          <w:sz w:val="24"/>
          <w:szCs w:val="24"/>
        </w:rPr>
        <w:t xml:space="preserve">Dimensi Praktik Agama atau Peribadatan </w:t>
      </w:r>
    </w:p>
    <w:p w14:paraId="63418B26">
      <w:pPr>
        <w:pStyle w:val="12"/>
        <w:widowControl/>
        <w:numPr>
          <w:ilvl w:val="0"/>
          <w:numId w:val="4"/>
        </w:numPr>
        <w:autoSpaceDE/>
        <w:autoSpaceDN/>
        <w:spacing w:line="259" w:lineRule="auto"/>
        <w:contextualSpacing/>
        <w:rPr>
          <w:sz w:val="24"/>
          <w:szCs w:val="24"/>
        </w:rPr>
      </w:pPr>
      <w:r>
        <w:rPr>
          <w:sz w:val="24"/>
          <w:szCs w:val="24"/>
        </w:rPr>
        <w:t xml:space="preserve">Dimensi Pengalaman atau Eksperiensial </w:t>
      </w:r>
    </w:p>
    <w:p w14:paraId="648416C8">
      <w:pPr>
        <w:pStyle w:val="12"/>
        <w:widowControl/>
        <w:numPr>
          <w:ilvl w:val="0"/>
          <w:numId w:val="4"/>
        </w:numPr>
        <w:autoSpaceDE/>
        <w:autoSpaceDN/>
        <w:spacing w:line="259" w:lineRule="auto"/>
        <w:contextualSpacing/>
        <w:rPr>
          <w:sz w:val="24"/>
          <w:szCs w:val="24"/>
        </w:rPr>
      </w:pPr>
      <w:r>
        <w:rPr>
          <w:sz w:val="24"/>
          <w:szCs w:val="24"/>
        </w:rPr>
        <w:t xml:space="preserve">Dimensi Pengetahuan Agama atau Intelektual </w:t>
      </w:r>
    </w:p>
    <w:p w14:paraId="3A6AD8AA">
      <w:pPr>
        <w:pStyle w:val="12"/>
        <w:widowControl/>
        <w:numPr>
          <w:ilvl w:val="0"/>
          <w:numId w:val="4"/>
        </w:numPr>
        <w:autoSpaceDE/>
        <w:autoSpaceDN/>
        <w:spacing w:line="259" w:lineRule="auto"/>
        <w:contextualSpacing/>
        <w:rPr>
          <w:sz w:val="24"/>
          <w:szCs w:val="24"/>
        </w:rPr>
      </w:pPr>
      <w:r>
        <w:rPr>
          <w:sz w:val="24"/>
          <w:szCs w:val="24"/>
        </w:rPr>
        <w:t>Dimensi Akhlak (Konsekuensi)</w:t>
      </w:r>
    </w:p>
    <w:p w14:paraId="3006BBB7">
      <w:pPr>
        <w:jc w:val="both"/>
        <w:rPr>
          <w:sz w:val="24"/>
          <w:szCs w:val="24"/>
        </w:rPr>
      </w:pPr>
    </w:p>
    <w:p w14:paraId="0D5C19AD">
      <w:pPr>
        <w:pStyle w:val="12"/>
        <w:widowControl/>
        <w:numPr>
          <w:ilvl w:val="0"/>
          <w:numId w:val="3"/>
        </w:numPr>
        <w:autoSpaceDE/>
        <w:autoSpaceDN/>
        <w:spacing w:line="259" w:lineRule="auto"/>
        <w:contextualSpacing/>
        <w:rPr>
          <w:b/>
          <w:bCs/>
          <w:sz w:val="24"/>
          <w:szCs w:val="24"/>
        </w:rPr>
      </w:pPr>
      <w:r>
        <w:rPr>
          <w:b/>
          <w:bCs/>
          <w:sz w:val="24"/>
          <w:szCs w:val="24"/>
        </w:rPr>
        <w:t xml:space="preserve">Profit (bagi hasil) </w:t>
      </w:r>
    </w:p>
    <w:p w14:paraId="01B73E24">
      <w:pPr>
        <w:pStyle w:val="12"/>
        <w:widowControl/>
        <w:autoSpaceDE/>
        <w:autoSpaceDN/>
        <w:spacing w:line="259" w:lineRule="auto"/>
        <w:ind w:left="360" w:firstLine="0"/>
        <w:contextualSpacing/>
        <w:rPr>
          <w:b/>
          <w:bCs/>
          <w:sz w:val="24"/>
          <w:szCs w:val="24"/>
        </w:rPr>
      </w:pPr>
    </w:p>
    <w:p w14:paraId="2151AC2F">
      <w:pPr>
        <w:jc w:val="both"/>
        <w:rPr>
          <w:sz w:val="24"/>
          <w:szCs w:val="24"/>
        </w:rPr>
      </w:pPr>
      <w:r>
        <w:rPr>
          <w:sz w:val="24"/>
          <w:szCs w:val="24"/>
        </w:rPr>
        <w:fldChar w:fldCharType="begin" w:fldLock="1"/>
      </w:r>
      <w:r>
        <w:rPr>
          <w:sz w:val="24"/>
          <w:szCs w:val="24"/>
        </w:rPr>
        <w:instrText xml:space="preserve">ADDIN CSL_CITATION {"citationItems":[{"id":"ITEM-1","itemData":{"author":[{"dropping-particle":"","family":"Naf’an","given":"","non-dropping-particle":"","parse-names":false,"suffix":""}],"id":"ITEM-1","issued":{"date-parts":[["2014"]]},"publisher":"Graha Ilmu","publisher-place":"Yogyakarta","title":"Pembiayaan Musyarakah dan Mudharabah","type":"book"},"uris":["http://www.mendeley.com/documents/?uuid=935d6018-29e3-43fa-8c57-dc66110ddfda"]}],"mendeley":{"formattedCitation":"(Naf’an, 2014)","plainTextFormattedCitation":"(Naf’an, 2014)","previouslyFormattedCitation":"(Naf’an, 2014)"},"properties":{"noteIndex":0},"schema":"https://github.com/citation-style-language/schema/raw/master/csl-citation.json"}</w:instrText>
      </w:r>
      <w:r>
        <w:rPr>
          <w:sz w:val="24"/>
          <w:szCs w:val="24"/>
        </w:rPr>
        <w:fldChar w:fldCharType="separate"/>
      </w:r>
      <w:r>
        <w:rPr>
          <w:sz w:val="24"/>
          <w:szCs w:val="24"/>
        </w:rPr>
        <w:t>(Naf’an, 2014)</w:t>
      </w:r>
      <w:r>
        <w:rPr>
          <w:sz w:val="24"/>
          <w:szCs w:val="24"/>
        </w:rPr>
        <w:fldChar w:fldCharType="end"/>
      </w:r>
      <w:r>
        <w:rPr>
          <w:sz w:val="24"/>
          <w:szCs w:val="24"/>
        </w:rPr>
        <w:t xml:space="preserve"> Bagi hasil merupakan suatu bentuk perjanjian kerjasama antara pemilik dana (investor) dengan orang yang mengelola dana dalam kegiatan bisnis. </w:t>
      </w:r>
      <w:r>
        <w:rPr>
          <w:sz w:val="24"/>
          <w:szCs w:val="24"/>
        </w:rPr>
        <w:fldChar w:fldCharType="begin" w:fldLock="1"/>
      </w:r>
      <w:r>
        <w:rPr>
          <w:sz w:val="24"/>
          <w:szCs w:val="24"/>
        </w:rPr>
        <w:instrText xml:space="preserve">ADDIN CSL_CITATION {"citationItems":[{"id":"ITEM-1","itemData":{"ISBN":"978-623-91788-2-6","author":[{"dropping-particle":"","family":"Indrasari","given":"Meithiana","non-dropping-particle":"","parse-names":false,"suffix":""}],"id":"ITEM-1","issued":{"date-parts":[["2019"]]},"publisher":"Unitomo Press","publisher-place":"Surabaya","title":"Pemasaran &amp; Kepuasan Pelanggan","type":"book"},"uris":["http://www.mendeley.com/documents/?uuid=1b897cc7-86df-4ce1-af1a-9e7e410b03ef"]}],"mendeley":{"formattedCitation":"(Indrasari, 2019)","plainTextFormattedCitation":"(Indrasari, 2019)","previouslyFormattedCitation":"(Indrasari, 2019)"},"properties":{"noteIndex":0},"schema":"https://github.com/citation-style-language/schema/raw/master/csl-citation.json"}</w:instrText>
      </w:r>
      <w:r>
        <w:rPr>
          <w:sz w:val="24"/>
          <w:szCs w:val="24"/>
        </w:rPr>
        <w:fldChar w:fldCharType="separate"/>
      </w:r>
      <w:r>
        <w:rPr>
          <w:sz w:val="24"/>
          <w:szCs w:val="24"/>
        </w:rPr>
        <w:t>(Indrasari, 2019)</w:t>
      </w:r>
      <w:r>
        <w:rPr>
          <w:sz w:val="24"/>
          <w:szCs w:val="24"/>
        </w:rPr>
        <w:fldChar w:fldCharType="end"/>
      </w:r>
      <w:r>
        <w:rPr>
          <w:sz w:val="24"/>
          <w:szCs w:val="24"/>
        </w:rPr>
        <w:t xml:space="preserve"> Lima indikator pada faktor ini, meliputi: </w:t>
      </w:r>
    </w:p>
    <w:p w14:paraId="5547529A">
      <w:pPr>
        <w:pStyle w:val="12"/>
        <w:widowControl/>
        <w:numPr>
          <w:ilvl w:val="0"/>
          <w:numId w:val="5"/>
        </w:numPr>
        <w:autoSpaceDE/>
        <w:autoSpaceDN/>
        <w:spacing w:line="259" w:lineRule="auto"/>
        <w:contextualSpacing/>
        <w:rPr>
          <w:sz w:val="24"/>
          <w:szCs w:val="24"/>
        </w:rPr>
      </w:pPr>
      <w:r>
        <w:rPr>
          <w:sz w:val="24"/>
          <w:szCs w:val="24"/>
        </w:rPr>
        <w:t xml:space="preserve">Kesesuaian bagi hasil </w:t>
      </w:r>
    </w:p>
    <w:p w14:paraId="2C38BB62">
      <w:pPr>
        <w:pStyle w:val="12"/>
        <w:widowControl/>
        <w:numPr>
          <w:ilvl w:val="0"/>
          <w:numId w:val="5"/>
        </w:numPr>
        <w:autoSpaceDE/>
        <w:autoSpaceDN/>
        <w:spacing w:after="160" w:line="259" w:lineRule="auto"/>
        <w:contextualSpacing/>
        <w:rPr>
          <w:sz w:val="24"/>
          <w:szCs w:val="24"/>
        </w:rPr>
      </w:pPr>
      <w:r>
        <w:rPr>
          <w:sz w:val="24"/>
          <w:szCs w:val="24"/>
        </w:rPr>
        <w:t>Kesesuaian sistem bagi hasil dengan fasilitas</w:t>
      </w:r>
    </w:p>
    <w:p w14:paraId="1779657D">
      <w:pPr>
        <w:pStyle w:val="12"/>
        <w:widowControl/>
        <w:numPr>
          <w:ilvl w:val="0"/>
          <w:numId w:val="5"/>
        </w:numPr>
        <w:autoSpaceDE/>
        <w:autoSpaceDN/>
        <w:spacing w:after="160" w:line="259" w:lineRule="auto"/>
        <w:contextualSpacing/>
        <w:rPr>
          <w:sz w:val="24"/>
          <w:szCs w:val="24"/>
        </w:rPr>
      </w:pPr>
      <w:r>
        <w:rPr>
          <w:sz w:val="24"/>
          <w:szCs w:val="24"/>
        </w:rPr>
        <w:t xml:space="preserve">Daya saing tingkat bagi hasil </w:t>
      </w:r>
    </w:p>
    <w:p w14:paraId="27371972">
      <w:pPr>
        <w:pStyle w:val="12"/>
        <w:widowControl/>
        <w:numPr>
          <w:ilvl w:val="0"/>
          <w:numId w:val="5"/>
        </w:numPr>
        <w:autoSpaceDE/>
        <w:autoSpaceDN/>
        <w:spacing w:after="160" w:line="259" w:lineRule="auto"/>
        <w:contextualSpacing/>
        <w:rPr>
          <w:sz w:val="24"/>
          <w:szCs w:val="24"/>
        </w:rPr>
      </w:pPr>
      <w:r>
        <w:rPr>
          <w:sz w:val="24"/>
          <w:szCs w:val="24"/>
        </w:rPr>
        <w:t xml:space="preserve">Kesesuaian bagi hasil dengan manfaat </w:t>
      </w:r>
    </w:p>
    <w:p w14:paraId="07D7E443">
      <w:pPr>
        <w:pStyle w:val="12"/>
        <w:widowControl/>
        <w:numPr>
          <w:ilvl w:val="0"/>
          <w:numId w:val="5"/>
        </w:numPr>
        <w:autoSpaceDE/>
        <w:autoSpaceDN/>
        <w:spacing w:line="259" w:lineRule="auto"/>
        <w:contextualSpacing/>
        <w:rPr>
          <w:sz w:val="24"/>
          <w:szCs w:val="24"/>
        </w:rPr>
      </w:pPr>
      <w:r>
        <w:rPr>
          <w:sz w:val="24"/>
          <w:szCs w:val="24"/>
        </w:rPr>
        <w:t>Sistem bagi hasil dapat mempengaruhi nasabah dalam mengambil keputusan</w:t>
      </w:r>
    </w:p>
    <w:p w14:paraId="005C9A83">
      <w:pPr>
        <w:jc w:val="both"/>
        <w:rPr>
          <w:sz w:val="24"/>
          <w:szCs w:val="24"/>
        </w:rPr>
      </w:pPr>
    </w:p>
    <w:p w14:paraId="7BA04198">
      <w:pPr>
        <w:pStyle w:val="12"/>
        <w:widowControl/>
        <w:numPr>
          <w:ilvl w:val="0"/>
          <w:numId w:val="3"/>
        </w:numPr>
        <w:autoSpaceDE/>
        <w:autoSpaceDN/>
        <w:spacing w:line="259" w:lineRule="auto"/>
        <w:contextualSpacing/>
        <w:rPr>
          <w:b/>
          <w:bCs/>
          <w:sz w:val="24"/>
          <w:szCs w:val="24"/>
        </w:rPr>
      </w:pPr>
      <w:r>
        <w:rPr>
          <w:b/>
          <w:bCs/>
          <w:sz w:val="24"/>
          <w:szCs w:val="24"/>
        </w:rPr>
        <w:t xml:space="preserve">Pelayanan </w:t>
      </w:r>
    </w:p>
    <w:p w14:paraId="01F935A3">
      <w:pPr>
        <w:pStyle w:val="12"/>
        <w:widowControl/>
        <w:autoSpaceDE/>
        <w:autoSpaceDN/>
        <w:spacing w:line="259" w:lineRule="auto"/>
        <w:ind w:left="360" w:firstLine="0"/>
        <w:contextualSpacing/>
        <w:rPr>
          <w:b/>
          <w:bCs/>
          <w:sz w:val="24"/>
          <w:szCs w:val="24"/>
        </w:rPr>
      </w:pPr>
    </w:p>
    <w:p w14:paraId="4E01524A">
      <w:pPr>
        <w:jc w:val="both"/>
        <w:rPr>
          <w:sz w:val="24"/>
          <w:szCs w:val="24"/>
        </w:rPr>
      </w:pPr>
      <w:r>
        <w:rPr>
          <w:sz w:val="24"/>
          <w:szCs w:val="24"/>
        </w:rPr>
        <w:fldChar w:fldCharType="begin" w:fldLock="1"/>
      </w:r>
      <w:r>
        <w:rPr>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Syukri, &amp; Nofrianto, 2019)","manualFormatting":"(Hasanuddin et.al, 2019)","plainTextFormattedCitation":"(Hasanuddin, Syukri, &amp; Nofrianto, 2019)","previouslyFormattedCitation":"(Hasanuddin, Syukri, &amp; Nofrianto, 2019)"},"properties":{"noteIndex":0},"schema":"https://github.com/citation-style-language/schema/raw/master/csl-citation.json"}</w:instrText>
      </w:r>
      <w:r>
        <w:rPr>
          <w:sz w:val="24"/>
          <w:szCs w:val="24"/>
        </w:rPr>
        <w:fldChar w:fldCharType="separate"/>
      </w:r>
      <w:r>
        <w:rPr>
          <w:sz w:val="24"/>
          <w:szCs w:val="24"/>
        </w:rPr>
        <w:t>(Hasanuddin et.al, 2019)</w:t>
      </w:r>
      <w:r>
        <w:rPr>
          <w:sz w:val="24"/>
          <w:szCs w:val="24"/>
        </w:rPr>
        <w:fldChar w:fldCharType="end"/>
      </w:r>
      <w:r>
        <w:rPr>
          <w:sz w:val="24"/>
          <w:szCs w:val="24"/>
        </w:rPr>
        <w:t xml:space="preserve"> Pelayanan menggambarkan kondisi yang berkaitan dengan produk maupun jasa guna memenuhi kebutuhan serta keinginan pelanggan yang pada akhirnya mampu mengimbangi harapan pelanggan. </w:t>
      </w:r>
      <w:r>
        <w:rPr>
          <w:sz w:val="24"/>
          <w:szCs w:val="24"/>
        </w:rPr>
        <w:fldChar w:fldCharType="begin" w:fldLock="1"/>
      </w:r>
      <w:r>
        <w:rPr>
          <w:sz w:val="24"/>
          <w:szCs w:val="24"/>
        </w:rPr>
        <w:instrText xml:space="preserve">ADDIN CSL_CITATION {"citationItems":[{"id":"ITEM-1","itemData":{"author":[{"dropping-particle":"","family":"Kasmir","given":"","non-dropping-particle":"","parse-names":false,"suffix":""}],"id":"ITEM-1","issued":{"date-parts":[["2016"]]},"publisher":"PT. Raja Grafindo","publisher-place":"Jakarta","title":"Bank dan Lembaga Keuangan Lainnya","type":"book"},"uris":["http://www.mendeley.com/documents/?uuid=20fab6f2-c730-42a2-b574-92ffb9c61b7c"]}],"mendeley":{"formattedCitation":"(Kasmir, 2016)","plainTextFormattedCitation":"(Kasmir, 2016)","previouslyFormattedCitation":"(Kasmir, 2016)"},"properties":{"noteIndex":0},"schema":"https://github.com/citation-style-language/schema/raw/master/csl-citation.json"}</w:instrText>
      </w:r>
      <w:r>
        <w:rPr>
          <w:sz w:val="24"/>
          <w:szCs w:val="24"/>
        </w:rPr>
        <w:fldChar w:fldCharType="separate"/>
      </w:r>
      <w:r>
        <w:rPr>
          <w:sz w:val="24"/>
          <w:szCs w:val="24"/>
        </w:rPr>
        <w:t>(Kasmir, 2016)</w:t>
      </w:r>
      <w:r>
        <w:rPr>
          <w:sz w:val="24"/>
          <w:szCs w:val="24"/>
        </w:rPr>
        <w:fldChar w:fldCharType="end"/>
      </w:r>
      <w:r>
        <w:rPr>
          <w:sz w:val="24"/>
          <w:szCs w:val="24"/>
        </w:rPr>
        <w:t xml:space="preserve"> Lima dimensi kualitas jasa (pelayanan), meliputi:</w:t>
      </w:r>
    </w:p>
    <w:p w14:paraId="23BEC2AB">
      <w:pPr>
        <w:pStyle w:val="12"/>
        <w:widowControl/>
        <w:numPr>
          <w:ilvl w:val="0"/>
          <w:numId w:val="6"/>
        </w:numPr>
        <w:autoSpaceDE/>
        <w:autoSpaceDN/>
        <w:spacing w:line="259" w:lineRule="auto"/>
        <w:contextualSpacing/>
        <w:rPr>
          <w:sz w:val="24"/>
          <w:szCs w:val="24"/>
        </w:rPr>
      </w:pPr>
      <w:r>
        <w:rPr>
          <w:sz w:val="24"/>
          <w:szCs w:val="24"/>
        </w:rPr>
        <w:t>Bukti Langsung (</w:t>
      </w:r>
      <w:r>
        <w:rPr>
          <w:i/>
          <w:iCs/>
          <w:sz w:val="24"/>
          <w:szCs w:val="24"/>
        </w:rPr>
        <w:t>tangibles</w:t>
      </w:r>
      <w:r>
        <w:rPr>
          <w:sz w:val="24"/>
          <w:szCs w:val="24"/>
        </w:rPr>
        <w:t>)</w:t>
      </w:r>
    </w:p>
    <w:p w14:paraId="683ECF2B">
      <w:pPr>
        <w:pStyle w:val="12"/>
        <w:widowControl/>
        <w:numPr>
          <w:ilvl w:val="0"/>
          <w:numId w:val="6"/>
        </w:numPr>
        <w:autoSpaceDE/>
        <w:autoSpaceDN/>
        <w:spacing w:line="259" w:lineRule="auto"/>
        <w:contextualSpacing/>
        <w:rPr>
          <w:sz w:val="24"/>
          <w:szCs w:val="24"/>
        </w:rPr>
      </w:pPr>
      <w:r>
        <w:rPr>
          <w:sz w:val="24"/>
          <w:szCs w:val="24"/>
        </w:rPr>
        <w:t>Kehandalan (</w:t>
      </w:r>
      <w:r>
        <w:rPr>
          <w:i/>
          <w:iCs/>
          <w:sz w:val="24"/>
          <w:szCs w:val="24"/>
        </w:rPr>
        <w:t>reliability</w:t>
      </w:r>
      <w:r>
        <w:rPr>
          <w:sz w:val="24"/>
          <w:szCs w:val="24"/>
        </w:rPr>
        <w:t>)</w:t>
      </w:r>
    </w:p>
    <w:p w14:paraId="4C9E958A">
      <w:pPr>
        <w:pStyle w:val="12"/>
        <w:widowControl/>
        <w:numPr>
          <w:ilvl w:val="0"/>
          <w:numId w:val="6"/>
        </w:numPr>
        <w:autoSpaceDE/>
        <w:autoSpaceDN/>
        <w:spacing w:line="259" w:lineRule="auto"/>
        <w:contextualSpacing/>
        <w:rPr>
          <w:sz w:val="24"/>
          <w:szCs w:val="24"/>
        </w:rPr>
      </w:pPr>
      <w:r>
        <w:rPr>
          <w:sz w:val="24"/>
          <w:szCs w:val="24"/>
        </w:rPr>
        <w:t>Daya tanggap (</w:t>
      </w:r>
      <w:r>
        <w:rPr>
          <w:i/>
          <w:iCs/>
          <w:sz w:val="24"/>
          <w:szCs w:val="24"/>
        </w:rPr>
        <w:t>responsiveness</w:t>
      </w:r>
      <w:r>
        <w:rPr>
          <w:sz w:val="24"/>
          <w:szCs w:val="24"/>
        </w:rPr>
        <w:t>)</w:t>
      </w:r>
    </w:p>
    <w:p w14:paraId="7ADB9EB4">
      <w:pPr>
        <w:pStyle w:val="12"/>
        <w:widowControl/>
        <w:numPr>
          <w:ilvl w:val="0"/>
          <w:numId w:val="6"/>
        </w:numPr>
        <w:autoSpaceDE/>
        <w:autoSpaceDN/>
        <w:spacing w:line="259" w:lineRule="auto"/>
        <w:contextualSpacing/>
        <w:rPr>
          <w:sz w:val="24"/>
          <w:szCs w:val="24"/>
        </w:rPr>
      </w:pPr>
      <w:r>
        <w:rPr>
          <w:sz w:val="24"/>
          <w:szCs w:val="24"/>
        </w:rPr>
        <w:t>Jaminan (</w:t>
      </w:r>
      <w:r>
        <w:rPr>
          <w:i/>
          <w:iCs/>
          <w:sz w:val="24"/>
          <w:szCs w:val="24"/>
        </w:rPr>
        <w:t>assurance</w:t>
      </w:r>
      <w:r>
        <w:rPr>
          <w:sz w:val="24"/>
          <w:szCs w:val="24"/>
        </w:rPr>
        <w:t>)</w:t>
      </w:r>
    </w:p>
    <w:p w14:paraId="56645BD8">
      <w:pPr>
        <w:pStyle w:val="12"/>
        <w:widowControl/>
        <w:numPr>
          <w:ilvl w:val="0"/>
          <w:numId w:val="6"/>
        </w:numPr>
        <w:autoSpaceDE/>
        <w:autoSpaceDN/>
        <w:spacing w:line="259" w:lineRule="auto"/>
        <w:contextualSpacing/>
        <w:rPr>
          <w:sz w:val="24"/>
          <w:szCs w:val="24"/>
        </w:rPr>
      </w:pPr>
      <w:r>
        <w:rPr>
          <w:sz w:val="24"/>
          <w:szCs w:val="24"/>
        </w:rPr>
        <w:t>Empati (</w:t>
      </w:r>
      <w:r>
        <w:rPr>
          <w:i/>
          <w:iCs/>
          <w:sz w:val="24"/>
          <w:szCs w:val="24"/>
        </w:rPr>
        <w:t>emphaty</w:t>
      </w:r>
      <w:r>
        <w:rPr>
          <w:sz w:val="24"/>
          <w:szCs w:val="24"/>
        </w:rPr>
        <w:t xml:space="preserve">) </w:t>
      </w:r>
    </w:p>
    <w:p w14:paraId="6324626E">
      <w:pPr>
        <w:jc w:val="both"/>
        <w:rPr>
          <w:sz w:val="24"/>
          <w:szCs w:val="24"/>
        </w:rPr>
      </w:pPr>
    </w:p>
    <w:p w14:paraId="05E1048F">
      <w:pPr>
        <w:pStyle w:val="12"/>
        <w:widowControl/>
        <w:numPr>
          <w:ilvl w:val="0"/>
          <w:numId w:val="3"/>
        </w:numPr>
        <w:autoSpaceDE/>
        <w:autoSpaceDN/>
        <w:contextualSpacing/>
        <w:rPr>
          <w:b/>
          <w:bCs/>
          <w:sz w:val="24"/>
          <w:szCs w:val="24"/>
        </w:rPr>
      </w:pPr>
      <w:r>
        <w:rPr>
          <w:b/>
          <w:bCs/>
          <w:sz w:val="24"/>
          <w:szCs w:val="24"/>
        </w:rPr>
        <w:t xml:space="preserve">Fasilitas </w:t>
      </w:r>
    </w:p>
    <w:p w14:paraId="0F2C8999">
      <w:pPr>
        <w:pStyle w:val="12"/>
        <w:widowControl/>
        <w:autoSpaceDE/>
        <w:autoSpaceDN/>
        <w:ind w:left="360" w:firstLine="0"/>
        <w:contextualSpacing/>
        <w:rPr>
          <w:sz w:val="24"/>
          <w:szCs w:val="24"/>
        </w:rPr>
      </w:pPr>
    </w:p>
    <w:p w14:paraId="24789953">
      <w:pPr>
        <w:jc w:val="both"/>
        <w:rPr>
          <w:sz w:val="24"/>
          <w:szCs w:val="24"/>
        </w:rPr>
      </w:pPr>
      <w:r>
        <w:rPr>
          <w:sz w:val="24"/>
          <w:szCs w:val="24"/>
        </w:rPr>
        <w:t>Fasilitas mengarah kepada keinginan atau selera nasabah. Hal inilah yang menyebabkan penyediaan fasilitas menjadi prioritas agar nasabah tidak kecewa dan beralih ke Bank lain.</w:t>
      </w:r>
    </w:p>
    <w:p w14:paraId="419EC18B">
      <w:pPr>
        <w:jc w:val="both"/>
        <w:rPr>
          <w:sz w:val="24"/>
          <w:szCs w:val="24"/>
        </w:rPr>
      </w:pPr>
      <w:r>
        <w:rPr>
          <w:sz w:val="24"/>
          <w:szCs w:val="24"/>
        </w:rPr>
        <w:fldChar w:fldCharType="begin" w:fldLock="1"/>
      </w:r>
      <w:r>
        <w:rPr>
          <w:sz w:val="24"/>
          <w:szCs w:val="24"/>
        </w:rPr>
        <w:instrText xml:space="preserve">ADDIN CSL_CITATION {"citationItems":[{"id":"ITEM-1","itemData":{"author":[{"dropping-particle":"","family":"Tjiptono","given":"F.","non-dropping-particle":"","parse-names":false,"suffix":""}],"id":"ITEM-1","issued":{"date-parts":[["2014"]]},"publisher":"Andi Offset","publisher-place":"Yogyakarta","title":"Pemasaran Jasa: Prinsip, Penerapan dan Penelitian","type":"book"},"uris":["http://www.mendeley.com/documents/?uuid=d50e4441-9760-4eae-88c1-0c57133e724d"]}],"mendeley":{"formattedCitation":"(Tjiptono, 2014)","plainTextFormattedCitation":"(Tjiptono, 2014)","previouslyFormattedCitation":"(Tjiptono, 2014)"},"properties":{"noteIndex":0},"schema":"https://github.com/citation-style-language/schema/raw/master/csl-citation.json"}</w:instrText>
      </w:r>
      <w:r>
        <w:rPr>
          <w:sz w:val="24"/>
          <w:szCs w:val="24"/>
        </w:rPr>
        <w:fldChar w:fldCharType="separate"/>
      </w:r>
      <w:r>
        <w:rPr>
          <w:sz w:val="24"/>
          <w:szCs w:val="24"/>
        </w:rPr>
        <w:t>(Tjiptono, 2014)</w:t>
      </w:r>
      <w:r>
        <w:rPr>
          <w:sz w:val="24"/>
          <w:szCs w:val="24"/>
        </w:rPr>
        <w:fldChar w:fldCharType="end"/>
      </w:r>
      <w:r>
        <w:rPr>
          <w:sz w:val="24"/>
          <w:szCs w:val="24"/>
        </w:rPr>
        <w:t xml:space="preserve"> Fasilitas dapat diukur melalui enam indikator, meliputi: </w:t>
      </w:r>
    </w:p>
    <w:p w14:paraId="0273DAC6">
      <w:pPr>
        <w:pStyle w:val="12"/>
        <w:widowControl/>
        <w:numPr>
          <w:ilvl w:val="0"/>
          <w:numId w:val="7"/>
        </w:numPr>
        <w:autoSpaceDE/>
        <w:autoSpaceDN/>
        <w:contextualSpacing/>
        <w:rPr>
          <w:sz w:val="24"/>
          <w:szCs w:val="24"/>
        </w:rPr>
      </w:pPr>
      <w:r>
        <w:rPr>
          <w:sz w:val="24"/>
          <w:szCs w:val="24"/>
        </w:rPr>
        <w:t xml:space="preserve">Pertimbangan/perencaan spasial yaitu aspek seperti proporsi, simetri, tekstur. </w:t>
      </w:r>
    </w:p>
    <w:p w14:paraId="319C9946">
      <w:pPr>
        <w:pStyle w:val="12"/>
        <w:widowControl/>
        <w:numPr>
          <w:ilvl w:val="0"/>
          <w:numId w:val="7"/>
        </w:numPr>
        <w:autoSpaceDE/>
        <w:autoSpaceDN/>
        <w:contextualSpacing/>
        <w:rPr>
          <w:sz w:val="24"/>
          <w:szCs w:val="24"/>
        </w:rPr>
      </w:pPr>
      <w:r>
        <w:rPr>
          <w:sz w:val="24"/>
          <w:szCs w:val="24"/>
        </w:rPr>
        <w:t xml:space="preserve">Perencanaan ruangan yaitu mencakup perencanaan ruangan yang nyaman dan tepat, dan mencakup perencanaan interior dan arsitektur. </w:t>
      </w:r>
    </w:p>
    <w:p w14:paraId="5FB0E6E0">
      <w:pPr>
        <w:pStyle w:val="12"/>
        <w:widowControl/>
        <w:numPr>
          <w:ilvl w:val="0"/>
          <w:numId w:val="7"/>
        </w:numPr>
        <w:autoSpaceDE/>
        <w:autoSpaceDN/>
        <w:contextualSpacing/>
        <w:rPr>
          <w:sz w:val="24"/>
          <w:szCs w:val="24"/>
        </w:rPr>
      </w:pPr>
      <w:r>
        <w:rPr>
          <w:sz w:val="24"/>
          <w:szCs w:val="24"/>
        </w:rPr>
        <w:t xml:space="preserve">Perlengkapan/perabotan yaitu sebagai sarana yang memberikan kenyamanan. </w:t>
      </w:r>
    </w:p>
    <w:p w14:paraId="2096050E">
      <w:pPr>
        <w:pStyle w:val="12"/>
        <w:widowControl/>
        <w:numPr>
          <w:ilvl w:val="0"/>
          <w:numId w:val="7"/>
        </w:numPr>
        <w:autoSpaceDE/>
        <w:autoSpaceDN/>
        <w:contextualSpacing/>
        <w:rPr>
          <w:sz w:val="24"/>
          <w:szCs w:val="24"/>
        </w:rPr>
      </w:pPr>
      <w:r>
        <w:rPr>
          <w:sz w:val="24"/>
          <w:szCs w:val="24"/>
        </w:rPr>
        <w:t xml:space="preserve">Tata cahaya yaitu warna jenis pengaturan pencahayaan sesuai sifat aktivitas yang dilakukan dalam ruangan serta suasana yang diinginkan. </w:t>
      </w:r>
    </w:p>
    <w:p w14:paraId="364CB038">
      <w:pPr>
        <w:pStyle w:val="12"/>
        <w:widowControl/>
        <w:numPr>
          <w:ilvl w:val="0"/>
          <w:numId w:val="7"/>
        </w:numPr>
        <w:autoSpaceDE/>
        <w:autoSpaceDN/>
        <w:contextualSpacing/>
        <w:rPr>
          <w:sz w:val="24"/>
          <w:szCs w:val="24"/>
        </w:rPr>
      </w:pPr>
      <w:r>
        <w:rPr>
          <w:sz w:val="24"/>
          <w:szCs w:val="24"/>
        </w:rPr>
        <w:t>Warna yaitu untuk meningkatkan efisiensi dan menimbulkan kesan rileks.</w:t>
      </w:r>
    </w:p>
    <w:p w14:paraId="37112EC8">
      <w:pPr>
        <w:jc w:val="both"/>
        <w:rPr>
          <w:sz w:val="24"/>
          <w:szCs w:val="24"/>
        </w:rPr>
      </w:pPr>
      <w:bookmarkStart w:id="2" w:name="_GoBack"/>
      <w:bookmarkEnd w:id="2"/>
    </w:p>
    <w:p w14:paraId="293C91B7">
      <w:pPr>
        <w:pStyle w:val="12"/>
        <w:widowControl/>
        <w:numPr>
          <w:ilvl w:val="0"/>
          <w:numId w:val="3"/>
        </w:numPr>
        <w:autoSpaceDE/>
        <w:autoSpaceDN/>
        <w:spacing w:line="259" w:lineRule="auto"/>
        <w:contextualSpacing/>
        <w:rPr>
          <w:b/>
          <w:bCs/>
          <w:sz w:val="24"/>
          <w:szCs w:val="24"/>
        </w:rPr>
      </w:pPr>
      <w:r>
        <w:rPr>
          <w:b/>
          <w:bCs/>
          <w:sz w:val="24"/>
          <w:szCs w:val="24"/>
        </w:rPr>
        <w:t xml:space="preserve">Produk </w:t>
      </w:r>
    </w:p>
    <w:p w14:paraId="03C5DFF8">
      <w:pPr>
        <w:jc w:val="both"/>
        <w:rPr>
          <w:sz w:val="24"/>
          <w:szCs w:val="24"/>
        </w:rPr>
      </w:pPr>
    </w:p>
    <w:p w14:paraId="13AED1E8">
      <w:pPr>
        <w:jc w:val="both"/>
        <w:rPr>
          <w:sz w:val="24"/>
          <w:szCs w:val="24"/>
        </w:rPr>
      </w:pPr>
      <w:r>
        <w:rPr>
          <w:sz w:val="24"/>
          <w:szCs w:val="24"/>
        </w:rPr>
        <w:fldChar w:fldCharType="begin" w:fldLock="1"/>
      </w:r>
      <w:r>
        <w:rPr>
          <w:sz w:val="24"/>
          <w:szCs w:val="24"/>
        </w:rPr>
        <w:instrText xml:space="preserve">ADDIN CSL_CITATION {"citationItems":[{"id":"ITEM-1","itemData":{"author":[{"dropping-particle":"","family":"Nasrullah","given":"Muhammad","non-dropping-particle":"","parse-names":false,"suffix":""}],"container-title":"Jurnal Hukum Islam (JHI)","id":"ITEM-1","issue":"2","issued":{"date-parts":[["2015"]]},"page":"79-87","title":"Islamic Branding, Religiusitas dan Keputusan Konsumen Terhadap Produk","type":"article-journal","volume":"13"},"uris":["http://www.mendeley.com/documents/?uuid=e80e8873-16f6-46d1-991e-8a1e201a5c0f"]}],"mendeley":{"formattedCitation":"(Nasrullah, 2015)","plainTextFormattedCitation":"(Nasrullah, 2015)","previouslyFormattedCitation":"(Nasrullah, 2015)"},"properties":{"noteIndex":0},"schema":"https://github.com/citation-style-language/schema/raw/master/csl-citation.json"}</w:instrText>
      </w:r>
      <w:r>
        <w:rPr>
          <w:sz w:val="24"/>
          <w:szCs w:val="24"/>
        </w:rPr>
        <w:fldChar w:fldCharType="separate"/>
      </w:r>
      <w:r>
        <w:rPr>
          <w:sz w:val="24"/>
          <w:szCs w:val="24"/>
        </w:rPr>
        <w:t>(Nasrullah, 2015)</w:t>
      </w:r>
      <w:r>
        <w:rPr>
          <w:sz w:val="24"/>
          <w:szCs w:val="24"/>
        </w:rPr>
        <w:fldChar w:fldCharType="end"/>
      </w:r>
      <w:r>
        <w:rPr>
          <w:sz w:val="24"/>
          <w:szCs w:val="24"/>
        </w:rPr>
        <w:t xml:space="preserve"> Bank Syariah memiliki daya tarik yang utama bagi masyarakat muslim melalui produknya. </w:t>
      </w:r>
      <w:r>
        <w:rPr>
          <w:sz w:val="24"/>
          <w:szCs w:val="24"/>
        </w:rPr>
        <w:fldChar w:fldCharType="begin" w:fldLock="1"/>
      </w:r>
      <w:r>
        <w:rPr>
          <w:sz w:val="24"/>
          <w:szCs w:val="24"/>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2023)","plainTextFormattedCitation":"(Bustomi et al., 2023)","previouslyFormattedCitation":"(Bustomi et al., 2023)"},"properties":{"noteIndex":0},"schema":"https://github.com/citation-style-language/schema/raw/master/csl-citation.json"}</w:instrText>
      </w:r>
      <w:r>
        <w:rPr>
          <w:sz w:val="24"/>
          <w:szCs w:val="24"/>
        </w:rPr>
        <w:fldChar w:fldCharType="separate"/>
      </w:r>
      <w:r>
        <w:rPr>
          <w:sz w:val="24"/>
          <w:szCs w:val="24"/>
        </w:rPr>
        <w:t>(Bustomi et al., 2023)</w:t>
      </w:r>
      <w:r>
        <w:rPr>
          <w:sz w:val="24"/>
          <w:szCs w:val="24"/>
        </w:rPr>
        <w:fldChar w:fldCharType="end"/>
      </w:r>
      <w:r>
        <w:rPr>
          <w:sz w:val="24"/>
          <w:szCs w:val="24"/>
        </w:rPr>
        <w:t xml:space="preserve"> dalam penelitiannya mengukur variabel produk melalui 6 dimensi, diantaranya: </w:t>
      </w:r>
    </w:p>
    <w:p w14:paraId="34B75C24">
      <w:pPr>
        <w:pStyle w:val="12"/>
        <w:widowControl/>
        <w:numPr>
          <w:ilvl w:val="0"/>
          <w:numId w:val="8"/>
        </w:numPr>
        <w:autoSpaceDE/>
        <w:autoSpaceDN/>
        <w:spacing w:line="259" w:lineRule="auto"/>
        <w:contextualSpacing/>
        <w:rPr>
          <w:sz w:val="24"/>
          <w:szCs w:val="24"/>
        </w:rPr>
      </w:pPr>
      <w:r>
        <w:rPr>
          <w:sz w:val="24"/>
          <w:szCs w:val="24"/>
        </w:rPr>
        <w:t>Kinerja (</w:t>
      </w:r>
      <w:r>
        <w:rPr>
          <w:i/>
          <w:iCs/>
          <w:sz w:val="24"/>
          <w:szCs w:val="24"/>
        </w:rPr>
        <w:t>performance</w:t>
      </w:r>
      <w:r>
        <w:rPr>
          <w:sz w:val="24"/>
          <w:szCs w:val="24"/>
        </w:rPr>
        <w:t>)</w:t>
      </w:r>
    </w:p>
    <w:p w14:paraId="7956A705">
      <w:pPr>
        <w:pStyle w:val="12"/>
        <w:widowControl/>
        <w:numPr>
          <w:ilvl w:val="0"/>
          <w:numId w:val="8"/>
        </w:numPr>
        <w:autoSpaceDE/>
        <w:autoSpaceDN/>
        <w:spacing w:after="160" w:line="259" w:lineRule="auto"/>
        <w:contextualSpacing/>
        <w:rPr>
          <w:sz w:val="24"/>
          <w:szCs w:val="24"/>
        </w:rPr>
      </w:pPr>
      <w:r>
        <w:rPr>
          <w:sz w:val="24"/>
          <w:szCs w:val="24"/>
        </w:rPr>
        <w:t>Keandalan (</w:t>
      </w:r>
      <w:r>
        <w:rPr>
          <w:i/>
          <w:iCs/>
          <w:sz w:val="24"/>
          <w:szCs w:val="24"/>
        </w:rPr>
        <w:t>reliability</w:t>
      </w:r>
      <w:r>
        <w:rPr>
          <w:sz w:val="24"/>
          <w:szCs w:val="24"/>
        </w:rPr>
        <w:t>)</w:t>
      </w:r>
    </w:p>
    <w:p w14:paraId="0C5251C5">
      <w:pPr>
        <w:pStyle w:val="12"/>
        <w:widowControl/>
        <w:numPr>
          <w:ilvl w:val="0"/>
          <w:numId w:val="8"/>
        </w:numPr>
        <w:autoSpaceDE/>
        <w:autoSpaceDN/>
        <w:spacing w:after="160" w:line="259" w:lineRule="auto"/>
        <w:contextualSpacing/>
        <w:rPr>
          <w:sz w:val="24"/>
          <w:szCs w:val="24"/>
        </w:rPr>
      </w:pPr>
      <w:r>
        <w:rPr>
          <w:sz w:val="24"/>
          <w:szCs w:val="24"/>
        </w:rPr>
        <w:t>Fitur (</w:t>
      </w:r>
      <w:r>
        <w:rPr>
          <w:i/>
          <w:iCs/>
          <w:sz w:val="24"/>
          <w:szCs w:val="24"/>
        </w:rPr>
        <w:t>feature</w:t>
      </w:r>
      <w:r>
        <w:rPr>
          <w:sz w:val="24"/>
          <w:szCs w:val="24"/>
        </w:rPr>
        <w:t>)</w:t>
      </w:r>
    </w:p>
    <w:p w14:paraId="4D17BC38">
      <w:pPr>
        <w:pStyle w:val="12"/>
        <w:widowControl/>
        <w:numPr>
          <w:ilvl w:val="0"/>
          <w:numId w:val="8"/>
        </w:numPr>
        <w:autoSpaceDE/>
        <w:autoSpaceDN/>
        <w:spacing w:after="160" w:line="259" w:lineRule="auto"/>
        <w:contextualSpacing/>
        <w:rPr>
          <w:sz w:val="24"/>
          <w:szCs w:val="24"/>
        </w:rPr>
      </w:pPr>
      <w:r>
        <w:rPr>
          <w:sz w:val="24"/>
          <w:szCs w:val="24"/>
        </w:rPr>
        <w:t>Daya tahan (</w:t>
      </w:r>
      <w:r>
        <w:rPr>
          <w:i/>
          <w:iCs/>
          <w:sz w:val="24"/>
          <w:szCs w:val="24"/>
        </w:rPr>
        <w:t>durability</w:t>
      </w:r>
      <w:r>
        <w:rPr>
          <w:sz w:val="24"/>
          <w:szCs w:val="24"/>
        </w:rPr>
        <w:t>)</w:t>
      </w:r>
    </w:p>
    <w:p w14:paraId="229C9F64">
      <w:pPr>
        <w:pStyle w:val="12"/>
        <w:widowControl/>
        <w:numPr>
          <w:ilvl w:val="0"/>
          <w:numId w:val="8"/>
        </w:numPr>
        <w:autoSpaceDE/>
        <w:autoSpaceDN/>
        <w:spacing w:after="160" w:line="259" w:lineRule="auto"/>
        <w:contextualSpacing/>
        <w:rPr>
          <w:sz w:val="24"/>
          <w:szCs w:val="24"/>
        </w:rPr>
      </w:pPr>
      <w:r>
        <w:rPr>
          <w:sz w:val="24"/>
          <w:szCs w:val="24"/>
        </w:rPr>
        <w:t>Kesesuaian (</w:t>
      </w:r>
      <w:r>
        <w:rPr>
          <w:i/>
          <w:iCs/>
          <w:sz w:val="24"/>
          <w:szCs w:val="24"/>
        </w:rPr>
        <w:t>conformance</w:t>
      </w:r>
      <w:r>
        <w:rPr>
          <w:sz w:val="24"/>
          <w:szCs w:val="24"/>
        </w:rPr>
        <w:t>)</w:t>
      </w:r>
    </w:p>
    <w:p w14:paraId="6D9B7A25">
      <w:pPr>
        <w:pStyle w:val="12"/>
        <w:widowControl/>
        <w:numPr>
          <w:ilvl w:val="0"/>
          <w:numId w:val="8"/>
        </w:numPr>
        <w:autoSpaceDE/>
        <w:autoSpaceDN/>
        <w:spacing w:after="160" w:line="259" w:lineRule="auto"/>
        <w:contextualSpacing/>
        <w:rPr>
          <w:sz w:val="24"/>
          <w:szCs w:val="24"/>
        </w:rPr>
      </w:pPr>
      <w:r>
        <w:rPr>
          <w:sz w:val="24"/>
          <w:szCs w:val="24"/>
        </w:rPr>
        <w:t>Desain (</w:t>
      </w:r>
      <w:r>
        <w:rPr>
          <w:i/>
          <w:iCs/>
          <w:sz w:val="24"/>
          <w:szCs w:val="24"/>
        </w:rPr>
        <w:t>design</w:t>
      </w:r>
      <w:r>
        <w:rPr>
          <w:sz w:val="24"/>
          <w:szCs w:val="24"/>
        </w:rPr>
        <w:t>)</w:t>
      </w:r>
    </w:p>
    <w:p w14:paraId="079F289D">
      <w:pPr>
        <w:pStyle w:val="2"/>
        <w:spacing w:before="1"/>
        <w:ind w:left="0"/>
        <w:rPr>
          <w:rFonts w:ascii="Times New Roman"/>
        </w:rPr>
      </w:pPr>
    </w:p>
    <w:p w14:paraId="01D50039">
      <w:pPr>
        <w:pStyle w:val="2"/>
        <w:spacing w:before="1"/>
        <w:ind w:left="0"/>
        <w:rPr>
          <w:rFonts w:ascii="Times New Roman"/>
        </w:rPr>
      </w:pPr>
      <w:r>
        <w:rPr>
          <w:rFonts w:ascii="Times New Roman"/>
        </w:rPr>
        <w:t>METODE</w:t>
      </w:r>
      <w:r>
        <w:rPr>
          <w:rFonts w:ascii="Times New Roman"/>
          <w:spacing w:val="-1"/>
        </w:rPr>
        <w:t xml:space="preserve"> </w:t>
      </w:r>
      <w:r>
        <w:rPr>
          <w:rFonts w:ascii="Times New Roman"/>
          <w:spacing w:val="-2"/>
        </w:rPr>
        <w:t>PENELITIAN</w:t>
      </w:r>
    </w:p>
    <w:p w14:paraId="6376405B">
      <w:pPr>
        <w:pStyle w:val="3"/>
        <w:ind w:right="147"/>
      </w:pPr>
      <w:r>
        <w:t>Sumber</w:t>
      </w:r>
      <w:r>
        <w:rPr>
          <w:spacing w:val="-15"/>
        </w:rPr>
        <w:t xml:space="preserve"> </w:t>
      </w:r>
      <w:r>
        <w:t>dan</w:t>
      </w:r>
      <w:r>
        <w:rPr>
          <w:spacing w:val="-15"/>
        </w:rPr>
        <w:t xml:space="preserve"> </w:t>
      </w:r>
      <w:r>
        <w:t>Teknik</w:t>
      </w:r>
      <w:r>
        <w:rPr>
          <w:spacing w:val="-15"/>
        </w:rPr>
        <w:t xml:space="preserve"> </w:t>
      </w:r>
      <w:r>
        <w:t>Pengumpulan</w:t>
      </w:r>
      <w:r>
        <w:rPr>
          <w:spacing w:val="-15"/>
        </w:rPr>
        <w:t xml:space="preserve"> </w:t>
      </w:r>
      <w:r>
        <w:t>Data</w:t>
      </w:r>
    </w:p>
    <w:p w14:paraId="2289CD21">
      <w:pPr>
        <w:spacing w:before="240"/>
        <w:jc w:val="both"/>
        <w:rPr>
          <w:color w:val="000000" w:themeColor="text1"/>
          <w:sz w:val="24"/>
          <w:szCs w:val="24"/>
          <w:lang w:eastAsia="id-ID"/>
          <w14:textFill>
            <w14:solidFill>
              <w14:schemeClr w14:val="tx1"/>
            </w14:solidFill>
          </w14:textFill>
        </w:rPr>
      </w:pPr>
      <w:r>
        <w:rPr>
          <w:color w:val="000000" w:themeColor="text1"/>
          <w:sz w:val="24"/>
          <w:szCs w:val="24"/>
          <w14:textFill>
            <w14:solidFill>
              <w14:schemeClr w14:val="tx1"/>
            </w14:solidFill>
          </w14:textFill>
        </w:rPr>
        <w:t xml:space="preserve">Penelitian ini menggunakan teknik </w:t>
      </w:r>
      <w:r>
        <w:rPr>
          <w:i/>
          <w:iCs/>
          <w:color w:val="000000" w:themeColor="text1"/>
          <w:sz w:val="24"/>
          <w:szCs w:val="24"/>
          <w14:textFill>
            <w14:solidFill>
              <w14:schemeClr w14:val="tx1"/>
            </w14:solidFill>
          </w14:textFill>
        </w:rPr>
        <w:t>random sampling</w:t>
      </w:r>
      <w:r>
        <w:rPr>
          <w:color w:val="000000" w:themeColor="text1"/>
          <w:sz w:val="24"/>
          <w:szCs w:val="24"/>
          <w14:textFill>
            <w14:solidFill>
              <w14:schemeClr w14:val="tx1"/>
            </w14:solidFill>
          </w14:textFill>
        </w:rPr>
        <w:t xml:space="preserve">, dimana setiap individu dianggap dapat mewakili populasi secara keseluruhan dan mempunyai peluang yang sama. Melalui teknik tersebut, jumlah sampel sebanyak 100 responden. Penelitian ini menggunakan data primer dalam bentuk kuesioner. Kuesioner diedarkan melalui </w:t>
      </w:r>
      <w:r>
        <w:rPr>
          <w:i/>
          <w:iCs/>
          <w:color w:val="000000" w:themeColor="text1"/>
          <w:sz w:val="24"/>
          <w:szCs w:val="24"/>
          <w:lang w:eastAsia="id-ID"/>
          <w14:textFill>
            <w14:solidFill>
              <w14:schemeClr w14:val="tx1"/>
            </w14:solidFill>
          </w14:textFill>
        </w:rPr>
        <w:t>google form</w:t>
      </w:r>
      <w:r>
        <w:rPr>
          <w:color w:val="000000" w:themeColor="text1"/>
          <w:sz w:val="24"/>
          <w:szCs w:val="24"/>
          <w:lang w:eastAsia="id-ID"/>
          <w14:textFill>
            <w14:solidFill>
              <w14:schemeClr w14:val="tx1"/>
            </w14:solidFill>
          </w14:textFill>
        </w:rPr>
        <w:t xml:space="preserve">. Penelitian ini menggunakan </w:t>
      </w:r>
      <w:r>
        <w:rPr>
          <w:i/>
          <w:iCs/>
          <w:color w:val="000000" w:themeColor="text1"/>
          <w:sz w:val="24"/>
          <w:szCs w:val="24"/>
          <w:lang w:eastAsia="id-ID"/>
          <w14:textFill>
            <w14:solidFill>
              <w14:schemeClr w14:val="tx1"/>
            </w14:solidFill>
          </w14:textFill>
        </w:rPr>
        <w:t>software</w:t>
      </w:r>
      <w:r>
        <w:rPr>
          <w:color w:val="000000" w:themeColor="text1"/>
          <w:sz w:val="24"/>
          <w:szCs w:val="24"/>
          <w:lang w:eastAsia="id-ID"/>
          <w14:textFill>
            <w14:solidFill>
              <w14:schemeClr w14:val="tx1"/>
            </w14:solidFill>
          </w14:textFill>
        </w:rPr>
        <w:t xml:space="preserve"> IBM SPSS </w:t>
      </w:r>
      <w:r>
        <w:rPr>
          <w:i/>
          <w:iCs/>
          <w:color w:val="000000" w:themeColor="text1"/>
          <w:sz w:val="24"/>
          <w:szCs w:val="24"/>
          <w:lang w:eastAsia="id-ID"/>
          <w14:textFill>
            <w14:solidFill>
              <w14:schemeClr w14:val="tx1"/>
            </w14:solidFill>
          </w14:textFill>
        </w:rPr>
        <w:t>Statistics</w:t>
      </w:r>
      <w:r>
        <w:rPr>
          <w:color w:val="000000" w:themeColor="text1"/>
          <w:sz w:val="24"/>
          <w:szCs w:val="24"/>
          <w:lang w:eastAsia="id-ID"/>
          <w14:textFill>
            <w14:solidFill>
              <w14:schemeClr w14:val="tx1"/>
            </w14:solidFill>
          </w14:textFill>
        </w:rPr>
        <w:t xml:space="preserve"> untuk pengujian hasil data primer.</w:t>
      </w:r>
    </w:p>
    <w:p w14:paraId="28226B67">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Teknik analisis, untuk kualitas data menggunakan uji validitas dan reliabilitas, uji asumsi klasik dan uji regresi linier berganda.</w:t>
      </w:r>
    </w:p>
    <w:p w14:paraId="1AD2F232">
      <w:pPr>
        <w:jc w:val="both"/>
        <w:rPr>
          <w:color w:val="000000" w:themeColor="text1"/>
          <w:sz w:val="24"/>
          <w:szCs w:val="24"/>
          <w:lang w:eastAsia="id-ID"/>
          <w14:textFill>
            <w14:solidFill>
              <w14:schemeClr w14:val="tx1"/>
            </w14:solidFill>
          </w14:textFill>
        </w:rPr>
      </w:pPr>
    </w:p>
    <w:p w14:paraId="4A789AD8">
      <w:pPr>
        <w:jc w:val="both"/>
        <w:rPr>
          <w:color w:val="000000" w:themeColor="text1"/>
          <w:sz w:val="24"/>
          <w:szCs w:val="24"/>
          <w:lang w:eastAsia="id-ID"/>
          <w14:textFill>
            <w14:solidFill>
              <w14:schemeClr w14:val="tx1"/>
            </w14:solidFill>
          </w14:textFill>
        </w:rPr>
      </w:pPr>
    </w:p>
    <w:p w14:paraId="1BE7EB77">
      <w:pPr>
        <w:jc w:val="both"/>
        <w:rPr>
          <w:color w:val="000000" w:themeColor="text1"/>
          <w:sz w:val="24"/>
          <w:szCs w:val="24"/>
          <w:lang w:eastAsia="id-ID"/>
          <w14:textFill>
            <w14:solidFill>
              <w14:schemeClr w14:val="tx1"/>
            </w14:solidFill>
          </w14:textFill>
        </w:rPr>
      </w:pPr>
    </w:p>
    <w:p w14:paraId="75D4A79A">
      <w:pPr>
        <w:jc w:val="both"/>
        <w:rPr>
          <w:color w:val="000000" w:themeColor="text1"/>
          <w:sz w:val="24"/>
          <w:szCs w:val="24"/>
          <w:lang w:eastAsia="id-ID"/>
          <w14:textFill>
            <w14:solidFill>
              <w14:schemeClr w14:val="tx1"/>
            </w14:solidFill>
          </w14:textFill>
        </w:rPr>
      </w:pPr>
    </w:p>
    <w:p w14:paraId="01D87EB2">
      <w:pPr>
        <w:pStyle w:val="7"/>
        <w:spacing w:before="72"/>
        <w:ind w:left="0"/>
      </w:pPr>
      <w:r>
        <w:rPr>
          <w:b/>
          <w:bCs/>
        </w:rPr>
        <w:t>HASIL</w:t>
      </w:r>
      <w:r>
        <w:rPr>
          <w:b/>
          <w:bCs/>
        </w:rPr>
        <w:tab/>
      </w:r>
      <w:r>
        <w:rPr>
          <w:b/>
          <w:bCs/>
        </w:rPr>
        <w:t>PENELITIAN</w:t>
      </w:r>
      <w:r>
        <w:rPr>
          <w:b/>
          <w:bCs/>
        </w:rPr>
        <w:tab/>
      </w:r>
      <w:r>
        <w:rPr>
          <w:b/>
          <w:bCs/>
          <w:spacing w:val="-4"/>
        </w:rPr>
        <w:t xml:space="preserve">DAN </w:t>
      </w:r>
      <w:r>
        <w:rPr>
          <w:b/>
          <w:bCs/>
        </w:rPr>
        <w:t>PEMBAHASAN</w:t>
      </w:r>
    </w:p>
    <w:p w14:paraId="69812B3C">
      <w:pPr>
        <w:pStyle w:val="3"/>
        <w:spacing w:before="2"/>
        <w:ind w:left="0"/>
      </w:pPr>
      <w:r>
        <w:t>Hasil</w:t>
      </w:r>
      <w:r>
        <w:rPr>
          <w:spacing w:val="-2"/>
        </w:rPr>
        <w:t xml:space="preserve"> Penelitian</w:t>
      </w:r>
    </w:p>
    <w:p w14:paraId="1B647BF6">
      <w:pPr>
        <w:pStyle w:val="7"/>
        <w:ind w:left="0"/>
        <w:jc w:val="left"/>
        <w:rPr>
          <w:b/>
        </w:rPr>
      </w:pPr>
    </w:p>
    <w:p w14:paraId="78F44AB4">
      <w:pPr>
        <w:rPr>
          <w:b/>
          <w:bCs/>
          <w:sz w:val="24"/>
          <w:szCs w:val="24"/>
        </w:rPr>
      </w:pPr>
      <w:r>
        <w:rPr>
          <w:b/>
          <w:bCs/>
          <w:sz w:val="24"/>
          <w:szCs w:val="24"/>
        </w:rPr>
        <w:t>Uji Validitas</w:t>
      </w:r>
    </w:p>
    <w:p w14:paraId="4EE2E063">
      <w:pPr>
        <w:jc w:val="both"/>
        <w:rPr>
          <w:sz w:val="24"/>
          <w:szCs w:val="24"/>
        </w:rPr>
      </w:pPr>
      <w:r>
        <w:rPr>
          <w:sz w:val="24"/>
          <w:szCs w:val="24"/>
        </w:rPr>
        <w:t>Nilai r tabel sebesar 0,176. Setiap item kuesioner dikatakan valid apabila nilai r hitung &gt; r tabel. Item pada kuesioner ini terdiri dari 46 pernyataan. Hasil pengujian menunjukkan bahwa semua item tersebut dinyatakan valid.</w:t>
      </w:r>
    </w:p>
    <w:p w14:paraId="70C71FB0">
      <w:pPr>
        <w:pStyle w:val="7"/>
        <w:ind w:left="0"/>
        <w:jc w:val="left"/>
        <w:rPr>
          <w:b/>
        </w:rPr>
      </w:pPr>
    </w:p>
    <w:p w14:paraId="7BCCBC95">
      <w:pPr>
        <w:jc w:val="both"/>
        <w:rPr>
          <w:b/>
          <w:bCs/>
          <w:sz w:val="24"/>
          <w:szCs w:val="24"/>
        </w:rPr>
      </w:pPr>
      <w:r>
        <w:rPr>
          <w:b/>
          <w:bCs/>
          <w:sz w:val="24"/>
          <w:szCs w:val="24"/>
        </w:rPr>
        <w:t>Uji Reliabilitas</w:t>
      </w:r>
    </w:p>
    <w:p w14:paraId="786BA559">
      <w:pPr>
        <w:adjustRightInd w:val="0"/>
        <w:jc w:val="center"/>
        <w:rPr>
          <w:b/>
          <w:bCs/>
          <w:sz w:val="24"/>
          <w:szCs w:val="24"/>
        </w:rPr>
      </w:pPr>
      <w:r>
        <w:rPr>
          <w:b/>
          <w:bCs/>
          <w:sz w:val="24"/>
          <w:szCs w:val="24"/>
        </w:rPr>
        <w:t>Tabel 1</w:t>
      </w:r>
    </w:p>
    <w:p w14:paraId="54B34609">
      <w:pPr>
        <w:adjustRightInd w:val="0"/>
        <w:jc w:val="center"/>
        <w:rPr>
          <w:b/>
          <w:bCs/>
          <w:sz w:val="24"/>
          <w:szCs w:val="24"/>
        </w:rPr>
      </w:pPr>
      <w:r>
        <w:rPr>
          <w:b/>
          <w:bCs/>
          <w:sz w:val="24"/>
          <w:szCs w:val="24"/>
        </w:rPr>
        <w:t>Uji Reliabilitas</w:t>
      </w:r>
    </w:p>
    <w:tbl>
      <w:tblPr>
        <w:tblStyle w:val="11"/>
        <w:tblW w:w="382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2"/>
      </w:tblGrid>
      <w:tr w14:paraId="1BCB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C92A719">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Variabel</w:t>
            </w:r>
          </w:p>
        </w:tc>
        <w:tc>
          <w:tcPr>
            <w:tcW w:w="1842" w:type="dxa"/>
          </w:tcPr>
          <w:p w14:paraId="21217680">
            <w:pPr>
              <w:widowControl/>
              <w:autoSpaceDE w:val="0"/>
              <w:autoSpaceDN w:val="0"/>
              <w:adjustRightInd w:val="0"/>
              <w:jc w:val="center"/>
              <w:rPr>
                <w:kern w:val="0"/>
                <w:sz w:val="24"/>
                <w:szCs w:val="24"/>
                <w:lang w:val="id-ID"/>
                <w14:ligatures w14:val="standardContextual"/>
              </w:rPr>
            </w:pPr>
            <w:r>
              <w:rPr>
                <w:i/>
                <w:iCs/>
                <w:kern w:val="2"/>
                <w:sz w:val="24"/>
                <w:szCs w:val="24"/>
                <w:lang w:val="id-ID"/>
                <w14:ligatures w14:val="standardContextual"/>
              </w:rPr>
              <w:t>Cronbach’s Alpha</w:t>
            </w:r>
          </w:p>
        </w:tc>
      </w:tr>
      <w:tr w14:paraId="2301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4DB111B">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Religiusitas</w:t>
            </w:r>
          </w:p>
        </w:tc>
        <w:tc>
          <w:tcPr>
            <w:tcW w:w="1842" w:type="dxa"/>
          </w:tcPr>
          <w:p w14:paraId="132C3BDC">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.919</w:t>
            </w:r>
          </w:p>
        </w:tc>
      </w:tr>
      <w:tr w14:paraId="7B6B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0581EF3">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Profit (bagi hasil)</w:t>
            </w:r>
          </w:p>
        </w:tc>
        <w:tc>
          <w:tcPr>
            <w:tcW w:w="1842" w:type="dxa"/>
          </w:tcPr>
          <w:p w14:paraId="4FA80241">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.884</w:t>
            </w:r>
          </w:p>
        </w:tc>
      </w:tr>
      <w:tr w14:paraId="62E3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003C4FB">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Pelayanan</w:t>
            </w:r>
          </w:p>
        </w:tc>
        <w:tc>
          <w:tcPr>
            <w:tcW w:w="1842" w:type="dxa"/>
          </w:tcPr>
          <w:p w14:paraId="0BA8B990">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.960</w:t>
            </w:r>
          </w:p>
        </w:tc>
      </w:tr>
      <w:tr w14:paraId="7B7A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C5C815F">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Fasilitas</w:t>
            </w:r>
          </w:p>
        </w:tc>
        <w:tc>
          <w:tcPr>
            <w:tcW w:w="1842" w:type="dxa"/>
          </w:tcPr>
          <w:p w14:paraId="13DC0A0F">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.933</w:t>
            </w:r>
          </w:p>
        </w:tc>
      </w:tr>
      <w:tr w14:paraId="366E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7AD6569">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Produk</w:t>
            </w:r>
          </w:p>
        </w:tc>
        <w:tc>
          <w:tcPr>
            <w:tcW w:w="1842" w:type="dxa"/>
          </w:tcPr>
          <w:p w14:paraId="421839CC">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.930</w:t>
            </w:r>
          </w:p>
        </w:tc>
      </w:tr>
      <w:tr w14:paraId="49A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8E787FA">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Keputusan Nasabah</w:t>
            </w:r>
          </w:p>
        </w:tc>
        <w:tc>
          <w:tcPr>
            <w:tcW w:w="1842" w:type="dxa"/>
          </w:tcPr>
          <w:p w14:paraId="25585AD6">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.949</w:t>
            </w:r>
          </w:p>
        </w:tc>
      </w:tr>
    </w:tbl>
    <w:p w14:paraId="56F0BCC4">
      <w:pPr>
        <w:adjustRightInd w:val="0"/>
        <w:jc w:val="center"/>
        <w:rPr>
          <w:i/>
          <w:iCs/>
          <w:sz w:val="24"/>
          <w:szCs w:val="24"/>
        </w:rPr>
      </w:pPr>
      <w:r>
        <w:rPr>
          <w:i/>
          <w:iCs/>
          <w:sz w:val="24"/>
          <w:szCs w:val="24"/>
        </w:rPr>
        <w:t>Sumber: Data Primer Diolah, 2026</w:t>
      </w:r>
    </w:p>
    <w:p w14:paraId="1616B2B6">
      <w:pPr>
        <w:adjustRightInd w:val="0"/>
        <w:jc w:val="both"/>
        <w:rPr>
          <w:color w:val="EE0000"/>
          <w:sz w:val="24"/>
          <w:szCs w:val="24"/>
        </w:rPr>
      </w:pPr>
      <w:bookmarkStart w:id="0" w:name="_Hlk166574502"/>
    </w:p>
    <w:p w14:paraId="6CF20C7D">
      <w:pPr>
        <w:adjustRightInd w:val="0"/>
        <w:jc w:val="both"/>
        <w:rPr>
          <w:sz w:val="24"/>
          <w:szCs w:val="24"/>
        </w:rPr>
      </w:pPr>
      <w:r>
        <w:rPr>
          <w:sz w:val="24"/>
          <w:szCs w:val="24"/>
        </w:rPr>
        <w:t xml:space="preserve">Keandalan setiap variabel akan diuji melalui uji reliabilitas. Dikatakan reliabel apabila </w:t>
      </w:r>
      <w:r>
        <w:rPr>
          <w:i/>
          <w:iCs/>
          <w:sz w:val="24"/>
          <w:szCs w:val="24"/>
        </w:rPr>
        <w:t xml:space="preserve">Cronbach’s Alpha </w:t>
      </w:r>
      <w:r>
        <w:rPr>
          <w:sz w:val="24"/>
          <w:szCs w:val="24"/>
        </w:rPr>
        <w:t xml:space="preserve">&gt; </w:t>
      </w:r>
      <w:r>
        <w:rPr>
          <w:i/>
          <w:iCs/>
          <w:sz w:val="24"/>
          <w:szCs w:val="24"/>
        </w:rPr>
        <w:t>r tabel</w:t>
      </w:r>
      <w:r>
        <w:rPr>
          <w:sz w:val="24"/>
          <w:szCs w:val="24"/>
        </w:rPr>
        <w:t xml:space="preserve">. Hasil </w:t>
      </w:r>
      <w:r>
        <w:rPr>
          <w:i/>
          <w:iCs/>
          <w:sz w:val="24"/>
          <w:szCs w:val="24"/>
        </w:rPr>
        <w:t xml:space="preserve">output </w:t>
      </w:r>
      <w:r>
        <w:rPr>
          <w:sz w:val="24"/>
          <w:szCs w:val="24"/>
        </w:rPr>
        <w:t>tabel 1 menunjukkan bahwa data reliabel.</w:t>
      </w:r>
      <w:bookmarkEnd w:id="0"/>
    </w:p>
    <w:p w14:paraId="1CD60A0E">
      <w:pPr>
        <w:pStyle w:val="7"/>
        <w:ind w:left="0"/>
        <w:jc w:val="left"/>
        <w:rPr>
          <w:b/>
        </w:rPr>
      </w:pPr>
    </w:p>
    <w:p w14:paraId="5A4C8231">
      <w:pPr>
        <w:jc w:val="both"/>
        <w:rPr>
          <w:b/>
          <w:bCs/>
          <w:color w:val="000000" w:themeColor="text1"/>
          <w:sz w:val="24"/>
          <w:szCs w:val="24"/>
          <w:lang w:eastAsia="id-ID"/>
          <w14:textFill>
            <w14:solidFill>
              <w14:schemeClr w14:val="tx1"/>
            </w14:solidFill>
          </w14:textFill>
        </w:rPr>
      </w:pPr>
      <w:bookmarkStart w:id="1" w:name="_Hlk226883084"/>
      <w:r>
        <w:rPr>
          <w:b/>
          <w:bCs/>
          <w:color w:val="000000" w:themeColor="text1"/>
          <w:sz w:val="24"/>
          <w:szCs w:val="24"/>
          <w:lang w:eastAsia="id-ID"/>
          <w14:textFill>
            <w14:solidFill>
              <w14:schemeClr w14:val="tx1"/>
            </w14:solidFill>
          </w14:textFill>
        </w:rPr>
        <w:t>Uji Asumsi Klasik</w:t>
      </w:r>
    </w:p>
    <w:p w14:paraId="442B7A1A">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Normalitas</w:t>
      </w:r>
    </w:p>
    <w:p w14:paraId="52F80B4A">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Gambar 1</w:t>
      </w:r>
    </w:p>
    <w:p w14:paraId="10D5F98A">
      <w:pPr>
        <w:jc w:val="center"/>
        <w:rPr>
          <w:b/>
          <w:bCs/>
          <w:color w:val="000000" w:themeColor="text1"/>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Normalitas</w:t>
      </w:r>
    </w:p>
    <w:p w14:paraId="7BD2ECEF">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drawing>
          <wp:inline distT="0" distB="0" distL="0" distR="0">
            <wp:extent cx="2884805" cy="2305050"/>
            <wp:effectExtent l="0" t="0" r="0" b="0"/>
            <wp:docPr id="1441017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17878"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03208" cy="2319735"/>
                    </a:xfrm>
                    <a:prstGeom prst="rect">
                      <a:avLst/>
                    </a:prstGeom>
                    <a:noFill/>
                    <a:ln>
                      <a:noFill/>
                    </a:ln>
                  </pic:spPr>
                </pic:pic>
              </a:graphicData>
            </a:graphic>
          </wp:inline>
        </w:drawing>
      </w:r>
    </w:p>
    <w:p w14:paraId="65D889CD">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Sumber: Data Primer Diolah, 2026</w:t>
      </w:r>
    </w:p>
    <w:p w14:paraId="3F2B7CC7">
      <w:pPr>
        <w:jc w:val="both"/>
        <w:rPr>
          <w:b/>
          <w:bCs/>
          <w:color w:val="000000" w:themeColor="text1"/>
          <w:sz w:val="24"/>
          <w:szCs w:val="24"/>
          <w:lang w:eastAsia="id-ID"/>
          <w14:textFill>
            <w14:solidFill>
              <w14:schemeClr w14:val="tx1"/>
            </w14:solidFill>
          </w14:textFill>
        </w:rPr>
      </w:pPr>
    </w:p>
    <w:p w14:paraId="0488FC06">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gambar 1 terlihat bahwa P-Plot titik-titiknya mengikuti garis diagonal dengan penyimpangan yang sangat kecil. Titik pada gambar tersebut tidak membentuk pola tertentu seperti lengkungan atau pola S. Selain itu, tidak terdapat penyimpangan ekstrem pada bagian awal dan akhir plot.</w:t>
      </w:r>
      <w:bookmarkEnd w:id="1"/>
    </w:p>
    <w:p w14:paraId="1639158D">
      <w:pPr>
        <w:pStyle w:val="7"/>
        <w:ind w:left="0"/>
        <w:jc w:val="left"/>
        <w:rPr>
          <w:b/>
        </w:rPr>
      </w:pPr>
    </w:p>
    <w:p w14:paraId="4027539C">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 xml:space="preserve">Multikolinearitas </w:t>
      </w:r>
    </w:p>
    <w:p w14:paraId="3FBF6778">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2</w:t>
      </w:r>
    </w:p>
    <w:p w14:paraId="3CB225F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Multikolinearitas</w:t>
      </w:r>
    </w:p>
    <w:tbl>
      <w:tblPr>
        <w:tblStyle w:val="6"/>
        <w:tblW w:w="95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579"/>
      </w:tblGrid>
      <w:tr w14:paraId="3647A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8" w:hRule="atLeast"/>
        </w:trPr>
        <w:tc>
          <w:tcPr>
            <w:tcW w:w="9579" w:type="dxa"/>
            <w:tcBorders>
              <w:top w:val="nil"/>
              <w:left w:val="nil"/>
              <w:bottom w:val="nil"/>
              <w:right w:val="nil"/>
            </w:tcBorders>
            <w:shd w:val="clear" w:color="auto" w:fill="FFFFFF"/>
          </w:tcPr>
          <w:p w14:paraId="1967983A">
            <w:pP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 xml:space="preserve">                                Coefficients</w:t>
            </w:r>
            <w:r>
              <w:rPr>
                <w:b/>
                <w:bCs/>
                <w:color w:val="000000" w:themeColor="text1"/>
                <w:vertAlign w:val="superscript"/>
                <w:lang w:eastAsia="id-ID"/>
                <w14:textFill>
                  <w14:solidFill>
                    <w14:schemeClr w14:val="tx1"/>
                  </w14:solidFill>
                </w14:textFill>
              </w:rPr>
              <w:t>a</w:t>
            </w:r>
          </w:p>
        </w:tc>
      </w:tr>
    </w:tbl>
    <w:p w14:paraId="7641A207">
      <w:pPr>
        <w:pStyle w:val="7"/>
        <w:ind w:left="0"/>
        <w:jc w:val="left"/>
        <w:rPr>
          <w:b/>
        </w:rPr>
      </w:pPr>
    </w:p>
    <w:p w14:paraId="2D232DB1">
      <w:pPr>
        <w:pStyle w:val="7"/>
        <w:ind w:left="0"/>
        <w:jc w:val="left"/>
        <w:rPr>
          <w:b/>
        </w:rPr>
      </w:pPr>
      <w:r>
        <w:drawing>
          <wp:inline distT="0" distB="0" distL="0" distR="0">
            <wp:extent cx="3390900" cy="1266825"/>
            <wp:effectExtent l="0" t="0" r="0" b="9525"/>
            <wp:docPr id="15291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9710" name="Picture 1"/>
                    <pic:cNvPicPr>
                      <a:picLocks noChangeAspect="1"/>
                    </pic:cNvPicPr>
                  </pic:nvPicPr>
                  <pic:blipFill>
                    <a:blip r:embed="rId13"/>
                    <a:srcRect l="27587" t="33399" r="24551" b="38227"/>
                    <a:stretch>
                      <a:fillRect/>
                    </a:stretch>
                  </pic:blipFill>
                  <pic:spPr>
                    <a:xfrm>
                      <a:off x="0" y="0"/>
                      <a:ext cx="3390900" cy="1266825"/>
                    </a:xfrm>
                    <a:prstGeom prst="rect">
                      <a:avLst/>
                    </a:prstGeom>
                    <a:ln>
                      <a:noFill/>
                    </a:ln>
                  </pic:spPr>
                </pic:pic>
              </a:graphicData>
            </a:graphic>
          </wp:inline>
        </w:drawing>
      </w:r>
    </w:p>
    <w:p w14:paraId="399CB312">
      <w:pPr>
        <w:jc w:val="right"/>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4B8E963A">
      <w:pPr>
        <w:jc w:val="both"/>
        <w:rPr>
          <w:b/>
          <w:bCs/>
          <w:color w:val="000000" w:themeColor="text1"/>
          <w:lang w:eastAsia="id-ID"/>
          <w14:textFill>
            <w14:solidFill>
              <w14:schemeClr w14:val="tx1"/>
            </w14:solidFill>
          </w14:textFill>
        </w:rPr>
      </w:pPr>
    </w:p>
    <w:p w14:paraId="3825FCFF">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tabel 2, dapat disimpulkan bahwa tidak ditemukan korelasi antar variabel bebas, dimana nilai </w:t>
      </w:r>
      <w:r>
        <w:rPr>
          <w:i/>
          <w:iCs/>
          <w:color w:val="000000" w:themeColor="text1"/>
          <w:sz w:val="24"/>
          <w:szCs w:val="24"/>
          <w:lang w:eastAsia="id-ID"/>
          <w14:textFill>
            <w14:solidFill>
              <w14:schemeClr w14:val="tx1"/>
            </w14:solidFill>
          </w14:textFill>
        </w:rPr>
        <w:t>Variance Inflation Factor</w:t>
      </w:r>
      <w:r>
        <w:rPr>
          <w:color w:val="000000" w:themeColor="text1"/>
          <w:sz w:val="24"/>
          <w:szCs w:val="24"/>
          <w:lang w:eastAsia="id-ID"/>
          <w14:textFill>
            <w14:solidFill>
              <w14:schemeClr w14:val="tx1"/>
            </w14:solidFill>
          </w14:textFill>
        </w:rPr>
        <w:t xml:space="preserve"> (VIF) &lt; 10 dan nilai </w:t>
      </w:r>
      <w:r>
        <w:rPr>
          <w:i/>
          <w:iCs/>
          <w:color w:val="000000" w:themeColor="text1"/>
          <w:sz w:val="24"/>
          <w:szCs w:val="24"/>
          <w:lang w:eastAsia="id-ID"/>
          <w14:textFill>
            <w14:solidFill>
              <w14:schemeClr w14:val="tx1"/>
            </w14:solidFill>
          </w14:textFill>
        </w:rPr>
        <w:t>Tolerance</w:t>
      </w:r>
      <w:r>
        <w:rPr>
          <w:color w:val="000000" w:themeColor="text1"/>
          <w:sz w:val="24"/>
          <w:szCs w:val="24"/>
          <w:lang w:eastAsia="id-ID"/>
          <w14:textFill>
            <w14:solidFill>
              <w14:schemeClr w14:val="tx1"/>
            </w14:solidFill>
          </w14:textFill>
        </w:rPr>
        <w:t xml:space="preserve"> &gt; 0,10 yang berarti data tersebut tidak terjadi gejala multikolinearitas. </w:t>
      </w:r>
    </w:p>
    <w:p w14:paraId="246798E2">
      <w:pPr>
        <w:pStyle w:val="7"/>
        <w:ind w:left="0"/>
        <w:jc w:val="left"/>
        <w:rPr>
          <w:b/>
        </w:rPr>
      </w:pPr>
    </w:p>
    <w:p w14:paraId="5D869FE9">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Heteroskedastisitas</w:t>
      </w:r>
    </w:p>
    <w:p w14:paraId="10B19041">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Gambar 2</w:t>
      </w:r>
    </w:p>
    <w:p w14:paraId="69F0DE70">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Heteroskedastisitas</w:t>
      </w:r>
    </w:p>
    <w:p w14:paraId="589268BF">
      <w:pPr>
        <w:jc w:val="center"/>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drawing>
          <wp:inline distT="0" distB="0" distL="0" distR="0">
            <wp:extent cx="2438400" cy="1948180"/>
            <wp:effectExtent l="0" t="0" r="0" b="0"/>
            <wp:docPr id="8590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280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95158" cy="1993694"/>
                    </a:xfrm>
                    <a:prstGeom prst="rect">
                      <a:avLst/>
                    </a:prstGeom>
                    <a:noFill/>
                    <a:ln>
                      <a:noFill/>
                    </a:ln>
                  </pic:spPr>
                </pic:pic>
              </a:graphicData>
            </a:graphic>
          </wp:inline>
        </w:drawing>
      </w:r>
    </w:p>
    <w:p w14:paraId="03C93D1C">
      <w:pPr>
        <w:jc w:val="center"/>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5A3A06DB">
      <w:pPr>
        <w:jc w:val="both"/>
        <w:rPr>
          <w:color w:val="000000" w:themeColor="text1"/>
          <w:sz w:val="24"/>
          <w:szCs w:val="24"/>
          <w:lang w:eastAsia="id-ID"/>
          <w14:textFill>
            <w14:solidFill>
              <w14:schemeClr w14:val="tx1"/>
            </w14:solidFill>
          </w14:textFill>
        </w:rPr>
      </w:pPr>
    </w:p>
    <w:p w14:paraId="7F25D56C">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Berdasarkan gambar 2 diatas, dapat disimpulkan bahwa tidak terjadi heteroskedastisitas karena </w:t>
      </w:r>
      <w:r>
        <w:rPr>
          <w:i/>
          <w:iCs/>
          <w:color w:val="000000" w:themeColor="text1"/>
          <w:sz w:val="24"/>
          <w:szCs w:val="24"/>
          <w:lang w:eastAsia="id-ID"/>
          <w14:textFill>
            <w14:solidFill>
              <w14:schemeClr w14:val="tx1"/>
            </w14:solidFill>
          </w14:textFill>
        </w:rPr>
        <w:t>scatterplot</w:t>
      </w:r>
      <w:r>
        <w:rPr>
          <w:color w:val="000000" w:themeColor="text1"/>
          <w:sz w:val="24"/>
          <w:szCs w:val="24"/>
          <w:lang w:eastAsia="id-ID"/>
          <w14:textFill>
            <w14:solidFill>
              <w14:schemeClr w14:val="tx1"/>
            </w14:solidFill>
          </w14:textFill>
        </w:rPr>
        <w:t> menunjukkan adanya penyebaran titik-titik secara acak.</w:t>
      </w:r>
    </w:p>
    <w:p w14:paraId="69799694">
      <w:pPr>
        <w:pStyle w:val="7"/>
        <w:ind w:left="0"/>
        <w:jc w:val="left"/>
        <w:rPr>
          <w:b/>
        </w:rPr>
      </w:pPr>
    </w:p>
    <w:p w14:paraId="78929FD4">
      <w:pPr>
        <w:pStyle w:val="7"/>
        <w:ind w:left="0"/>
        <w:jc w:val="left"/>
        <w:rPr>
          <w:b/>
        </w:rPr>
      </w:pPr>
    </w:p>
    <w:p w14:paraId="2C0A6FB8">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Analisis Regresi Linier Berganda</w:t>
      </w:r>
    </w:p>
    <w:p w14:paraId="276CA84F">
      <w:pPr>
        <w:jc w:val="center"/>
        <w:rPr>
          <w:b/>
          <w:bCs/>
          <w:color w:val="000000" w:themeColor="text1"/>
          <w:sz w:val="24"/>
          <w:szCs w:val="24"/>
          <w:lang w:eastAsia="id-ID"/>
          <w14:textFill>
            <w14:solidFill>
              <w14:schemeClr w14:val="tx1"/>
            </w14:solidFill>
          </w14:textFill>
        </w:rPr>
      </w:pPr>
    </w:p>
    <w:p w14:paraId="0E81969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3</w:t>
      </w:r>
    </w:p>
    <w:p w14:paraId="3D48F2C1">
      <w:pPr>
        <w:jc w:val="center"/>
        <w:rPr>
          <w:b/>
          <w:bCs/>
          <w:color w:val="000000" w:themeColor="text1"/>
          <w:lang w:eastAsia="id-ID"/>
          <w14:textFill>
            <w14:solidFill>
              <w14:schemeClr w14:val="tx1"/>
            </w14:solidFill>
          </w14:textFill>
        </w:rPr>
      </w:pPr>
      <w:r>
        <w:rPr>
          <w:b/>
          <w:bCs/>
          <w:color w:val="000000" w:themeColor="text1"/>
          <w:sz w:val="24"/>
          <w:szCs w:val="24"/>
          <w:lang w:eastAsia="id-ID"/>
          <w14:textFill>
            <w14:solidFill>
              <w14:schemeClr w14:val="tx1"/>
            </w14:solidFill>
          </w14:textFill>
        </w:rPr>
        <w:t>Output Koefisien Determinasi</w:t>
      </w:r>
    </w:p>
    <w:tbl>
      <w:tblPr>
        <w:tblStyle w:val="6"/>
        <w:tblW w:w="35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79"/>
        <w:gridCol w:w="619"/>
        <w:gridCol w:w="657"/>
        <w:gridCol w:w="901"/>
        <w:gridCol w:w="904"/>
      </w:tblGrid>
      <w:tr w14:paraId="351E63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4" w:hRule="atLeast"/>
          <w:jc w:val="center"/>
        </w:trPr>
        <w:tc>
          <w:tcPr>
            <w:tcW w:w="3560" w:type="dxa"/>
            <w:gridSpan w:val="5"/>
            <w:tcBorders>
              <w:top w:val="nil"/>
              <w:left w:val="nil"/>
              <w:bottom w:val="nil"/>
              <w:right w:val="nil"/>
            </w:tcBorders>
            <w:shd w:val="clear" w:color="auto" w:fill="FFFFFF"/>
          </w:tcPr>
          <w:p w14:paraId="3295BA72">
            <w:pPr>
              <w:jc w:val="center"/>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Model Summary</w:t>
            </w:r>
          </w:p>
        </w:tc>
      </w:tr>
      <w:tr w14:paraId="4C1679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9" w:hRule="atLeast"/>
          <w:jc w:val="center"/>
        </w:trPr>
        <w:tc>
          <w:tcPr>
            <w:tcW w:w="479" w:type="dxa"/>
            <w:tcBorders>
              <w:top w:val="single" w:color="000000" w:sz="16" w:space="0"/>
              <w:left w:val="single" w:color="000000" w:sz="16" w:space="0"/>
              <w:bottom w:val="single" w:color="000000" w:sz="16" w:space="0"/>
              <w:right w:val="single" w:color="000000" w:sz="16" w:space="0"/>
            </w:tcBorders>
            <w:shd w:val="clear" w:color="auto" w:fill="FFFFFF"/>
          </w:tcPr>
          <w:p w14:paraId="69D0C024">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Model</w:t>
            </w:r>
          </w:p>
        </w:tc>
        <w:tc>
          <w:tcPr>
            <w:tcW w:w="619" w:type="dxa"/>
            <w:tcBorders>
              <w:top w:val="single" w:color="000000" w:sz="16" w:space="0"/>
              <w:left w:val="single" w:color="000000" w:sz="16" w:space="0"/>
              <w:bottom w:val="single" w:color="000000" w:sz="16" w:space="0"/>
            </w:tcBorders>
            <w:shd w:val="clear" w:color="auto" w:fill="FFFFFF"/>
          </w:tcPr>
          <w:p w14:paraId="086827C2">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R</w:t>
            </w:r>
          </w:p>
        </w:tc>
        <w:tc>
          <w:tcPr>
            <w:tcW w:w="657" w:type="dxa"/>
            <w:tcBorders>
              <w:top w:val="single" w:color="000000" w:sz="16" w:space="0"/>
              <w:bottom w:val="single" w:color="000000" w:sz="16" w:space="0"/>
            </w:tcBorders>
            <w:shd w:val="clear" w:color="auto" w:fill="FFFFFF"/>
          </w:tcPr>
          <w:p w14:paraId="1EC9E890">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R Square</w:t>
            </w:r>
          </w:p>
        </w:tc>
        <w:tc>
          <w:tcPr>
            <w:tcW w:w="901" w:type="dxa"/>
            <w:tcBorders>
              <w:top w:val="single" w:color="000000" w:sz="16" w:space="0"/>
              <w:bottom w:val="single" w:color="000000" w:sz="16" w:space="0"/>
            </w:tcBorders>
            <w:shd w:val="clear" w:color="auto" w:fill="FFFFFF"/>
          </w:tcPr>
          <w:p w14:paraId="42EBA0CC">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Adjusted R Square</w:t>
            </w:r>
          </w:p>
        </w:tc>
        <w:tc>
          <w:tcPr>
            <w:tcW w:w="903" w:type="dxa"/>
            <w:tcBorders>
              <w:top w:val="single" w:color="000000" w:sz="16" w:space="0"/>
              <w:bottom w:val="single" w:color="000000" w:sz="16" w:space="0"/>
              <w:right w:val="single" w:color="000000" w:sz="16" w:space="0"/>
            </w:tcBorders>
            <w:shd w:val="clear" w:color="auto" w:fill="FFFFFF"/>
          </w:tcPr>
          <w:p w14:paraId="64848CB2">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Std. Error of the Estimate</w:t>
            </w:r>
          </w:p>
        </w:tc>
      </w:tr>
      <w:tr w14:paraId="531C66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4" w:hRule="atLeast"/>
          <w:jc w:val="center"/>
        </w:trPr>
        <w:tc>
          <w:tcPr>
            <w:tcW w:w="479" w:type="dxa"/>
            <w:tcBorders>
              <w:top w:val="single" w:color="000000" w:sz="16" w:space="0"/>
              <w:left w:val="single" w:color="000000" w:sz="16" w:space="0"/>
              <w:bottom w:val="single" w:color="000000" w:sz="16" w:space="0"/>
              <w:right w:val="single" w:color="000000" w:sz="16" w:space="0"/>
            </w:tcBorders>
            <w:shd w:val="clear" w:color="auto" w:fill="FFFFFF"/>
            <w:vAlign w:val="center"/>
          </w:tcPr>
          <w:p w14:paraId="1545F894">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1</w:t>
            </w:r>
          </w:p>
        </w:tc>
        <w:tc>
          <w:tcPr>
            <w:tcW w:w="619" w:type="dxa"/>
            <w:tcBorders>
              <w:top w:val="single" w:color="000000" w:sz="16" w:space="0"/>
              <w:left w:val="single" w:color="000000" w:sz="16" w:space="0"/>
              <w:bottom w:val="single" w:color="000000" w:sz="16" w:space="0"/>
            </w:tcBorders>
            <w:shd w:val="clear" w:color="auto" w:fill="FFFFFF"/>
            <w:vAlign w:val="center"/>
          </w:tcPr>
          <w:p w14:paraId="385DF160">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.872</w:t>
            </w:r>
            <w:r>
              <w:rPr>
                <w:color w:val="000000" w:themeColor="text1"/>
                <w:vertAlign w:val="superscript"/>
                <w:lang w:eastAsia="id-ID"/>
                <w14:textFill>
                  <w14:solidFill>
                    <w14:schemeClr w14:val="tx1"/>
                  </w14:solidFill>
                </w14:textFill>
              </w:rPr>
              <w:t>a</w:t>
            </w:r>
          </w:p>
        </w:tc>
        <w:tc>
          <w:tcPr>
            <w:tcW w:w="657" w:type="dxa"/>
            <w:tcBorders>
              <w:top w:val="single" w:color="000000" w:sz="16" w:space="0"/>
              <w:bottom w:val="single" w:color="000000" w:sz="16" w:space="0"/>
            </w:tcBorders>
            <w:shd w:val="clear" w:color="auto" w:fill="FFFFFF"/>
            <w:vAlign w:val="center"/>
          </w:tcPr>
          <w:p w14:paraId="0701BEC7">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.760</w:t>
            </w:r>
          </w:p>
        </w:tc>
        <w:tc>
          <w:tcPr>
            <w:tcW w:w="901" w:type="dxa"/>
            <w:tcBorders>
              <w:top w:val="single" w:color="000000" w:sz="16" w:space="0"/>
              <w:bottom w:val="single" w:color="000000" w:sz="16" w:space="0"/>
            </w:tcBorders>
            <w:shd w:val="clear" w:color="auto" w:fill="FFFFFF"/>
            <w:vAlign w:val="center"/>
          </w:tcPr>
          <w:p w14:paraId="69009608">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.747</w:t>
            </w:r>
          </w:p>
        </w:tc>
        <w:tc>
          <w:tcPr>
            <w:tcW w:w="903" w:type="dxa"/>
            <w:tcBorders>
              <w:top w:val="single" w:color="000000" w:sz="16" w:space="0"/>
              <w:bottom w:val="single" w:color="000000" w:sz="16" w:space="0"/>
              <w:right w:val="single" w:color="000000" w:sz="16" w:space="0"/>
            </w:tcBorders>
            <w:shd w:val="clear" w:color="auto" w:fill="FFFFFF"/>
            <w:vAlign w:val="center"/>
          </w:tcPr>
          <w:p w14:paraId="5688A485">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2.89490</w:t>
            </w:r>
          </w:p>
        </w:tc>
      </w:tr>
      <w:tr w14:paraId="7135EF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64" w:hRule="atLeast"/>
          <w:jc w:val="center"/>
        </w:trPr>
        <w:tc>
          <w:tcPr>
            <w:tcW w:w="3560" w:type="dxa"/>
            <w:gridSpan w:val="5"/>
            <w:tcBorders>
              <w:top w:val="nil"/>
              <w:left w:val="nil"/>
              <w:bottom w:val="nil"/>
              <w:right w:val="nil"/>
            </w:tcBorders>
            <w:shd w:val="clear" w:color="auto" w:fill="FFFFFF"/>
          </w:tcPr>
          <w:p w14:paraId="0397CA3B">
            <w:pPr>
              <w:jc w:val="both"/>
              <w:rPr>
                <w:color w:val="000000" w:themeColor="text1"/>
                <w:lang w:eastAsia="id-ID"/>
                <w14:textFill>
                  <w14:solidFill>
                    <w14:schemeClr w14:val="tx1"/>
                  </w14:solidFill>
                </w14:textFill>
              </w:rPr>
            </w:pPr>
          </w:p>
        </w:tc>
      </w:tr>
    </w:tbl>
    <w:p w14:paraId="3D21D491">
      <w:pPr>
        <w:jc w:val="center"/>
        <w:rPr>
          <w:i/>
          <w:iCs/>
          <w:color w:val="000000" w:themeColor="text1"/>
          <w:lang w:eastAsia="id-ID"/>
          <w14:textFill>
            <w14:solidFill>
              <w14:schemeClr w14:val="tx1"/>
            </w14:solidFill>
          </w14:textFill>
        </w:rPr>
      </w:pPr>
      <w:r>
        <w:rPr>
          <w:i/>
          <w:iCs/>
          <w:color w:val="000000" w:themeColor="text1"/>
          <w:lang w:eastAsia="id-ID"/>
          <w14:textFill>
            <w14:solidFill>
              <w14:schemeClr w14:val="tx1"/>
            </w14:solidFill>
          </w14:textFill>
        </w:rPr>
        <w:t>Sumber: Data Primer Diolah, 2026</w:t>
      </w:r>
    </w:p>
    <w:p w14:paraId="55E493B8">
      <w:pPr>
        <w:jc w:val="both"/>
        <w:rPr>
          <w:b/>
          <w:bCs/>
          <w:color w:val="000000" w:themeColor="text1"/>
          <w:lang w:eastAsia="id-ID"/>
          <w14:textFill>
            <w14:solidFill>
              <w14:schemeClr w14:val="tx1"/>
            </w14:solidFill>
          </w14:textFill>
        </w:rPr>
      </w:pPr>
    </w:p>
    <w:p w14:paraId="3D03D9E7">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Analisis Ouput Koefisien Determinasi</w:t>
      </w:r>
    </w:p>
    <w:p w14:paraId="57CB4783">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Diketahui nilai Adjusted R Square sebesar 0,747 maka berkesimpulan bahwa sumbangan pengaruh Variabel Independen terhadap Variabel Dependen secara simultan sebesar 74,7%.</w:t>
      </w:r>
    </w:p>
    <w:p w14:paraId="2C834934">
      <w:pPr>
        <w:pStyle w:val="7"/>
        <w:ind w:left="0"/>
        <w:jc w:val="left"/>
        <w:rPr>
          <w:b/>
        </w:rPr>
      </w:pPr>
    </w:p>
    <w:p w14:paraId="439C16D9">
      <w:pPr>
        <w:pStyle w:val="7"/>
        <w:ind w:left="0"/>
        <w:jc w:val="left"/>
        <w:rPr>
          <w:b/>
        </w:rPr>
      </w:pPr>
    </w:p>
    <w:p w14:paraId="56255D32">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F</w:t>
      </w:r>
    </w:p>
    <w:p w14:paraId="72752340">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4</w:t>
      </w:r>
    </w:p>
    <w:p w14:paraId="12D6312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Output Uji F</w:t>
      </w:r>
    </w:p>
    <w:p w14:paraId="3E289C61">
      <w:pPr>
        <w:pStyle w:val="7"/>
        <w:ind w:left="0"/>
        <w:jc w:val="left"/>
        <w:rPr>
          <w:b/>
        </w:rPr>
      </w:pPr>
    </w:p>
    <w:p w14:paraId="37040EB4">
      <w:pPr>
        <w:pStyle w:val="7"/>
        <w:ind w:left="0"/>
        <w:jc w:val="left"/>
        <w:rPr>
          <w:b/>
        </w:rPr>
      </w:pPr>
      <w:r>
        <w:drawing>
          <wp:inline distT="0" distB="0" distL="0" distR="0">
            <wp:extent cx="2872105" cy="733425"/>
            <wp:effectExtent l="0" t="0" r="4445" b="0"/>
            <wp:docPr id="7002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86495" name="Picture 1"/>
                    <pic:cNvPicPr>
                      <a:picLocks noChangeAspect="1"/>
                    </pic:cNvPicPr>
                  </pic:nvPicPr>
                  <pic:blipFill>
                    <a:blip r:embed="rId15"/>
                    <a:srcRect l="30745" t="41970" r="30202" b="40296"/>
                    <a:stretch>
                      <a:fillRect/>
                    </a:stretch>
                  </pic:blipFill>
                  <pic:spPr>
                    <a:xfrm>
                      <a:off x="0" y="0"/>
                      <a:ext cx="2881971" cy="735823"/>
                    </a:xfrm>
                    <a:prstGeom prst="rect">
                      <a:avLst/>
                    </a:prstGeom>
                    <a:ln>
                      <a:noFill/>
                    </a:ln>
                  </pic:spPr>
                </pic:pic>
              </a:graphicData>
            </a:graphic>
          </wp:inline>
        </w:drawing>
      </w:r>
    </w:p>
    <w:p w14:paraId="31B4E496">
      <w:pPr>
        <w:jc w:val="center"/>
        <w:rPr>
          <w:i/>
          <w:iCs/>
          <w:color w:val="000000" w:themeColor="text1"/>
          <w:lang w:eastAsia="id-ID"/>
          <w14:textFill>
            <w14:solidFill>
              <w14:schemeClr w14:val="tx1"/>
            </w14:solidFill>
          </w14:textFill>
        </w:rPr>
      </w:pPr>
      <w:r>
        <w:rPr>
          <w:i/>
          <w:iCs/>
          <w:color w:val="000000" w:themeColor="text1"/>
          <w:lang w:eastAsia="id-ID"/>
          <w14:textFill>
            <w14:solidFill>
              <w14:schemeClr w14:val="tx1"/>
            </w14:solidFill>
          </w14:textFill>
        </w:rPr>
        <w:t>Sumber: Data Primer Diolah, 2026</w:t>
      </w:r>
    </w:p>
    <w:p w14:paraId="03B21621">
      <w:pPr>
        <w:jc w:val="both"/>
        <w:rPr>
          <w:b/>
          <w:bCs/>
          <w:color w:val="EE0000"/>
          <w:lang w:eastAsia="id-ID"/>
        </w:rPr>
      </w:pPr>
    </w:p>
    <w:p w14:paraId="620795FA">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 xml:space="preserve">Analisis Output Uji F </w:t>
      </w:r>
    </w:p>
    <w:p w14:paraId="5811752E">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tabel 4, diketahui Nilai Sig. Sebesar 0,000 (&lt;0,05), maka Religiusitas, Profit, Pelayanan, Fasilitas dan Produk berpengaruh signifikan secara simultan terhadap Keputusan Nasabah.</w:t>
      </w:r>
    </w:p>
    <w:p w14:paraId="30C94BFD">
      <w:pPr>
        <w:jc w:val="both"/>
        <w:rPr>
          <w:color w:val="000000" w:themeColor="text1"/>
          <w:sz w:val="24"/>
          <w:szCs w:val="24"/>
          <w:lang w:eastAsia="id-ID"/>
          <w14:textFill>
            <w14:solidFill>
              <w14:schemeClr w14:val="tx1"/>
            </w14:solidFill>
          </w14:textFill>
        </w:rPr>
      </w:pPr>
    </w:p>
    <w:p w14:paraId="3575006D">
      <w:pPr>
        <w:jc w:val="both"/>
        <w:rPr>
          <w:color w:val="000000" w:themeColor="text1"/>
          <w:sz w:val="24"/>
          <w:szCs w:val="24"/>
          <w:lang w:eastAsia="id-ID"/>
          <w14:textFill>
            <w14:solidFill>
              <w14:schemeClr w14:val="tx1"/>
            </w14:solidFill>
          </w14:textFill>
        </w:rPr>
      </w:pPr>
    </w:p>
    <w:p w14:paraId="2474A304">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t</w:t>
      </w:r>
    </w:p>
    <w:p w14:paraId="299E9311">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Tabel 5</w:t>
      </w:r>
    </w:p>
    <w:p w14:paraId="437CB902">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Output Uji t</w:t>
      </w:r>
    </w:p>
    <w:p w14:paraId="22D266A8">
      <w:pPr>
        <w:jc w:val="center"/>
        <w:rPr>
          <w:b/>
          <w:bCs/>
          <w:color w:val="000000" w:themeColor="text1"/>
          <w:lang w:eastAsia="id-ID"/>
          <w14:textFill>
            <w14:solidFill>
              <w14:schemeClr w14:val="tx1"/>
            </w14:solidFill>
          </w14:textFill>
        </w:rPr>
      </w:pPr>
      <w:r>
        <w:drawing>
          <wp:inline distT="0" distB="0" distL="0" distR="0">
            <wp:extent cx="3199765" cy="1333500"/>
            <wp:effectExtent l="0" t="0" r="635" b="0"/>
            <wp:docPr id="2336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6290" name="Picture 1"/>
                    <pic:cNvPicPr>
                      <a:picLocks noChangeAspect="1"/>
                    </pic:cNvPicPr>
                  </pic:nvPicPr>
                  <pic:blipFill>
                    <a:blip r:embed="rId16"/>
                    <a:srcRect l="30246" t="39902" r="29537" b="32315"/>
                    <a:stretch>
                      <a:fillRect/>
                    </a:stretch>
                  </pic:blipFill>
                  <pic:spPr>
                    <a:xfrm>
                      <a:off x="0" y="0"/>
                      <a:ext cx="3214196" cy="1339514"/>
                    </a:xfrm>
                    <a:prstGeom prst="rect">
                      <a:avLst/>
                    </a:prstGeom>
                    <a:ln>
                      <a:noFill/>
                    </a:ln>
                  </pic:spPr>
                </pic:pic>
              </a:graphicData>
            </a:graphic>
          </wp:inline>
        </w:drawing>
      </w:r>
    </w:p>
    <w:p w14:paraId="7CB90834">
      <w:pPr>
        <w:jc w:val="center"/>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617CB68A">
      <w:pPr>
        <w:jc w:val="both"/>
        <w:rPr>
          <w:color w:val="000000" w:themeColor="text1"/>
          <w:sz w:val="24"/>
          <w:szCs w:val="24"/>
          <w:lang w:eastAsia="id-ID"/>
          <w14:textFill>
            <w14:solidFill>
              <w14:schemeClr w14:val="tx1"/>
            </w14:solidFill>
          </w14:textFill>
        </w:rPr>
      </w:pPr>
    </w:p>
    <w:p w14:paraId="0873AB85">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Kriteria Pengujian Uji t</w:t>
      </w:r>
    </w:p>
    <w:p w14:paraId="5887C98F">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Jika Nilai Sig. &lt; 0,05, artinya ada pengaruh secara signifikan. Berdasarkan tabel 5, Analisis Uji t adalah sebagai berikut: </w:t>
      </w:r>
    </w:p>
    <w:p w14:paraId="6C4C4E49">
      <w:pPr>
        <w:pStyle w:val="12"/>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Religiusitas sebesar 0,038 (&lt;0,05), maka Religiusitas Berpengaruh Signifikan terhadap Keputusan Nasabah.</w:t>
      </w:r>
    </w:p>
    <w:p w14:paraId="46643078">
      <w:pPr>
        <w:pStyle w:val="12"/>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Profit (bagi hasil) sebesar 0,009 (&lt;0,05), maka Profit (bagi hasil) Berpengaruh Signifikan terhadap Keputusan Nasabah.</w:t>
      </w:r>
    </w:p>
    <w:p w14:paraId="0CA43F71">
      <w:pPr>
        <w:pStyle w:val="12"/>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Pelayanan sebesar 0,471 (&gt;0,05), maka Pelayanan Tidak Berpengaruh Signifikan terhadap Keputusan Nasabah.</w:t>
      </w:r>
    </w:p>
    <w:p w14:paraId="14228F58">
      <w:pPr>
        <w:pStyle w:val="12"/>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Fasilitas sebesar 0,259 (&gt;0,05), maka Fasilitas Tidak Berpengaruh Signifikan terhadap Keputusan Nasabah.</w:t>
      </w:r>
    </w:p>
    <w:p w14:paraId="0CE1ECC7">
      <w:pPr>
        <w:pStyle w:val="12"/>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Produk sebesar 0,000 (&lt;0,05), maka Produk Berpengaruh Signifikan terhadap Keputusan Nasabah.</w:t>
      </w:r>
    </w:p>
    <w:p w14:paraId="52453E8C">
      <w:pPr>
        <w:pStyle w:val="7"/>
        <w:ind w:left="0"/>
        <w:jc w:val="left"/>
        <w:rPr>
          <w:b/>
        </w:rPr>
      </w:pPr>
    </w:p>
    <w:p w14:paraId="1E7116BE">
      <w:pPr>
        <w:pStyle w:val="7"/>
        <w:ind w:left="0"/>
        <w:jc w:val="left"/>
        <w:rPr>
          <w:b/>
        </w:rPr>
      </w:pPr>
    </w:p>
    <w:p w14:paraId="73822759">
      <w:pPr>
        <w:pStyle w:val="3"/>
        <w:rPr>
          <w:spacing w:val="-2"/>
        </w:rPr>
      </w:pPr>
      <w:r>
        <w:t>Pembahasan</w:t>
      </w:r>
      <w:r>
        <w:rPr>
          <w:spacing w:val="-7"/>
        </w:rPr>
        <w:t xml:space="preserve"> </w:t>
      </w:r>
      <w:r>
        <w:rPr>
          <w:spacing w:val="-2"/>
        </w:rPr>
        <w:t>Penelitian</w:t>
      </w:r>
    </w:p>
    <w:p w14:paraId="632C879A">
      <w:pPr>
        <w:pStyle w:val="3"/>
      </w:pPr>
    </w:p>
    <w:p w14:paraId="3E5B0BF7">
      <w:pPr>
        <w:jc w:val="both"/>
        <w:rPr>
          <w:b/>
          <w:bCs/>
          <w:sz w:val="24"/>
          <w:szCs w:val="24"/>
        </w:rPr>
      </w:pPr>
      <w:r>
        <w:rPr>
          <w:b/>
          <w:bCs/>
          <w:sz w:val="24"/>
          <w:szCs w:val="24"/>
        </w:rPr>
        <w:t>Pengaruh Faktor Religiusitas terhadap Keputusan Nasabah</w:t>
      </w:r>
    </w:p>
    <w:p w14:paraId="45E6E795">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Religiusitas sebesar 0,038 (&lt;0,05), maka Religiusitas Berpengaruh Signifikan terhadap Keputusan Nasabah. Sikap religius yang melekat pada diri setiap orang membuat mereka menyadari bahwa penting mencari keberkahan dalam segala aspek kehidupan. Keyakinan dan nilai agama yang dianut menyadarkan bahwa riba, gharar dan maisir adalah aktivitas yang melanggar aturan agama. </w:t>
      </w:r>
      <w:r>
        <w:rPr>
          <w:sz w:val="24"/>
          <w:szCs w:val="24"/>
        </w:rPr>
        <w:t xml:space="preserve">Hasil penelitian </w:t>
      </w:r>
      <w:r>
        <w:rPr>
          <w:b/>
          <w:bCs/>
          <w:sz w:val="24"/>
          <w:szCs w:val="24"/>
        </w:rPr>
        <w:fldChar w:fldCharType="begin" w:fldLock="1"/>
      </w:r>
      <w:r>
        <w:rPr>
          <w:b/>
          <w:bCs/>
          <w:sz w:val="24"/>
          <w:szCs w:val="24"/>
        </w:rPr>
        <w:instrText xml:space="preserve">ADDIN CSL_CITATION {"citationItems":[{"id":"ITEM-1","itemData":{"author":[{"dropping-particle":"","family":"Alfani","given":"Mufti Hasan","non-dropping-particle":"","parse-names":false,"suffix":""},{"dropping-particle":"","family":"Rifa","given":"","non-dropping-particle":"","parse-names":false,"suffix":""}],"container-title":"Jurnal Tabarru': Islamic Banking and Finance","id":"ITEM-1","issue":"1","issued":{"date-parts":[["2022"]]},"page":"98-107","title":"Pengaruh Religiusitas Mahasiswa Universitas Islam Riau Terhadap Keputusan Menabung di Bank Syariah","type":"article-journal","volume":"5"},"uris":["http://www.mendeley.com/documents/?uuid=e91350d1-d32b-4cbf-8ba6-91c1ec8d334f"]}],"mendeley":{"formattedCitation":"(Alfani &amp; Rifa, 2022)","plainTextFormattedCitation":"(Alfani &amp; Rifa, 2022)","previouslyFormattedCitation":"(Alfani &amp; Rifa, 2022)"},"properties":{"noteIndex":0},"schema":"https://github.com/citation-style-language/schema/raw/master/csl-citation.json"}</w:instrText>
      </w:r>
      <w:r>
        <w:rPr>
          <w:b/>
          <w:bCs/>
          <w:sz w:val="24"/>
          <w:szCs w:val="24"/>
        </w:rPr>
        <w:fldChar w:fldCharType="separate"/>
      </w:r>
      <w:r>
        <w:rPr>
          <w:bCs/>
          <w:sz w:val="24"/>
          <w:szCs w:val="24"/>
        </w:rPr>
        <w:t>(Alfani &amp; Rifa,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Pr>
          <w:b/>
          <w:bCs/>
          <w:sz w:val="24"/>
          <w:szCs w:val="24"/>
        </w:rPr>
        <w:fldChar w:fldCharType="separate"/>
      </w:r>
      <w:r>
        <w:rPr>
          <w:bCs/>
          <w:sz w:val="24"/>
          <w:szCs w:val="24"/>
        </w:rPr>
        <w:t>(Alwahidin &amp; Afni,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{"citationItems":[{"id":"ITEM-1","itemData":{"DOI":"10.19109/intelektualita.v12i1.15909","ISSN":"2303-2952","abstract":"Penelitian ini bertujuan untuk mengetahui seberapa besar peran sikap dalam memediasi pengaruh religiusitas terhadap keputusan menjadi nasabah di Bank Syariah Indonessia KC Palembang Simpang Patal. Penelitian ini bersifat kausal menggunakan data primer sebanyak 100 responden dengan menggunakan teknik accidental sampling. Data hasil penelitian dianalisis menggunakan metode Structural Equation Modeling (SEM) berbasis Partial Least Square (PLS). Hasil penelitian menunjukkan bahwa variabel sikap dapat memediasi pengaruh religiusitas terhadap keputusan menjadi nasabah di Bank Syariah Indonesia KC Simpang Patal Palembang.","author":[{"dropping-particle":"","family":"Amanda","given":"Dina","non-dropping-particle":"","parse-names":false,"suffix":""},{"dropping-particle":"","family":"Lidyah","given":"Rika","non-dropping-particle":"","parse-names":false,"suffix":""},{"dropping-particle":"","family":"Maulana","given":"Chandra Zaki","non-dropping-particle":"","parse-names":false,"suffix":""}],"container-title":"Jurnal Intelektualita: Keislaman, Sosial dan Sains","id":"ITEM-1","issue":"1","issued":{"date-parts":[["2023"]]},"page":"16-20","title":"Peran Sikap dalam Memediasi Pengaruh Religiusitas terhadap Keputusan Menjadi Nasabah di Bank Syariah Indonesia","type":"article-journal","volume":"12"},"uris":["http://www.mendeley.com/documents/?uuid=19bca133-8ed7-4aed-bb3c-22ba6097d95e"]}],"mendeley":{"formattedCitation":"(Amanda, Lidyah, &amp; Maulana, 2023)","manualFormatting":"(Amanda et.al, 2023)","plainTextFormattedCitation":"(Amanda, Lidyah, &amp; Maulana, 2023)","previouslyFormattedCitation":"(Amanda, Lidyah, &amp; Maulana, 2023)"},"properties":{"noteIndex":0},"schema":"https://github.com/citation-style-language/schema/raw/master/csl-citation.json"}</w:instrText>
      </w:r>
      <w:r>
        <w:rPr>
          <w:b/>
          <w:bCs/>
          <w:sz w:val="24"/>
          <w:szCs w:val="24"/>
        </w:rPr>
        <w:fldChar w:fldCharType="separate"/>
      </w:r>
      <w:r>
        <w:rPr>
          <w:bCs/>
          <w:sz w:val="24"/>
          <w:szCs w:val="24"/>
        </w:rPr>
        <w:t>(Amanda et.al, 2023)</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{"citationItems":[{"id":"ITEM-1","itemData":{"author":[{"dropping-particle":"","family":"Ardiyanto","given":"","non-dropping-particle":"","parse-names":false,"suffix":""},{"dropping-particle":"","family":"Widana","given":"Gusti Oka","non-dropping-particle":"","parse-names":false,"suffix":""}],"container-title":"Jurnal Ilmiah Ekonomi Islam (JIEI)","id":"ITEM-1","issue":"03","issued":{"date-parts":[["2024"]]},"page":"3096-3108","title":"Analisis Pengaruh Literasi Keuangan Syariah, Religiusitas dan Bauran Pemasaran Terhadap Keputusan Menjadi Nasabah Bank Syariah di Jogja","type":"article-journal","volume":"10"},"uris":["http://www.mendeley.com/documents/?uuid=10de59f6-c36a-4c35-b884-bd096f303852"]}],"mendeley":{"formattedCitation":"(Ardiyanto &amp; Widana, 2024)","plainTextFormattedCitation":"(Ardiyanto &amp; Widana, 2024)","previouslyFormattedCitation":"(Ardiyanto &amp; Widana, 2024)"},"properties":{"noteIndex":0},"schema":"https://github.com/citation-style-language/schema/raw/master/csl-citation.json"}</w:instrText>
      </w:r>
      <w:r>
        <w:rPr>
          <w:b/>
          <w:bCs/>
          <w:sz w:val="24"/>
          <w:szCs w:val="24"/>
        </w:rPr>
        <w:fldChar w:fldCharType="separate"/>
      </w:r>
      <w:r>
        <w:rPr>
          <w:bCs/>
          <w:sz w:val="24"/>
          <w:szCs w:val="24"/>
        </w:rPr>
        <w:t>(Ardiyanto &amp; Widana,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{"citationItems":[{"id":"ITEM-1","itemData":{"DOI":"10.35891/ml.v12i2.2876","ISSN":"2087-9636","abstract":"There are 3 purposes in this study, namely: 1) To find out and explain the influence of religiosity partially on saving decisions 2) To find out and explain the influence of brand liking partially on saving decisions 3) To find out and explain religiosity and brand liking simultaneously on saving decisions . The type of research used in this research is quantitative associative research. Data collection techniques are divided into questionnaires. The population and sample in this study were customers of BNI Syariah Bank in Pasuruan City. The number of samples is 114 and the sampling technique is accidental sampling. The data analysis method used is multiple regression analysis. This study uses TKT 3.","author":[{"dropping-particle":"","family":"Aslikhah","given":"","non-dropping-particle":"","parse-names":false,"suffix":""},{"dropping-particle":"","family":"Zuhriyah","given":"Aminatuz","non-dropping-particle":"","parse-names":false,"suffix":""}],"container-title":"Malia: Jurnal Ekonomi Islam","id":"ITEM-1","issue":"2","issued":{"date-parts":[["2021"]]},"page":"267-276","title":"Pengaruh Religiusitas dan Brand Liking terhadap Keputusan Menabung di Bank BNI Syariah Kabupaten Pasuruan","type":"article-journal","volume":"12"},"uris":["http://www.mendeley.com/documents/?uuid=cd7ce50d-3e1b-4f2f-96c1-a3a1f6edaa8b"]}],"mendeley":{"formattedCitation":"(Aslikhah &amp; Zuhriyah, 2021)","plainTextFormattedCitation":"(Aslikhah &amp; Zuhriyah, 2021)","previouslyFormattedCitation":"(Aslikhah &amp; Zuhriyah, 2021)"},"properties":{"noteIndex":0},"schema":"https://github.com/citation-style-language/schema/raw/master/csl-citation.json"}</w:instrText>
      </w:r>
      <w:r>
        <w:rPr>
          <w:b/>
          <w:bCs/>
          <w:sz w:val="24"/>
          <w:szCs w:val="24"/>
        </w:rPr>
        <w:fldChar w:fldCharType="separate"/>
      </w:r>
      <w:r>
        <w:rPr>
          <w:bCs/>
          <w:sz w:val="24"/>
          <w:szCs w:val="24"/>
        </w:rPr>
        <w:t>(Aslikhah &amp; Zuhriyah, 2021)</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Pr>
          <w:b/>
          <w:bCs/>
          <w:sz w:val="24"/>
          <w:szCs w:val="24"/>
        </w:rPr>
        <w:fldChar w:fldCharType="separate"/>
      </w:r>
      <w:r>
        <w:rPr>
          <w:bCs/>
          <w:sz w:val="24"/>
          <w:szCs w:val="24"/>
        </w:rPr>
        <w:t>(Bawono &amp; Oktaviani, 2016)</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{"citationItems":[{"id":"ITEM-1","itemData":{"abstract":"Penelitian ini dilakukan untuk mengetatahui pengaruh pengetahuan,religiusitas, promosi, dan tingkat pendapatan terhadap keputusan menjadi nasabah Bank Sumut Syariah Perdagangan. Populasi yang digunakan dalam penelitian ini adalah seluruh nasabah Bank SUMUT Syariah Pedagangan. Sedangkan sampel yang diambil sebanyak 95 orang nasabah dengan menggunakan teknik probability sampling. Metode analisis yang digunakan adalah analisis kuantitatif yaitu analisis regresi linear berganda. Analisis ini meliputi: uji validitas dan reliabilitas, uji asumsi klasuk, uji analisis regresi berganda, pengujian hipotesis melalui uji t dan uji f dan determinasi (R2 ). Hasil penelitian ini menunjukkan bahwa Pengetahuan berpengaruh signifikan terhadap keputusan menjadi nasabah hal ini didasarkan pada hasil Uji thitung Thitung pengetahuan = 4,993 maka diperoleh Thitung &gt; Ttabel atau 4,993 &gt; 1,661, nilai signifikan 0.000 &lt; 0.05.maka Ho ditolak dan Ha diterima. Religiusitas berpengaruh signifikan terhadap keputusan menjadi nasabah karena pada hasil Uji Thitung religiusitas = = 1,665 maka diperoleh Thitung &gt; Ttabel atau 1,665 &gt; 1,661, nilai signifikan 0.099 &gt; 0.05. Promosiberpengaruh positif signifikan terhadap keputusan menjadi Nasabah karena pada hasil Uji Thitung Promosi= 4,869 maka diperoleh Thitung &gt; Ttabel atau 4,869 &gt; 1,661, nilai signifikan 0.000 &lt; 0.05. Tingkat Pendapatan berpengaruh positif signifikan terhadap keputusan menjadi nasabah karena pada hasil Uji Thitung tingkat pendapatan2,516 maka diperoleh Thitung &gt; Ttabel atau 2,516 &gt; 1,661, nilai signifikan 0.014 &lt; 0.05.Berdasarkan uji Determinasi Nilai R Square menunjukkan sekitar 73,0 % variabel Keputusan Nasabah dipengaruhi oleh variabel Pengetahuan, Religiusitas, Promosi dan Tingkat Pendapatn. Sisanya 27 % dipengaruhi oleh variabel lain yang tidak diteliti dalam penelitian ini.Maka penulis menarik kesimpulan dalam penelitian ini Penngetahuan, Religiusitas, Promosi, dan Tingkat Pendapatan mempunyai pengaruh positif dan signifikan sebesar 0,730 atau 73,0% terhadap Keputusan menjadi Nasabah Bank Sumut Syariah Perdagangan.","author":[{"dropping-particle":"","family":"Dinata","given":"Indriyani","non-dropping-particle":"","parse-names":false,"suffix":""}],"container-title":"Jurnal Ilmiah Mahasiswa Pendidikan Agama Islam [JIMPAI]","id":"ITEM-1","issue":"1","issued":{"date-parts":[["2022"]]},"page":"1-13","title":"Dampak Pengetahuan, Religiusitas, Promosi Dan Tingkat Pendapatan Konsumen Terhadap Ketetapan Seseorang Menjadi Nasabah Bank Syariah","type":"article-journal","volume":"2"},"uris":["http://www.mendeley.com/documents/?uuid=3730d055-ffd1-4540-90b5-f5ae14ea2755"]}],"mendeley":{"formattedCitation":"(Dinata, 2022)","plainTextFormattedCitation":"(Dinata, 2022)","previouslyFormattedCitation":"(Dinata, 2022)"},"properties":{"noteIndex":0},"schema":"https://github.com/citation-style-language/schema/raw/master/csl-citation.json"}</w:instrText>
      </w:r>
      <w:r>
        <w:rPr>
          <w:b/>
          <w:bCs/>
          <w:sz w:val="24"/>
          <w:szCs w:val="24"/>
        </w:rPr>
        <w:fldChar w:fldCharType="separate"/>
      </w:r>
      <w:r>
        <w:rPr>
          <w:bCs/>
          <w:sz w:val="24"/>
          <w:szCs w:val="24"/>
        </w:rPr>
        <w:t>(Dinata,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{"citationItems":[{"id":"ITEM-1","itemData":{"DOI":"10.54131/jbma.v11i1.184","ISSN":"2252-5483","abstract":"Penelitian ini bertujuan untuk mengetahui pengaruh Religiusitas, Pengetahuan dan Electronic Banking Terhadap Keputusan Generasi Z menggunakan Jasa Perbankan Syariah pada nasabah mahasiswa aktif di Yogyakarta. Teknik pengambilan sampel menggunakan metode insidental sampling, yaitu sampel berdasarkan kebetulan, yaitu siapa saja responden yang secara kebetulan bertemu dengan peneliti dapat digunakan sebagai sampel, bila dipandang orang yang kebetulan ditemui itu cocok sebagai sumber data dan diolah data menggunakan program SmartPLS. Dari hasil penelitian diketahui bahwa Religiusitas, Pengetahuan dan Electronic Banking berpengaruh secara positif dan signifikan terhadap keputusan generasi Z menggunakan jasa perbankan syariah. Berdasarkan hasil dari penelitian dapat dikatakan bahwa semakin tinggi tingkat religiusitas seseorang mempengaruhi minat seseorang untuk menggunakan produk perbankan Syariah. Kemudian pengetahuan manfaat pemakaian di perbankan syariah seseorang maka akan semakin tinggi minat menabung seseorang dan kemudahan serta keamanan dalam menggunakan electronic banking mempengaruhi seseorang untuk menggunakan produk perbankan Syariah.","author":[{"dropping-particle":"","family":"Fikri","given":"Myrza Muhammad","non-dropping-particle":"","parse-names":false,"suffix":""},{"dropping-particle":"","family":"Diwanti","given":"Dyah Pikanthi","non-dropping-particle":"","parse-names":false,"suffix":""}],"container-title":"JBMA: Jurnal Bisnis, Manajemen, dan Akuntansi","id":"ITEM-1","issue":"1","issued":{"date-parts":[["2024"]]},"page":"1-9","title":"Analisis Pengaruh Religiusitas, Pengetahuan, dan Electronic Banking Terhadap Keputusan Generasi Z Menggunakan Jasa Perbankan Syariah","type":"article-journal","volume":"11"},"uris":["http://www.mendeley.com/documents/?uuid=d9319663-3236-42fd-a216-c96f0283510b"]}],"mendeley":{"formattedCitation":"(Fikri &amp; Diwanti, 2024)","plainTextFormattedCitation":"(Fikri &amp; Diwanti, 2024)","previouslyFormattedCitation":"(Fikri &amp; Diwanti, 2024)"},"properties":{"noteIndex":0},"schema":"https://github.com/citation-style-language/schema/raw/master/csl-citation.json"}</w:instrText>
      </w:r>
      <w:r>
        <w:rPr>
          <w:b/>
          <w:bCs/>
          <w:sz w:val="24"/>
          <w:szCs w:val="24"/>
        </w:rPr>
        <w:fldChar w:fldCharType="separate"/>
      </w:r>
      <w:r>
        <w:rPr>
          <w:bCs/>
          <w:sz w:val="24"/>
          <w:szCs w:val="24"/>
        </w:rPr>
        <w:t>(Fikri &amp; Diwanti,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Aziz, &amp; Pratama, 2022)","manualFormatting":"(Handayani et.al, 2022)","plainTextFormattedCitation":"(Handayani, Aziz, &amp; Pratama, 2022)","previouslyFormattedCitation":"(Handayani, Aziz, &amp; Pratama,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{"citationItems":[{"id":"ITEM-1","itemData":{"abstract":"This study aims to determine the effect of religiosity and perceptions of Indonesian Islamic Bank (BSI) customers in Tuban City, East Java. The types of data used in this study are primary data and secondary data. Primary data was obtained by distributing questionnaires and secondary data was obtained from journals and other literature reviews relevant to this research. The sample technique in this research is random purposive sampling, namely purposive sampling, namely sampling by determining special characteristics that are in accordance with the research objectives. The number of samples is 150 respondents. The data obtained were processed with SPSS using multiple linear regression analysis. The results of the study show that customer religiosity has a positive effect on the decision to choose a sharia bank and customer perceptions also have a positive effect on the decision to choose a sharia bank.","author":[{"dropping-particle":"","family":"Istiqomah","given":"Nur Hidayatul","non-dropping-particle":"","parse-names":false,"suffix":""},{"dropping-particle":"","family":"Rohim","given":"Ahmad Miftahur","non-dropping-particle":"","parse-names":false,"suffix":""},{"dropping-particle":"","family":"Ulum","given":"A Fahril","non-dropping-particle":"","parse-names":false,"suffix":""}],"container-title":"JIB-Jurnal Perbankan Syariah","id":"ITEM-1","issue":"2","issued":{"date-parts":[["2021"]]},"page":"73-78","title":"Religiusitas dan Persepsi Nasabah dalam Memilih Bank Syariah Indonesia (BSI) di Kota Tuban","type":"article-journal","volume":"1"},"uris":["http://www.mendeley.com/documents/?uuid=995ad251-7a1d-4e6d-8188-de02ab89d34d"]}],"mendeley":{"formattedCitation":"(Istiqomah, Rohim, &amp; Ulum, 2021)","manualFormatting":"(Istiqomah et.al, 2021)","plainTextFormattedCitation":"(Istiqomah, Rohim, &amp; Ulum, 2021)","previouslyFormattedCitation":"(Istiqomah, Rohim, &amp; Ulum, 2021)"},"properties":{"noteIndex":0},"schema":"https://github.com/citation-style-language/schema/raw/master/csl-citation.json"}</w:instrText>
      </w:r>
      <w:r>
        <w:rPr>
          <w:b/>
          <w:bCs/>
          <w:sz w:val="24"/>
          <w:szCs w:val="24"/>
        </w:rPr>
        <w:fldChar w:fldCharType="separate"/>
      </w:r>
      <w:r>
        <w:rPr>
          <w:bCs/>
          <w:sz w:val="24"/>
          <w:szCs w:val="24"/>
        </w:rPr>
        <w:t>(Istiqomah et.al, 2021)</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Arfan, &amp; Shabri, 2015)","manualFormatting":"(Maisur et.al, 2015)","plainTextFormattedCitation":"(Maisur, Arfan, &amp; Shabri, 2015)","previouslyFormattedCitation":"(Maisur, Arfan, &amp; Shabri,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Nurdiansyah","given":"","non-dropping-particle":"","parse-names":false,"suffix":""},{"dropping-particle":"","family":"Jannah","given":"Fachriyahthul","non-dropping-particle":"","parse-names":false,"suffix":""},{"dropping-particle":"","family":"Yulianadewi","given":"Ina","non-dropping-particle":"","parse-names":false,"suffix":""}],"container-title":"PAMJou","id":"ITEM-1","issue":"1","issued":{"date-parts":[["2023"]]},"page":"21-38","title":"Pengaruh Faktor Religiusitas Terhadap Keputusan Nasabah Memilih Produk Tabungan Pada PT. Bank BNI Syariah Cabang Makassar","type":"article-journal","volume":"7"},"uris":["http://www.mendeley.com/documents/?uuid=69b27442-b8da-4c44-8e8c-ad62afbfd7ed"]}],"mendeley":{"formattedCitation":"(Nurdiansyah, Jannah, &amp; Yulianadewi, 2023)","manualFormatting":"(Nurdiansyah et.al, 2023)","plainTextFormattedCitation":"(Nurdiansyah, Jannah, &amp; Yulianadewi, 2023)","previouslyFormattedCitation":"(Nurdiansyah, Jannah, &amp; Yulianadewi, 2023)"},"properties":{"noteIndex":0},"schema":"https://github.com/citation-style-language/schema/raw/master/csl-citation.json"}</w:instrText>
      </w:r>
      <w:r>
        <w:rPr>
          <w:b/>
          <w:bCs/>
          <w:sz w:val="24"/>
          <w:szCs w:val="24"/>
        </w:rPr>
        <w:fldChar w:fldCharType="separate"/>
      </w:r>
      <w:r>
        <w:rPr>
          <w:bCs/>
          <w:sz w:val="24"/>
          <w:szCs w:val="24"/>
        </w:rPr>
        <w:t>(Nurdiansyah et.al, 2023)</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Ritonga, &amp; Mubyarto, 2022)","manualFormatting":"(Robyani et.al, 2022)","plainTextFormattedCitation":"(Robyani, Ritonga, &amp; Mubyarto, 2022)","previouslyFormattedCitation":"(Robyani, Ritonga, &amp; Mubyarto, 2022)"},"properties":{"noteIndex":0},"schema":"https://github.com/citation-style-language/schema/raw/master/csl-citation.json"}</w:instrText>
      </w:r>
      <w:r>
        <w:rPr>
          <w:b/>
          <w:bCs/>
          <w:sz w:val="24"/>
          <w:szCs w:val="24"/>
        </w:rPr>
        <w:fldChar w:fldCharType="separate"/>
      </w:r>
      <w:r>
        <w:rPr>
          <w:bCs/>
          <w:sz w:val="24"/>
          <w:szCs w:val="24"/>
        </w:rPr>
        <w:t>(Robyani et.al, 2022)</w:t>
      </w:r>
      <w:r>
        <w:rPr>
          <w:b/>
          <w:bCs/>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Pr>
          <w:sz w:val="24"/>
          <w:szCs w:val="24"/>
        </w:rPr>
        <w:fldChar w:fldCharType="separate"/>
      </w:r>
      <w:r>
        <w:rPr>
          <w:sz w:val="24"/>
          <w:szCs w:val="24"/>
        </w:rPr>
        <w:t>(Shofwa, 2016)</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Inayah, &amp; Hamzah, 2020)","manualFormatting":"(Susanti et.al, 2020)","plainTextFormattedCitation":"(Susanti, Inayah, &amp; Hamzah, 2020)","previouslyFormattedCitation":"(Susanti, Inayah, &amp; Hamzah, 2020)"},"properties":{"noteIndex":0},"schema":"https://github.com/citation-style-language/schema/raw/master/csl-citation.json"}</w:instrText>
      </w:r>
      <w:r>
        <w:rPr>
          <w:sz w:val="24"/>
          <w:szCs w:val="24"/>
        </w:rPr>
        <w:fldChar w:fldCharType="separate"/>
      </w:r>
      <w:r>
        <w:rPr>
          <w:sz w:val="24"/>
          <w:szCs w:val="24"/>
        </w:rPr>
        <w:t>(Susanti et.al, 2020)</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Toha","given":"Mashuri","non-dropping-particle":"","parse-names":false,"suffix":""},{"dropping-particle":"","family":"Maulana","given":"Ilham","non-dropping-particle":"","parse-names":false,"suffix":""},{"dropping-particle":"","family":"Mubarak","given":"Alfani","non-dropping-particle":"","parse-names":false,"suffix":""},{"dropping-particle":"","family":"Al-ardani","given":"Moh Bahij","non-dropping-particle":"","parse-names":false,"suffix":""}],"container-title":"Masyrif: Jurnal Eonomi, Bisnis dan Manajemen","id":"ITEM-1","issue":"1","issued":{"date-parts":[["2024"]]},"page":"141-158","title":"Pengaruh Brand Image, Religiusitas dan Lokasi Terhadap Keputusan Menjadi Nasabah Bank Syariah (Studi Kasus Pada Mahasiswa Universitas Al-Amien Prenduan)","type":"article-journal","volume":"5"},"uris":["http://www.mendeley.com/documents/?uuid=8558c65a-7a1b-4fc4-b364-b80d0a4bfbe3"]}],"mendeley":{"formattedCitation":"(Toha, Maulana, Mubarak, &amp; Al-ardani, 2024)","manualFormatting":"(Toha et.al, 2024)","plainTextFormattedCitation":"(Toha, Maulana, Mubarak, &amp; Al-ardani, 2024)","previouslyFormattedCitation":"(Toha, Maulana, Mubarak, &amp; Al-ardani, 2024)"},"properties":{"noteIndex":0},"schema":"https://github.com/citation-style-language/schema/raw/master/csl-citation.json"}</w:instrText>
      </w:r>
      <w:r>
        <w:rPr>
          <w:sz w:val="24"/>
          <w:szCs w:val="24"/>
        </w:rPr>
        <w:fldChar w:fldCharType="separate"/>
      </w:r>
      <w:r>
        <w:rPr>
          <w:sz w:val="24"/>
          <w:szCs w:val="24"/>
        </w:rPr>
        <w:t>(Toha et.al,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{"citationItems":[{"id":"ITEM-1","itemData":{"DOI":"10.24235/amwal.v10i1.2812","ISSN":"2303-1573","abstract":"Penelitian ini bertujuan untuk mengetahui pengaruh religiusitas dan persepsi para nasabah Perbankan Syariah dalam menentukan pilihan menjadi nasabah di BRI Syariah. Penelitian ini dilakukan untuk melihat seberapa besar pengaruh religiusitas dan persepsi terhadap keputusan memilih perbankan syariah di PT. BRI Syariah di Medan. Jenis penelitian ini adalah penelitian kausal dengan metode pengumpulan data menggunakan metode survey dan teknik pengumpulan data menggunakan teknik kuisioner serta sampel dipilih secara random sampling. Pengolahan data akan dibantu dengan alat analisis data untuk menjawab apakah terdapat pengaruh yang signifikan tingkat religiusitas terhadap keputusan memilih bank syariah pada PT. BRI Syariah KC. S. Parman serta Apakah terdapat pengaruh yang signifikan persepsi terhadap keputusan memilih bank syariah pada PT. BRI Syariah KC. S. Parman. Hasil penelitian menunjukkan, secara simultan religiusitas dan persepsi nasabah berpengaruh secara signifikan terhadap keputusan memilih bank syariah. Sementara secara parsial, hanya variable religiusitas yang memiliki pengaruh positif dan signifikan terhadap keputusan memilih bank syariah.","author":[{"dropping-particle":"","family":"Zuhirsyan","given":"Muhammad","non-dropping-particle":"","parse-names":false,"suffix":""},{"dropping-particle":"","family":"Nurlinda","given":"","non-dropping-particle":"","parse-names":false,"suffix":""}],"container-title":"Al-Amwal : Jurnal Ekonomi dan Perbankan Syari'ah","id":"ITEM-1","issue":"1","issued":{"date-parts":[["2018"]]},"page":"48-62","title":"Pengaruh Religiusitas dan Persepsi Nasabah terhadap Keputusan Memilih Bank Syariah","type":"article-journal","volume":"10"},"uris":["http://www.mendeley.com/documents/?uuid=9d8e6ecc-9888-4848-b575-4262d7043f8b"]}],"mendeley":{"formattedCitation":"(Zuhirsyan &amp; Nurlinda, 2018)","plainTextFormattedCitation":"(Zuhirsyan &amp; Nurlinda, 2018)","previouslyFormattedCitation":"(Zuhirsyan &amp; Nurlinda, 2018)"},"properties":{"noteIndex":0},"schema":"https://github.com/citation-style-language/schema/raw/master/csl-citation.json"}</w:instrText>
      </w:r>
      <w:r>
        <w:rPr>
          <w:sz w:val="24"/>
          <w:szCs w:val="24"/>
        </w:rPr>
        <w:fldChar w:fldCharType="separate"/>
      </w:r>
      <w:r>
        <w:rPr>
          <w:sz w:val="24"/>
          <w:szCs w:val="24"/>
        </w:rPr>
        <w:t>(Zuhirsyan &amp; Nurlinda, 2018)</w:t>
      </w:r>
      <w:r>
        <w:rPr>
          <w:sz w:val="24"/>
          <w:szCs w:val="24"/>
        </w:rPr>
        <w:fldChar w:fldCharType="end"/>
      </w:r>
      <w:r>
        <w:rPr>
          <w:sz w:val="24"/>
          <w:szCs w:val="24"/>
        </w:rPr>
        <w:t xml:space="preserve"> menyatakan bahwa Religiusitas memengaruhi Keputusan Nasabah. Sedangkan hasil penelitian </w:t>
      </w:r>
      <w:r>
        <w:rPr>
          <w:sz w:val="24"/>
          <w:szCs w:val="24"/>
        </w:rPr>
        <w:fldChar w:fldCharType="begin" w:fldLock="1"/>
      </w:r>
      <w:r>
        <w:rPr>
          <w:sz w:val="24"/>
          <w:szCs w:val="24"/>
        </w:rPr>
        <w:instrText xml:space="preserve">ADDIN CSL_CITATION {"citationItems":[{"id":"ITEM-1","itemData":{"DOI":"10.37058/jes.v5i1.1502","ISSN":"2548-5032","abstract":"Understanding consumer behavior, and getting to know customers is an important task for a company, so the company must have a good strategy. Many factors of consumer behavior that can influence decision making, one of which is psychological factors. Psychological factors are the psychological side that is in from someone who can influence behavior in decision making. Psychological factors include consumer knowledge and consumer motivation. Therefore, this research raises the issue of religiosity, knowledge and brend image owned by consumers in order to find out the influence of religiosity, consumer knowledge and brand image on the decision to become a customer of Islamic banks. The research approach used is quantitative research. The number of samples used was 36 respondents. The next stage, the questionnaire data was analyzed by multiple linear regression which served to prove the research hypothesis. Data that has fulfilled the validity test, reliability test and the classic assumption test are processed to produce multiple linear regression equations. The results of this study indicate that religiosity with ritual, ideological, intellectual, experience, and consequence indicators does not significantly influence the decision to become an Islamic bank customer. Consumer knowledge with indicators of product type, product benefits and product benefits does not significantly influence the decision to become an Islamic bank customer. Brand image with indicators of product attributes, consumer benefits, and brand personality does not significantly influence the decision to become an Islamic bank customer. Religiosity, Consumer knowledge and Brand image influence simultaneously or together on the decision to become a customer of an Islamic bank.","author":[{"dropping-particle":"","family":"Casriyanti","given":"","non-dropping-particle":"","parse-names":false,"suffix":""}],"container-title":"Tasyri': Jurnal Mu'amalah dan Ekonomi Syari'ah","id":"ITEM-1","issue":"1","issued":{"date-parts":[["2020"]]},"page":"52-70","title":"Pengaruh Religiusitas, Consumer Knowledge dan Brand Image terhadap Keputusan Menjadi Nasabah pada Bank Syariah","type":"article-journal","volume":"2"},"uris":["http://www.mendeley.com/documents/?uuid=323b1014-de03-4e8e-9966-85beb24512cc"]}],"mendeley":{"formattedCitation":"(Casriyanti, 2020)","plainTextFormattedCitation":"(Casriyanti, 2020)","previouslyFormattedCitation":"(Casriyanti, 2020)"},"properties":{"noteIndex":0},"schema":"https://github.com/citation-style-language/schema/raw/master/csl-citation.json"}</w:instrText>
      </w:r>
      <w:r>
        <w:rPr>
          <w:sz w:val="24"/>
          <w:szCs w:val="24"/>
        </w:rPr>
        <w:fldChar w:fldCharType="separate"/>
      </w:r>
      <w:r>
        <w:rPr>
          <w:sz w:val="24"/>
          <w:szCs w:val="24"/>
        </w:rPr>
        <w:t>(Casriyanti, 2020)</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{"citationItems":[{"id":"ITEM-1","itemData":{"author":[{"dropping-particle":"","family":"Kartika","given":"Feby Valentina","non-dropping-particle":"","parse-names":false,"suffix":""},{"dropping-particle":"","family":"Kirom","given":"Cihwanul","non-dropping-particle":"","parse-names":false,"suffix":""}],"container-title":"JEBISKU: Jurnal Ekonomi dan Bisnis Islam IAIN Kudus","id":"ITEM-1","issue":"2","issued":{"date-parts":[["2024"]]},"page":"179-190","title":"Pengetahuan dan Religiusitas pada Keputusan Memilih Bank Syariah di Kabupaten Kudus","type":"article-journal","volume":"2"},"uris":["http://www.mendeley.com/documents/?uuid=1b8f9770-6c5a-41fe-98df-a236bd78d31d"]}],"mendeley":{"formattedCitation":"(Kartika &amp; Kirom, 2024)","plainTextFormattedCitation":"(Kartika &amp; Kirom, 2024)","previouslyFormattedCitation":"(Kartika &amp; Kirom, 2024)"},"properties":{"noteIndex":0},"schema":"https://github.com/citation-style-language/schema/raw/master/csl-citation.json"}</w:instrText>
      </w:r>
      <w:r>
        <w:rPr>
          <w:sz w:val="24"/>
          <w:szCs w:val="24"/>
        </w:rPr>
        <w:fldChar w:fldCharType="separate"/>
      </w:r>
      <w:r>
        <w:rPr>
          <w:sz w:val="24"/>
          <w:szCs w:val="24"/>
        </w:rPr>
        <w:t>(Kartika &amp; Kirom,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{"citationItems":[{"id":"ITEM-1","itemData":{"DOI":"10.36778/jesya.v7i2.1726","ISSN":"2614-3259","abstract":"Perkembangan perbankan syariah di Indonesia telah menjadi tolak ukur keberhasilan pertumbuhan dan eksistensi ekonomi syariah, beberapa tahun terakhir perbankan syariah di Indonesia tumbuh dengan pesat. Namun belakangan ini seluruh perbankan mengalami persaingan yang sangat ketat. pun saling bersaing dengan jasa keuanganya lainnya baik bank konvensional maupun sesama bank syariah, dari berbagi jenis jasa keuangan yang ada masih banyak nasabah/konsumen yang tetap menggunakan jasa bank syariah. Hal ini dapat terjadi karena dari pihak nasabah memiliki motivasi rasional, emosional dan religiusitas yang tinggi sehingga tetap memutuskan untuk menggunakan jasa bank syariah. Fokus masalah pada penelitian ini adalah apakah religiusitas, motivasi rasional dan emosional berpengaruh terhadap keputusan nasabah dalam  menggunakan jasa bank syariah. Tujuan penelitian ini untuk menguji dan menganalisis pengaruh religiusitas, motivasi rasional dan emosional terhadap keputusan dalam menggunakan jasa PT. Bank Muamalat Indonesia, KCP Stabat. Metode penelitian yang digunakan pada penelitian ini adalah pendekatan kuantitatif, karena penelitian ini disajikan dengan angka-angka. Populasi dalam penelitian ini meliputi nasabah yang menabung di PT. Bank Muamalat KCP Stabat. Hasil penelitian membuktikan bahwa religiusitas dan motivasi rasional tidak  berpengaruh signifikan terhadap keputusan dalam menggunakan jasa bank syariah ,sedangkan emosional berpengaruh signifikan terhadap keputusan dalam menggunakan jasa bank  syariah pada PT. Bank Muamalat Indonesia, KCP Stabat","author":[{"dropping-particle":"","family":"Nurhasanah","given":"Upik","non-dropping-particle":"","parse-names":false,"suffix":""},{"dropping-particle":"","family":"Nasution","given":"Yenni Samri Juliati","non-dropping-particle":"","parse-names":false,"suffix":""},{"dropping-particle":"","family":"Harianto","given":"Budi","non-dropping-particle":"","parse-names":false,"suffix":""}],"container-title":"Jesya","id":"ITEM-1","issue":"2","issued":{"date-parts":[["2024"]]},"page":"1998-2013","title":"Analisis Pengaruh Religiusitas, Motivasi Rasional dan Emosional Terhadap Keputusan Dalam Menggunakan Jasa Bank Syariah (Studi Kasus Bank Muamalat KCP Stabat)","type":"article-journal","volume":"7"},"uris":["http://www.mendeley.com/documents/?uuid=2fb3e782-6a0b-4723-b135-aebc1d5a9c1c"]}],"mendeley":{"formattedCitation":"(Nurhasanah, Nasution, &amp; Harianto, 2024)","manualFormatting":"(Nurhasanah et.al, 2024)","plainTextFormattedCitation":"(Nurhasanah, Nasution, &amp; Harianto, 2024)","previouslyFormattedCitation":"(Nurhasanah, Nasution, &amp; Harianto, 2024)"},"properties":{"noteIndex":0},"schema":"https://github.com/citation-style-language/schema/raw/master/csl-citation.json"}</w:instrText>
      </w:r>
      <w:r>
        <w:rPr>
          <w:sz w:val="24"/>
          <w:szCs w:val="24"/>
        </w:rPr>
        <w:fldChar w:fldCharType="separate"/>
      </w:r>
      <w:r>
        <w:rPr>
          <w:sz w:val="24"/>
          <w:szCs w:val="24"/>
        </w:rPr>
        <w:t>(Nurhasanah et.al,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mengatakan sebaliknya.</w:t>
      </w:r>
    </w:p>
    <w:p w14:paraId="464F2BB3">
      <w:pPr>
        <w:jc w:val="both"/>
        <w:rPr>
          <w:sz w:val="24"/>
          <w:szCs w:val="24"/>
        </w:rPr>
      </w:pPr>
    </w:p>
    <w:p w14:paraId="664C536F">
      <w:pPr>
        <w:jc w:val="both"/>
        <w:rPr>
          <w:b/>
          <w:bCs/>
          <w:sz w:val="24"/>
          <w:szCs w:val="24"/>
        </w:rPr>
      </w:pPr>
      <w:r>
        <w:rPr>
          <w:b/>
          <w:bCs/>
          <w:sz w:val="24"/>
          <w:szCs w:val="24"/>
        </w:rPr>
        <w:t>Pengaruh Faktor Profit (bagi hasil) terhadap Keputusan Nasabah</w:t>
      </w:r>
    </w:p>
    <w:p w14:paraId="1929A843">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Profit (bagi hasil) sebesar 0,009 (&lt;0,05), maka Profit (bagi hasil) Berpengaruh Signifikan terhadap Keputusan Nasabah. Sistem bagi hasil pada bank syariah memberikan bukti nyata yang bisa dirasakan langsung. Sistem yang dianggap sangat adil dan transparan ini membuat orang tidak ragu untuk menjadi nasabah bank syariah. </w:t>
      </w:r>
      <w:r>
        <w:rPr>
          <w:sz w:val="24"/>
          <w:szCs w:val="24"/>
        </w:rPr>
        <w:t xml:space="preserve">Hasil penelitian </w:t>
      </w:r>
      <w:r>
        <w:rPr>
          <w:sz w:val="24"/>
          <w:szCs w:val="24"/>
        </w:rPr>
        <w:fldChar w:fldCharType="begin" w:fldLock="1"/>
      </w:r>
      <w:r>
        <w:rPr>
          <w:sz w:val="24"/>
          <w:szCs w:val="24"/>
        </w:rPr>
        <w:instrText xml:space="preserve">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Pr>
          <w:sz w:val="24"/>
          <w:szCs w:val="24"/>
        </w:rPr>
        <w:fldChar w:fldCharType="separate"/>
      </w:r>
      <w:r>
        <w:rPr>
          <w:sz w:val="24"/>
          <w:szCs w:val="24"/>
        </w:rPr>
        <w:t>(Anggraini &amp; Hasibuan,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Pr>
          <w:sz w:val="24"/>
          <w:szCs w:val="24"/>
        </w:rPr>
        <w:fldChar w:fldCharType="separate"/>
      </w:r>
      <w:r>
        <w:rPr>
          <w:sz w:val="24"/>
          <w:szCs w:val="24"/>
        </w:rPr>
        <w:t>(Azhar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{"citationItems":[{"id":"ITEM-1","itemData":{"ISBN":"2013206534","abstract":"Tujuan pada penelitian ini adalah untuk mencari tahu mengenai pengaruh bagi hasil dan physical evidence terhadap keputusan pembelian nasabah terkait pembiayaan Mudharabah di BMT-UGT Nusantara Capem Blimbing. Penelitian ini menggunakan penelitian kuantitatif. Data yang dikumpulkan adalah menggunakan kuesioner. Penggunaan populasi di penelitian ini adalah pelanggan KSPPS BMT-UGT Nusantara Capem Blimbing. Penelitian ini menunjukkan hasil bahwa variabel bagi hasil (X1) memiliki pengaruh yang positif dan signifikan terhadap variabel keputusan nasabah (Y). Variabel physical evidence (X2) memiliki pengaruh yang positif dan signifikan terhadap variabel keputusan nasabah (Y). Berdasarkan uji simultan, Profit Sharing Index dan indeks besar digabungkan memberikan pengaruh yang positif dan signifikan terhadap keputusan pembelian nasabah. Berdasarkan hasil uji R square, bagi hasil dan indeks signifikan memiliki pengaruh terhadap keputusan pembelian nasabah (Y) sebesar 66,3%, dan 33,7% sisanya dipengaruhi oleh variabel lain","author":[{"dropping-particle":"","family":"Ilham","given":"Muhammad Nafisyah","non-dropping-particle":"","parse-names":false,"suffix":""},{"dropping-particle":"","family":"Hardati","given":"Ratna Nikin","non-dropping-particle":"","parse-names":false,"suffix":""},{"dropping-particle":"","family":"Widayawati","given":"Eny","non-dropping-particle":"","parse-names":false,"suffix":""}],"container-title":"JIAGABI","id":"ITEM-1","issue":"1","issued":{"date-parts":[["2023"]]},"page":"609-615","title":"Pengaruh Nisbah Bagi Hasil Dan Physical Evidence Terhadap Keputusan Nasabah Pada Pembiayaan Mudharabah (Studi Kasus Pada KSPSS BMT-UGT Nusantara Capem Blimbing)","type":"article-journal","volume":"12"},"uris":["http://www.mendeley.com/documents/?uuid=9bf73418-259f-4da5-b927-30783b0c098c"]}],"mendeley":{"formattedCitation":"(Ilham, Hardati, &amp; Widayawati, 2023)","manualFormatting":"(Ilham et.al, 2023)","plainTextFormattedCitation":"(Ilham, Hardati, &amp; Widayawati, 2023)","previouslyFormattedCitation":"(Ilham, Hardati, &amp; Widayawati, 2023)"},"properties":{"noteIndex":0},"schema":"https://github.com/citation-style-language/schema/raw/master/csl-citation.json"}</w:instrText>
      </w:r>
      <w:r>
        <w:rPr>
          <w:sz w:val="24"/>
          <w:szCs w:val="24"/>
        </w:rPr>
        <w:fldChar w:fldCharType="separate"/>
      </w:r>
      <w:r>
        <w:rPr>
          <w:sz w:val="24"/>
          <w:szCs w:val="24"/>
        </w:rPr>
        <w:t>(Ilham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{"citationItems":[{"id":"ITEM-1","itemData":{"DOI":"10.31857/s013116462104007x","ISSN":"0131-1646","abstract":"The presence of Islamic banks are new to the community. In practice the number of customers in Islamic banks are relatively low compared with the conventional bank customers. This is due to the lack of knowledge possessed by the people of the Islamic banks so that in selecting or making a decision to become customers of Islamic banks is less . let alone the public more interested in floral products issued by conventional banks. While in Islamic banks use profit-sharing system that has not been widely known and understood by the public. Savings for the result itself is a savings that is run by mudharabah, where customers will get the results as an advantage. This study uses a descriptive survey research methods. Techniques used in this study is based on questionnaires to be distributed to customers of Islamic banks. Based on the research and analysis of data on the outcome of the decision system into Islamic bank customers, is shown in the results of the analysis variable ideal score system for the results of 82.2 %, which means the public appraisal of the results of the bank Syariah system in the city of Cirebon very good. Further analysis of the ideal score of 84.1 % which means that customers of Islamic banks in the city of Cirebon in describing his decision to become customers of Islamic banks in Cirebon very high.","author":[{"dropping-particle":"","family":"Khasanah","given":"Yulika","non-dropping-particle":"","parse-names":false,"suffix":""},{"dropping-particle":"","family":"Gunawan","given":"Arie Indra","non-dropping-particle":"","parse-names":false,"suffix":""}],"container-title":"Edunomic","id":"ITEM-1","issue":"1","issued":{"date-parts":[["2014"]]},"page":"37-46","title":"Pengaruh Sistem Bagi Hasil Terhadap eputusan Menjadi Nasabah Bank Syariah di Kota Cirebon (Penelitian Survei Terhadap Nasabah Bank Syariah di Kota Cirebon)","type":"article-journal","volume":"2"},"uris":["http://www.mendeley.com/documents/?uuid=65c4561b-49fd-4fe2-894a-8406287b6b5a"]}],"mendeley":{"formattedCitation":"(Khasanah &amp; Gunawan, 2014)","plainTextFormattedCitation":"(Khasanah &amp; Gunawan, 2014)","previouslyFormattedCitation":"(Khasanah &amp; Gunawan, 2014)"},"properties":{"noteIndex":0},"schema":"https://github.com/citation-style-language/schema/raw/master/csl-citation.json"}</w:instrText>
      </w:r>
      <w:r>
        <w:rPr>
          <w:sz w:val="24"/>
          <w:szCs w:val="24"/>
        </w:rPr>
        <w:fldChar w:fldCharType="separate"/>
      </w:r>
      <w:r>
        <w:rPr>
          <w:sz w:val="24"/>
          <w:szCs w:val="24"/>
        </w:rPr>
        <w:t>(Khasanah &amp; Gunawan, 2014)</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{"citationItems":[{"id":"ITEM-1","itemData":{"DOI":"10.24127/ja.v5i2.1214","ISSN":"2337-4721","abstract":"Public understanding of sharia banks is often only based on the difference with conventional banks. Conventional banks use interest systems while Islamic banks use the principle of profit sharing. Implementation of the application of profit sharing becomes the factor that determines the decision of the customer to save at Bank Muamalat Branch of Madiun. This study aims to determine the application of the principle of profit sharing to the decision to save at Bank Muamalat Branch of Madiun. The population in this study is all customers of Savings Bank products Muamalat Branch of Madiun. The sampling technique uses probability sampling. This research type is quantitative research.","author":[{"dropping-particle":"","family":"Sari","given":"Novita Erliana","non-dropping-particle":"","parse-names":false,"suffix":""},{"dropping-particle":"","family":"Amah","given":"Nik","non-dropping-particle":"","parse-names":false,"suffix":""},{"dropping-particle":"","family":"Wirawan","given":"Yahya Reka","non-dropping-particle":"","parse-names":false,"suffix":""}],"container-title":"PROMOSI (Jurnal Pendidikan Ekonomi)","id":"ITEM-1","issue":"2","issued":{"date-parts":[["2017"]]},"page":"60-67","title":"Penerapan Prinsip Bagi Hasil Dan Pengaruhnya Terhadap Keputusan Menabung Pada Nasabah Bank Muamalat Kantor Cabang Madiun","type":"article-journal","volume":"5"},"uris":["http://www.mendeley.com/documents/?uuid=d934a8ca-e865-47c1-8bd6-0bd6e85c205e"]}],"mendeley":{"formattedCitation":"(Sari, Amah, &amp; Wirawan, 2017)","manualFormatting":"(Sari et.al, 2017)","plainTextFormattedCitation":"(Sari, Amah, &amp; Wirawan, 2017)","previouslyFormattedCitation":"(Sari, Amah, &amp; Wirawan, 2017)"},"properties":{"noteIndex":0},"schema":"https://github.com/citation-style-language/schema/raw/master/csl-citation.json"}</w:instrText>
      </w:r>
      <w:r>
        <w:rPr>
          <w:b/>
          <w:bCs/>
          <w:sz w:val="24"/>
          <w:szCs w:val="24"/>
        </w:rPr>
        <w:fldChar w:fldCharType="separate"/>
      </w:r>
      <w:r>
        <w:rPr>
          <w:bCs/>
          <w:sz w:val="24"/>
          <w:szCs w:val="24"/>
        </w:rPr>
        <w:t>(Sari et.al, 2017)</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Pr>
          <w:b/>
          <w:bCs/>
          <w:sz w:val="24"/>
          <w:szCs w:val="24"/>
        </w:rPr>
        <w:fldChar w:fldCharType="separate"/>
      </w:r>
      <w:r>
        <w:rPr>
          <w:bCs/>
          <w:sz w:val="24"/>
          <w:szCs w:val="24"/>
        </w:rPr>
        <w:t>(Sudrajat &amp; Juwairiyah,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Susilowati, &amp; Putri, 2018)","manualFormatting":"(Desiana et.al, 2018)","plainTextFormattedCitation":"(Desiana, Susilowati, &amp; Putri, 2018)","previouslyFormattedCitation":"(Desiana, Susilowati, &amp; Putri, 2018)"},"properties":{"noteIndex":0},"schema":"https://github.com/citation-style-language/schema/raw/master/csl-citation.json"}</w:instrText>
      </w:r>
      <w:r>
        <w:rPr>
          <w:b/>
          <w:bCs/>
          <w:sz w:val="24"/>
          <w:szCs w:val="24"/>
        </w:rPr>
        <w:fldChar w:fldCharType="separate"/>
      </w:r>
      <w:r>
        <w:rPr>
          <w:bCs/>
          <w:sz w:val="24"/>
          <w:szCs w:val="24"/>
        </w:rPr>
        <w:t>(Desiana et.al,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{"citationItems":[{"id":"ITEM-1","itemData":{"ISBN":"9780333227794","abstract":"Predicting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approach.","author":[{"dropping-particle":"","family":"Wiranata","given":"Ardi","non-dropping-particle":"","parse-names":false,"suffix":""}],"container-title":"Sosio Akademika","id":"ITEM-1","issue":"1","issued":{"date-parts":[["2023"]]},"page":"75-87","title":"Pengaruh Nisbah Bagi Hasil, Citra Merek, dan Kepercayaan Terhadap Keputusan Memilih Tabungan Mudharabah Pada Bank BNI Syariah Unit Pamenag Kabupaten Merangin","type":"article-journal","volume":"13"},"uris":["http://www.mendeley.com/documents/?uuid=74bdb04c-3079-4b0e-bd66-79bf22dbe0b3"]}],"mendeley":{"formattedCitation":"(Wiranata, 2023)","plainTextFormattedCitation":"(Wiranata, 2023)","previouslyFormattedCitation":"(Wiranata, 2023)"},"properties":{"noteIndex":0},"schema":"https://github.com/citation-style-language/schema/raw/master/csl-citation.json"}</w:instrText>
      </w:r>
      <w:r>
        <w:rPr>
          <w:b/>
          <w:bCs/>
          <w:sz w:val="24"/>
          <w:szCs w:val="24"/>
        </w:rPr>
        <w:fldChar w:fldCharType="separate"/>
      </w:r>
      <w:r>
        <w:rPr>
          <w:bCs/>
          <w:sz w:val="24"/>
          <w:szCs w:val="24"/>
        </w:rPr>
        <w:t>(Wiranata, 2023)</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Profit (bagi hasil) memengaruhi Keputusan Nasabah. Sedangkan hasil penelitian </w:t>
      </w:r>
      <w:r>
        <w:rPr>
          <w:sz w:val="24"/>
          <w:szCs w:val="24"/>
        </w:rPr>
        <w:fldChar w:fldCharType="begin" w:fldLock="1"/>
      </w:r>
      <w:r>
        <w:rPr>
          <w:sz w:val="24"/>
          <w:szCs w:val="24"/>
        </w:rPr>
        <w:instrText xml:space="preserve">ADDIN CSL_CITATION {"citationItems":[{"id":"ITEM-1","itemData":{"DOI":"10.31332/lifalah.v3i1.1184","ISSN":"2541-6545","abstract":"The purpose of this resesarch was to analyze the effect of location, reveneu sharing and promotion simultaneously and partially to decision process to save in product tabungan Flexible in PT Panin Dubai Syariah Bank Jakarta. The sample used in this study were 74 respondents from the customers of PT Panin Dubai Syariah Bank. The analytical method used is multiple linear regression analysis. The data obtained is the primary data that is the result of the respondents' answers to the questionnaire were distributed. These results of this study indicate that there is influence imultaneously on location variable, revenue sharing and promotion towards decision process to save. In the test of determination, there is the influence of a variable 51,9% location, revenue sharing and promotion to the decision to save. Meanwhile 48,1 %% (100% - 51,9%) were influenced by other variables that not included in this study. The result of this research showed that the location effect partially to the decision process to save, with significant value that is 0,021 &lt; 0,05 and t count &lt;t table (2,364 &gt;1,993). Revenue sharing do not effect partially to the decision process to save, with a significant value of 0,503 &gt; 0,05 and t count &lt; t table (0,674 &lt; 1,993). Promotion effect partially to the decision process save, with significant value that is 0,000 &lt;0,05 and t count &gt; t table (4,193 &gt; 1,993)","author":[{"dropping-particle":"","family":"Putra","given":"Erik Rif’ad Hendra","non-dropping-particle":"","parse-names":false,"suffix":""},{"dropping-particle":"","family":"Mulazid","given":"Ade Sofyan","non-dropping-particle":"","parse-names":false,"suffix":""}],"container-title":"Li Falah: Jurnal Studi Ekonomi dan Bisnis Islam","id":"ITEM-1","issue":"1","issued":{"date-parts":[["2018"]]},"page":"1-17","title":"Pengaruh Lokasi, Bagi Hasil dan Promosi terhadap Proses Keputusan Nasabah Menabung di PT Panin Dubai Syariah Bank","type":"article-journal","volume":"3"},"uris":["http://www.mendeley.com/documents/?uuid=ad49a282-ef70-4f5c-808e-010e4dce3364"]}],"mendeley":{"formattedCitation":"(Putra &amp; Mulazid, 2018)","plainTextFormattedCitation":"(Putra &amp; Mulazid, 2018)","previouslyFormattedCitation":"(Putra &amp; Mulazid, 2018)"},"properties":{"noteIndex":0},"schema":"https://github.com/citation-style-language/schema/raw/master/csl-citation.json"}</w:instrText>
      </w:r>
      <w:r>
        <w:rPr>
          <w:sz w:val="24"/>
          <w:szCs w:val="24"/>
        </w:rPr>
        <w:fldChar w:fldCharType="separate"/>
      </w:r>
      <w:r>
        <w:rPr>
          <w:sz w:val="24"/>
          <w:szCs w:val="24"/>
        </w:rPr>
        <w:t>(Putra &amp; Mulazid, 2018)</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Marzuki, Agusmadi, Marah, &amp; Usman, 2023)","manualFormatting":"(Yusuf et.al, 2023)","plainTextFormattedCitation":"(Yusuf, Marzuki, Agusmadi, Marah, &amp; Usman, 2023)","previouslyFormattedCitation":"(Yusuf, Marzuki, Agusmadi, Marah, &amp; Usman, 2023)"},"properties":{"noteIndex":0},"schema":"https://github.com/citation-style-language/schema/raw/master/csl-citation.json"}</w:instrText>
      </w:r>
      <w:r>
        <w:rPr>
          <w:sz w:val="24"/>
          <w:szCs w:val="24"/>
        </w:rPr>
        <w:fldChar w:fldCharType="separate"/>
      </w:r>
      <w:r>
        <w:rPr>
          <w:sz w:val="24"/>
          <w:szCs w:val="24"/>
        </w:rPr>
        <w:t>(Yusuf et.al, 2023)</w:t>
      </w:r>
      <w:r>
        <w:rPr>
          <w:sz w:val="24"/>
          <w:szCs w:val="24"/>
        </w:rPr>
        <w:fldChar w:fldCharType="end"/>
      </w:r>
      <w:r>
        <w:rPr>
          <w:sz w:val="24"/>
          <w:szCs w:val="24"/>
        </w:rPr>
        <w:t xml:space="preserve"> mengatakan sebaliknya.</w:t>
      </w:r>
    </w:p>
    <w:p w14:paraId="6E28CB22">
      <w:pPr>
        <w:jc w:val="both"/>
        <w:rPr>
          <w:sz w:val="24"/>
          <w:szCs w:val="24"/>
        </w:rPr>
      </w:pPr>
    </w:p>
    <w:p w14:paraId="2E05CB6B">
      <w:pPr>
        <w:jc w:val="both"/>
        <w:rPr>
          <w:b/>
          <w:bCs/>
          <w:sz w:val="24"/>
          <w:szCs w:val="24"/>
        </w:rPr>
      </w:pPr>
      <w:r>
        <w:rPr>
          <w:b/>
          <w:bCs/>
          <w:sz w:val="24"/>
          <w:szCs w:val="24"/>
        </w:rPr>
        <w:t>Pengaruh Faktor Pelayanan terhadap Keputusan Nasabah</w:t>
      </w:r>
    </w:p>
    <w:p w14:paraId="18F47EF4">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Pelayanan sebesar 0,471 (&gt;0,05), maka Pelayanan tidak berpengaruh terhadap Keputusan Nasabah. </w:t>
      </w:r>
      <w:r>
        <w:rPr>
          <w:color w:val="000000" w:themeColor="text1"/>
          <w:sz w:val="24"/>
          <w:szCs w:val="24"/>
          <w14:textFill>
            <w14:solidFill>
              <w14:schemeClr w14:val="tx1"/>
            </w14:solidFill>
          </w14:textFill>
        </w:rPr>
        <w:t>Tingkat kepuasan nasabah dapat diukur melalui kualitas layanan yang diberikan bank terhadap nasabahnya. Pengukuran kualitas layanan ini dapat dilihat dari berbagai aspek, seperti keramahan staf pegawai, kecepatan transaksi, kemudahan nasabah dalam mendapatkan informasi, serta transparansi dalam sistem keuangan.</w:t>
      </w:r>
      <w:r>
        <w:rPr>
          <w:color w:val="000000" w:themeColor="text1"/>
          <w:sz w:val="24"/>
          <w:szCs w:val="24"/>
          <w:lang w:eastAsia="id-ID"/>
          <w14:textFill>
            <w14:solidFill>
              <w14:schemeClr w14:val="tx1"/>
            </w14:solidFill>
          </w14:textFill>
        </w:rPr>
        <w:t xml:space="preserve"> </w:t>
      </w:r>
      <w:r>
        <w:rPr>
          <w:sz w:val="24"/>
          <w:szCs w:val="24"/>
        </w:rPr>
        <w:t xml:space="preserve">Hasil penelitian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et al., 2022)","manualFormatting":"(Robyani et.al, 2022)","plainTextFormattedCitation":"(Robyani et al., 2022)","previouslyFormattedCitation":"(Robyani et al., 2022)"},"properties":{"noteIndex":0},"schema":"https://github.com/citation-style-language/schema/raw/master/csl-citation.json"}</w:instrText>
      </w:r>
      <w:r>
        <w:rPr>
          <w:b/>
          <w:bCs/>
          <w:sz w:val="24"/>
          <w:szCs w:val="24"/>
        </w:rPr>
        <w:fldChar w:fldCharType="separate"/>
      </w:r>
      <w:r>
        <w:rPr>
          <w:bCs/>
          <w:sz w:val="24"/>
          <w:szCs w:val="24"/>
        </w:rPr>
        <w:t>(Robyani et.al, 2022)</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et al., 2023)","manualFormatting":"(Yusuf et.al, 2023)","plainTextFormattedCitation":"(Yusuf et al., 2023)","previouslyFormattedCitation":"(Yusuf et al., 2023)"},"properties":{"noteIndex":0},"schema":"https://github.com/citation-style-language/schema/raw/master/csl-citation.json"}</w:instrText>
      </w:r>
      <w:r>
        <w:rPr>
          <w:sz w:val="24"/>
          <w:szCs w:val="24"/>
        </w:rPr>
        <w:fldChar w:fldCharType="separate"/>
      </w:r>
      <w:r>
        <w:rPr>
          <w:sz w:val="24"/>
          <w:szCs w:val="24"/>
        </w:rPr>
        <w:t>(Yusuf et.al, 2023)</w:t>
      </w:r>
      <w:r>
        <w:rPr>
          <w:sz w:val="24"/>
          <w:szCs w:val="24"/>
        </w:rPr>
        <w:fldChar w:fldCharType="end"/>
      </w:r>
      <w:r>
        <w:rPr>
          <w:sz w:val="24"/>
          <w:szCs w:val="24"/>
        </w:rPr>
        <w:t xml:space="preserve"> menyatakan bahwa Pelayanan tidak memengaruhi Keputusan Nasabah. Sedangkan penelitian </w:t>
      </w:r>
      <w:r>
        <w:rPr>
          <w:sz w:val="24"/>
          <w:szCs w:val="24"/>
        </w:rPr>
        <w:fldChar w:fldCharType="begin" w:fldLock="1"/>
      </w:r>
      <w:r>
        <w:rPr>
          <w:sz w:val="24"/>
          <w:szCs w:val="24"/>
        </w:rPr>
        <w:instrText xml:space="preserve">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Pr>
          <w:sz w:val="24"/>
          <w:szCs w:val="24"/>
        </w:rPr>
        <w:fldChar w:fldCharType="separate"/>
      </w:r>
      <w:r>
        <w:rPr>
          <w:sz w:val="24"/>
          <w:szCs w:val="24"/>
        </w:rPr>
        <w:t>(Alwahidin &amp; Afni, 2022)</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Pr>
          <w:sz w:val="24"/>
          <w:szCs w:val="24"/>
        </w:rPr>
        <w:fldChar w:fldCharType="separate"/>
      </w:r>
      <w:r>
        <w:rPr>
          <w:sz w:val="24"/>
          <w:szCs w:val="24"/>
        </w:rPr>
        <w:t>(Anggraini &amp; Hasibuan,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sz w:val="24"/>
          <w:szCs w:val="24"/>
        </w:rPr>
        <w:fldChar w:fldCharType="separate"/>
      </w:r>
      <w:r>
        <w:rPr>
          <w:sz w:val="24"/>
          <w:szCs w:val="24"/>
        </w:rPr>
        <w:t>(Angliawati,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Pr>
          <w:sz w:val="24"/>
          <w:szCs w:val="24"/>
        </w:rPr>
        <w:fldChar w:fldCharType="separate"/>
      </w:r>
      <w:r>
        <w:rPr>
          <w:sz w:val="24"/>
          <w:szCs w:val="24"/>
        </w:rPr>
        <w:t>(Azhar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Siregar, &amp; Sugianto, 2022)","manualFormatting":"(Gultom et.al, 2022)","plainTextFormattedCitation":"(Gultom, Siregar, &amp; Sugianto, 2022)","previouslyFormattedCitation":"(Gultom, Siregar, &amp; Sugianto, 2022)"},"properties":{"noteIndex":0},"schema":"https://github.com/citation-style-language/schema/raw/master/csl-citation.json"}</w:instrText>
      </w:r>
      <w:r>
        <w:rPr>
          <w:sz w:val="24"/>
          <w:szCs w:val="24"/>
        </w:rPr>
        <w:fldChar w:fldCharType="separate"/>
      </w:r>
      <w:r>
        <w:rPr>
          <w:sz w:val="24"/>
          <w:szCs w:val="24"/>
        </w:rPr>
        <w:t>(Gultom et.al, 2022)</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Pr>
          <w:b/>
          <w:bCs/>
          <w:sz w:val="24"/>
          <w:szCs w:val="24"/>
        </w:rPr>
        <w:fldChar w:fldCharType="separate"/>
      </w:r>
      <w:r>
        <w:rPr>
          <w:bCs/>
          <w:sz w:val="24"/>
          <w:szCs w:val="24"/>
        </w:rPr>
        <w:t>(Hasanuddin et.al, 2019)</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Pr>
          <w:b/>
          <w:bCs/>
          <w:sz w:val="24"/>
          <w:szCs w:val="24"/>
        </w:rPr>
        <w:fldChar w:fldCharType="separate"/>
      </w:r>
      <w:r>
        <w:rPr>
          <w:bCs/>
          <w:sz w:val="24"/>
          <w:szCs w:val="24"/>
        </w:rPr>
        <w:t>(Sudrajat &amp; Juwairiyah,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Pr>
          <w:b/>
          <w:bCs/>
          <w:sz w:val="24"/>
          <w:szCs w:val="24"/>
        </w:rPr>
        <w:fldChar w:fldCharType="separate"/>
      </w:r>
      <w:r>
        <w:rPr>
          <w:bCs/>
          <w:sz w:val="24"/>
          <w:szCs w:val="24"/>
        </w:rPr>
        <w:t>(Zahara, 2020)</w:t>
      </w:r>
      <w:r>
        <w:rPr>
          <w:b/>
          <w:bCs/>
          <w:sz w:val="24"/>
          <w:szCs w:val="24"/>
        </w:rPr>
        <w:fldChar w:fldCharType="end"/>
      </w:r>
      <w:r>
        <w:rPr>
          <w:b/>
          <w:bCs/>
          <w:sz w:val="24"/>
          <w:szCs w:val="24"/>
        </w:rPr>
        <w:t>,</w:t>
      </w:r>
      <w:r>
        <w:rPr>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sebaliknya.</w:t>
      </w:r>
    </w:p>
    <w:p w14:paraId="76B70A6A">
      <w:pPr>
        <w:jc w:val="both"/>
        <w:rPr>
          <w:b/>
          <w:bCs/>
          <w:sz w:val="24"/>
          <w:szCs w:val="24"/>
        </w:rPr>
      </w:pPr>
      <w:r>
        <w:rPr>
          <w:b/>
          <w:bCs/>
          <w:sz w:val="24"/>
          <w:szCs w:val="24"/>
        </w:rPr>
        <w:t>Pengaruh Faktor Fasilitas terhadap Keputusan Nasabah</w:t>
      </w:r>
    </w:p>
    <w:p w14:paraId="6717720D">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Fasilitas sebesar 0,259 (&gt;0,05), maka Fasilitas Tidak Berpengaruh Signifikan terhadap Keputusan Nasabah. Kelengkapan fasilitas yang dimiliki perbankan syariah sudah sama dengan bank konvensional. Fasilitas umum yang mudah dijangkau memudahkan para nasabah dalam melaksanakan transaksi keuangan seperti mesin ATM, layanan </w:t>
      </w:r>
      <w:r>
        <w:rPr>
          <w:i/>
          <w:iCs/>
          <w:color w:val="000000" w:themeColor="text1"/>
          <w:sz w:val="24"/>
          <w:szCs w:val="24"/>
          <w:lang w:eastAsia="id-ID"/>
          <w14:textFill>
            <w14:solidFill>
              <w14:schemeClr w14:val="tx1"/>
            </w14:solidFill>
          </w14:textFill>
        </w:rPr>
        <w:t>online</w:t>
      </w:r>
      <w:r>
        <w:rPr>
          <w:color w:val="000000" w:themeColor="text1"/>
          <w:sz w:val="24"/>
          <w:szCs w:val="24"/>
          <w:lang w:eastAsia="id-ID"/>
          <w14:textFill>
            <w14:solidFill>
              <w14:schemeClr w14:val="tx1"/>
            </w14:solidFill>
          </w14:textFill>
        </w:rPr>
        <w:t xml:space="preserve"> yang </w:t>
      </w:r>
      <w:r>
        <w:rPr>
          <w:i/>
          <w:iCs/>
          <w:color w:val="000000" w:themeColor="text1"/>
          <w:sz w:val="24"/>
          <w:szCs w:val="24"/>
          <w:lang w:eastAsia="id-ID"/>
          <w14:textFill>
            <w14:solidFill>
              <w14:schemeClr w14:val="tx1"/>
            </w14:solidFill>
          </w14:textFill>
        </w:rPr>
        <w:t>user friendly</w:t>
      </w:r>
      <w:r>
        <w:rPr>
          <w:color w:val="000000" w:themeColor="text1"/>
          <w:sz w:val="24"/>
          <w:szCs w:val="24"/>
          <w:lang w:eastAsia="id-ID"/>
          <w14:textFill>
            <w14:solidFill>
              <w14:schemeClr w14:val="tx1"/>
            </w14:solidFill>
          </w14:textFill>
        </w:rPr>
        <w:t xml:space="preserve">, kantor atau unit kerja dan lain-lain. </w:t>
      </w:r>
      <w:r>
        <w:rPr>
          <w:color w:val="000000" w:themeColor="text1"/>
          <w:sz w:val="24"/>
          <w:szCs w:val="24"/>
          <w14:textFill>
            <w14:solidFill>
              <w14:schemeClr w14:val="tx1"/>
            </w14:solidFill>
          </w14:textFill>
        </w:rPr>
        <w:t xml:space="preserve">Kemampuan bank syariah memberikan fasilitas yang lengkap ini menjadi pertanda bahwa bank syariah mampu bersaing dengan bank konvensional. </w:t>
      </w:r>
    </w:p>
    <w:p w14:paraId="097F4C25">
      <w:pPr>
        <w:jc w:val="both"/>
        <w:rPr>
          <w:sz w:val="24"/>
          <w:szCs w:val="24"/>
        </w:rPr>
      </w:pPr>
      <w:r>
        <w:rPr>
          <w:sz w:val="24"/>
          <w:szCs w:val="24"/>
        </w:rPr>
        <w:t xml:space="preserve">Hasil penelitian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Fasilitas tidak memengaruhi Keputusan Nasabah. Sedangkan penelitian </w:t>
      </w:r>
      <w:r>
        <w:rPr>
          <w:sz w:val="24"/>
          <w:szCs w:val="24"/>
        </w:rPr>
        <w:fldChar w:fldCharType="begin" w:fldLock="1"/>
      </w:r>
      <w:r>
        <w:rPr>
          <w:sz w:val="24"/>
          <w:szCs w:val="24"/>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sz w:val="24"/>
          <w:szCs w:val="24"/>
        </w:rPr>
        <w:fldChar w:fldCharType="separate"/>
      </w:r>
      <w:r>
        <w:rPr>
          <w:sz w:val="24"/>
          <w:szCs w:val="24"/>
        </w:rPr>
        <w:t>(Angliawati,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Khairani","given":"","non-dropping-particle":"","parse-names":false,"suffix":""},{"dropping-particle":"","family":"Sahputra","given":"Ngatno","non-dropping-particle":"","parse-names":false,"suffix":""},{"dropping-particle":"","family":"Harahap","given":"Ahmad Taufiq","non-dropping-particle":"","parse-names":false,"suffix":""}],"container-title":"Jurnal Bisnis Net","id":"ITEM-1","issue":"2","issued":{"date-parts":[["2023"]]},"page":"744-752","title":"Pengaruh Peranan Customer Service dan Fasilitas Produk Terhadap Keputusan Nasabah Menabung Pada PT. BPRS Al-Washliyah di Medan","type":"article-journal","volume":"6"},"uris":["http://www.mendeley.com/documents/?uuid=51299889-62f2-4ce6-84b3-babd998e6e03"]}],"mendeley":{"formattedCitation":"(Khairani, Sahputra, &amp; Harahap, 2023)","manualFormatting":"(Khairani et.al, 2023)","plainTextFormattedCitation":"(Khairani, Sahputra, &amp; Harahap, 2023)","previouslyFormattedCitation":"(Khairani, Sahputra, &amp; Harahap, 2023)"},"properties":{"noteIndex":0},"schema":"https://github.com/citation-style-language/schema/raw/master/csl-citation.json"}</w:instrText>
      </w:r>
      <w:r>
        <w:rPr>
          <w:sz w:val="24"/>
          <w:szCs w:val="24"/>
        </w:rPr>
        <w:fldChar w:fldCharType="separate"/>
      </w:r>
      <w:r>
        <w:rPr>
          <w:sz w:val="24"/>
          <w:szCs w:val="24"/>
        </w:rPr>
        <w:t>(Khairani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{"citationItems":[{"id":"ITEM-1","itemData":{"DOI":"10.58553/jalhu.v8i1.116","ISSN":"2476-8855","abstract":"Bank Syariah yang sebelumnya sekedar memperkenalkan praktik alternatif Perbankan Syariah, namun kini tumbuh berkembang dengan menempatkan posisinya sebagai pemain utama dalam percaturan ekonomi Indonesia. Peneliti ingin mengetahui pengaruh langsung dan tak langsung antara variabel pengetahuan, promosi, dan fasilitas terhadap keputusan menabung di Bank Syariah Indonesia dengan minat menabung sebagai variabel intervening. Populasi sampel yang dipergunakan pada masyarakat di Kabupaten Tanjung Jabung Barat sebanyak 99 responden. Data yang dipergunakan dalam penelitian ini adalah data primer dengan metode analisis Path. Hasil penelitian menunjukkan bahwa pengaruh secara langsung dan tidak langsung pengetahuan dan fasilitas tidak berpengaruh signifikan terhadap keputusan menabung dengan minat menabung sebagai variabel intervening, kecuali variabel promosi yang berpengaruh signifikan. Hasil ini menunjukkan secara langsung dan tidak langsung minat menabung mampu menjadi intervening promosi yang berpengaruh kuat terhadap keputusan menabung di Bank Syariah Indonesia.","author":[{"dropping-particle":"","family":"Saputra","given":"Ahmad Edi","non-dropping-particle":"","parse-names":false,"suffix":""}],"container-title":"Jurnal Al Mujaddid Humaniora","id":"ITEM-1","issue":"1","issued":{"date-parts":[["2022"]]},"page":"8-20","title":"Pengaruh Pengetahuan, Promosi, Dan Fasilitas Terhadap Keputusan Menabung Dengan Minat Menabung Sebagai Variabel Intervening","type":"article-journal","volume":"8"},"uris":["http://www.mendeley.com/documents/?uuid=d371551b-6f60-4c92-8a04-04baa4656a20"]}],"mendeley":{"formattedCitation":"(Saputra, 2022)","plainTextFormattedCitation":"(Saputra, 2022)","previouslyFormattedCitation":"(Saputra, 2022)"},"properties":{"noteIndex":0},"schema":"https://github.com/citation-style-language/schema/raw/master/csl-citation.json"}</w:instrText>
      </w:r>
      <w:r>
        <w:rPr>
          <w:sz w:val="24"/>
          <w:szCs w:val="24"/>
        </w:rPr>
        <w:fldChar w:fldCharType="separate"/>
      </w:r>
      <w:r>
        <w:rPr>
          <w:sz w:val="24"/>
          <w:szCs w:val="24"/>
        </w:rPr>
        <w:t>(Saputra, 2022)</w:t>
      </w:r>
      <w:r>
        <w:rPr>
          <w:sz w:val="24"/>
          <w:szCs w:val="24"/>
        </w:rPr>
        <w:fldChar w:fldCharType="end"/>
      </w:r>
      <w:r>
        <w:rPr>
          <w:sz w:val="24"/>
          <w:szCs w:val="24"/>
        </w:rPr>
        <w:t>,  menyatakan sebaliknya.</w:t>
      </w:r>
    </w:p>
    <w:p w14:paraId="7398DEBC">
      <w:pPr>
        <w:jc w:val="both"/>
        <w:rPr>
          <w:sz w:val="24"/>
          <w:szCs w:val="24"/>
        </w:rPr>
      </w:pPr>
    </w:p>
    <w:p w14:paraId="72568B25">
      <w:pPr>
        <w:jc w:val="both"/>
        <w:rPr>
          <w:b/>
          <w:bCs/>
          <w:sz w:val="24"/>
          <w:szCs w:val="24"/>
        </w:rPr>
      </w:pPr>
      <w:r>
        <w:rPr>
          <w:b/>
          <w:bCs/>
          <w:sz w:val="24"/>
          <w:szCs w:val="24"/>
        </w:rPr>
        <w:t>Pengaruh Faktor Produk terhadap Keputusan Nasabah</w:t>
      </w:r>
    </w:p>
    <w:p w14:paraId="7D24ED0B">
      <w:pPr>
        <w:jc w:val="both"/>
        <w:rPr>
          <w:sz w:val="24"/>
          <w:szCs w:val="24"/>
        </w:rPr>
      </w:pPr>
      <w:r>
        <w:rPr>
          <w:color w:val="000000" w:themeColor="text1"/>
          <w:sz w:val="24"/>
          <w:szCs w:val="24"/>
          <w:lang w:eastAsia="id-ID"/>
          <w14:textFill>
            <w14:solidFill>
              <w14:schemeClr w14:val="tx1"/>
            </w14:solidFill>
          </w14:textFill>
        </w:rPr>
        <w:t xml:space="preserve">Nilai Sig. Produk sebesar 0,000 (&lt;0,05), maka Produk Berpengaruh Signifikan terhadap Keputusan Nasabah. Produk yang bebas bunga dapat memberikan rasa tenang dan aman bagi nasabah. Produk pembiayaan yang ditawarkan tidak membebankan nasabah dalam memenuhi kewajibannya. Produk pembiayaan ini dibentuk sesuai perjanjian yang telah disepakati oleh nasabah dan bank, sehingga nasabah tidak pernah merasa ada kesulitan ataupun dirugikan. </w:t>
      </w:r>
      <w:r>
        <w:rPr>
          <w:sz w:val="24"/>
          <w:szCs w:val="24"/>
        </w:rPr>
        <w:t xml:space="preserve">Hasil penelitian </w:t>
      </w:r>
      <w:r>
        <w:rPr>
          <w:sz w:val="24"/>
          <w:szCs w:val="24"/>
        </w:rPr>
        <w:fldChar w:fldCharType="begin" w:fldLock="1"/>
      </w:r>
      <w:r>
        <w:rPr>
          <w:sz w:val="24"/>
          <w:szCs w:val="24"/>
        </w:rPr>
        <w:instrText xml:space="preserve">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Pr>
          <w:sz w:val="24"/>
          <w:szCs w:val="24"/>
        </w:rPr>
        <w:fldChar w:fldCharType="separate"/>
      </w:r>
      <w:r>
        <w:rPr>
          <w:sz w:val="24"/>
          <w:szCs w:val="24"/>
        </w:rPr>
        <w:t>(Bawono &amp; Oktaviani, 2016)</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{"citationItems":[{"id":"ITEM-1","itemData":{"author":[{"dropping-particle":"","family":"Bramasta","given":"Kelvin Octa","non-dropping-particle":"","parse-names":false,"suffix":""},{"dropping-particle":"","family":"Utomo","given":"Sulistyo Budi","non-dropping-particle":"","parse-names":false,"suffix":""}],"container-title":"Jurnal Ilmu dan Riset Manajemen","id":"ITEM-1","issue":"6","issued":{"date-parts":[["2022"]]},"page":"1-16","title":"Pengaruh Promosi Dan Atribut Produk Terhadap Keputusan Menabung Nasabah Bank Jatim Cabang Pembantu Universitas Wijaya Kusuma Di Masa Pandemi Covid-19","type":"article-journal","volume":"11"},"uris":["http://www.mendeley.com/documents/?uuid=8a4b0820-47c6-4206-acd1-2f0099dbefdf"]}],"mendeley":{"formattedCitation":"(Bramasta &amp; Utomo, 2022)","plainTextFormattedCitation":"(Bramasta &amp; Utomo, 2022)","previouslyFormattedCitation":"(Bramasta &amp; Utomo, 2022)"},"properties":{"noteIndex":0},"schema":"https://github.com/citation-style-language/schema/raw/master/csl-citation.json"}</w:instrText>
      </w:r>
      <w:r>
        <w:rPr>
          <w:sz w:val="24"/>
          <w:szCs w:val="24"/>
        </w:rPr>
        <w:fldChar w:fldCharType="separate"/>
      </w:r>
      <w:r>
        <w:rPr>
          <w:sz w:val="24"/>
          <w:szCs w:val="24"/>
        </w:rPr>
        <w:t>(Bramasta &amp; Utomo, 2022)</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2023)","manualFormatting":"(Bustomi et.al, 2023)","plainTextFormattedCitation":"(Bustomi et al., 2023)","previouslyFormattedCitation":"(Bustomi et al., 2023)"},"properties":{"noteIndex":0},"schema":"https://github.com/citation-style-language/schema/raw/master/csl-citation.json"}</w:instrText>
      </w:r>
      <w:r>
        <w:rPr>
          <w:sz w:val="24"/>
          <w:szCs w:val="24"/>
        </w:rPr>
        <w:fldChar w:fldCharType="separate"/>
      </w:r>
      <w:r>
        <w:rPr>
          <w:sz w:val="24"/>
          <w:szCs w:val="24"/>
        </w:rPr>
        <w:t>(Bustomi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et al., 2022)","plainTextFormattedCitation":"(Gultom et al., 2022)","previouslyFormattedCitation":"(Gultom et al., 2022)"},"properties":{"noteIndex":0},"schema":"https://github.com/citation-style-language/schema/raw/master/csl-citation.json"}</w:instrText>
      </w:r>
      <w:r>
        <w:rPr>
          <w:sz w:val="24"/>
          <w:szCs w:val="24"/>
        </w:rPr>
        <w:fldChar w:fldCharType="separate"/>
      </w:r>
      <w:r>
        <w:rPr>
          <w:sz w:val="24"/>
          <w:szCs w:val="24"/>
        </w:rPr>
        <w:t>(Gultom et al., 2022)</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Pr>
          <w:b/>
          <w:bCs/>
          <w:sz w:val="24"/>
          <w:szCs w:val="24"/>
        </w:rPr>
        <w:fldChar w:fldCharType="separate"/>
      </w:r>
      <w:r>
        <w:rPr>
          <w:bCs/>
          <w:sz w:val="24"/>
          <w:szCs w:val="24"/>
        </w:rPr>
        <w:t>(Hasanuddin et.al, 2019)</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Pr>
          <w:b/>
          <w:bCs/>
          <w:sz w:val="24"/>
          <w:szCs w:val="24"/>
        </w:rPr>
        <w:fldChar w:fldCharType="separate"/>
      </w:r>
      <w:r>
        <w:rPr>
          <w:bCs/>
          <w:sz w:val="24"/>
          <w:szCs w:val="24"/>
        </w:rPr>
        <w:t>(Shofwa, 2016)</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et al., 2020)","manualFormatting":"(Susanti et.al, 2020)","plainTextFormattedCitation":"(Susanti et al., 2020)","previouslyFormattedCitation":"(Susanti et al., 2020)"},"properties":{"noteIndex":0},"schema":"https://github.com/citation-style-language/schema/raw/master/csl-citation.json"}</w:instrText>
      </w:r>
      <w:r>
        <w:rPr>
          <w:sz w:val="24"/>
          <w:szCs w:val="24"/>
        </w:rPr>
        <w:fldChar w:fldCharType="separate"/>
      </w:r>
      <w:r>
        <w:rPr>
          <w:sz w:val="24"/>
          <w:szCs w:val="24"/>
        </w:rPr>
        <w:t>(Susanti et.al, 2020)</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et al., 2018)","manualFormatting":"(Desiana et.al, 2018)","plainTextFormattedCitation":"(Desiana et al., 2018)","previouslyFormattedCitation":"(Desiana et al., 2018)"},"properties":{"noteIndex":0},"schema":"https://github.com/citation-style-language/schema/raw/master/csl-citation.json"}</w:instrText>
      </w:r>
      <w:r>
        <w:rPr>
          <w:b/>
          <w:bCs/>
          <w:sz w:val="24"/>
          <w:szCs w:val="24"/>
        </w:rPr>
        <w:fldChar w:fldCharType="separate"/>
      </w:r>
      <w:r>
        <w:rPr>
          <w:bCs/>
          <w:sz w:val="24"/>
          <w:szCs w:val="24"/>
        </w:rPr>
        <w:t>(Desiana et.al,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approach.","author":[{"dropping-particle":"","family":"Syarifuddin","given":"Muhammad Arif Firmansyah","non-dropping-particle":"","parse-names":false,"suffix":""},{"dropping-particle":"","family":"Gani","given":"Nuraeni","non-dropping-particle":"","parse-names":false,"suffix":""},{"dropping-particle":"","family":"Rahman","given":"Muh. Akil","non-dropping-particle":"","parse-names":false,"suffix":""}],"container-title":"Islamic Banking,EconomicandFinancialJournal","id":"ITEM-1","issue":"2","issued":{"date-parts":[["2021"]]},"page":"18–36","title":"Pengaruh Pengetahuan, Kualitas Produk Dan Promosi Terhadap Keputusan Nasabah Menabung Di Bank Syariah Mandiri Cabang Makassar","type":"article-journal","volume":"1"},"uris":["http://www.mendeley.com/documents/?uuid=09314c53-0be2-4b10-b37c-1f470111c1bd"]}],"mendeley":{"formattedCitation":"(Syarifuddin, Gani, &amp; Rahman, 2021)","manualFormatting":"(Syarifuddin et.al, 2021)","plainTextFormattedCitation":"(Syarifuddin, Gani, &amp; Rahman, 2021)","previouslyFormattedCitation":"(Syarifuddin, Gani, &amp; Rahman, 2021)"},"properties":{"noteIndex":0},"schema":"https://github.com/citation-style-language/schema/raw/master/csl-citation.json"}</w:instrText>
      </w:r>
      <w:r>
        <w:rPr>
          <w:b/>
          <w:bCs/>
          <w:sz w:val="24"/>
          <w:szCs w:val="24"/>
        </w:rPr>
        <w:fldChar w:fldCharType="separate"/>
      </w:r>
      <w:r>
        <w:rPr>
          <w:bCs/>
          <w:sz w:val="24"/>
          <w:szCs w:val="24"/>
        </w:rPr>
        <w:t>(Syarifuddin et.al, 2021)</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Produk memengaruhi Keputusan Nasabah. Sedangkan hasil penelitian </w:t>
      </w:r>
      <w:r>
        <w:rPr>
          <w:sz w:val="24"/>
          <w:szCs w:val="24"/>
        </w:rPr>
        <w:fldChar w:fldCharType="begin" w:fldLock="1"/>
      </w:r>
      <w:r>
        <w:rPr>
          <w:sz w:val="24"/>
          <w:szCs w:val="24"/>
        </w:rPr>
        <w:instrText xml:space="preserve">ADDIN CSL_CITATION {"citationItems":[{"id":"ITEM-1","itemData":{"DOI":"10.37726/ee.v5i2.172","ISSN":"2599-2708","abstract":"The background of the research conducted at BMT Purwakarta Amanah Sejahtera, where the Amanah Savings decreased every year. This is contradictory to the situation of the Purwakarta people, where the majority of the population is Muslim. Is a potential place for the growth of sharia-based economic activities. To determine the effect of Product Quality on customer decisions to choose Amanah Savings, To determine the effect of Promotion on customer decisions to choose Amanah Savings, To determine Product Quality and Promotions on customer decisions to choose Amanah Savings. The theory presented by the author in the theoretical basis is the theory of Philip Kotler and Fandy Tjiptono for marketing theory, product quality, promotion and customer decisions. The research method used is a quantitative method, a method that uses numbers in each result and is tested using the SPSS application. The population in this study were 52 people. The data analysis techniques used in this study were data validity, data reliability, for the classical assumption test using normality test, multicollinearity test, heteroscedastic test, while hypothesis testing used determination test, partial test (t test), multiple linear regression, and simultaneous test. (f test). The results showed that the variable product quality had no effect on customer decisions of amanah savings at BMT PAS with a tcount of -0.309, smaller than the t table of 2,000. promotion partially (t test) has no effect on customer decisions with t count of 1.753 smaller than t table of 2,000. based on the simultaneous test (f test). Product quality and promotion have no effect on customer decisions with a siginification value of 0.194 greater than 0.05. The conclusion is that the overall hypothesis H0 is accepted and Ha is rejected.","author":[{"dropping-particle":"","family":"Winanti","given":"Wiwin","non-dropping-particle":"","parse-names":false,"suffix":""},{"dropping-particle":"","family":"Bahri","given":"Saepul","non-dropping-particle":"","parse-names":false,"suffix":""},{"dropping-particle":"","family":"Nurbaeti","given":"Ayi","non-dropping-particle":"","parse-names":false,"suffix":""},{"dropping-particle":"","family":"Novita","given":"Diana","non-dropping-particle":"","parse-names":false,"suffix":""}],"container-title":"EKSISBANK: Ekonomi Syariah dan Bisnis Perbankan","id":"ITEM-1","issue":"2","issued":{"date-parts":[["2021"]]},"page":"273-298","title":"Pengaruh Kualitas Produk dan Promosi Terhadap Keputusan Nasabah Memilih Tabungan Amanah Di BMT Purwakarta Amanah Sejahtera","type":"article-journal","volume":"5"},"uris":["http://www.mendeley.com/documents/?uuid=d983f4e6-482c-4baf-a9bb-545cf9f886b9"]}],"mendeley":{"formattedCitation":"(Winanti, Bahri, Nurbaeti, &amp; Novita, 2021)","manualFormatting":"(Winanti et.al, 2021)","plainTextFormattedCitation":"(Winanti, Bahri, Nurbaeti, &amp; Novita, 2021)","previouslyFormattedCitation":"(Winanti, Bahri, Nurbaeti, &amp; Novita, 2021)"},"properties":{"noteIndex":0},"schema":"https://github.com/citation-style-language/schema/raw/master/csl-citation.json"}</w:instrText>
      </w:r>
      <w:r>
        <w:rPr>
          <w:sz w:val="24"/>
          <w:szCs w:val="24"/>
        </w:rPr>
        <w:fldChar w:fldCharType="separate"/>
      </w:r>
      <w:r>
        <w:rPr>
          <w:sz w:val="24"/>
          <w:szCs w:val="24"/>
        </w:rPr>
        <w:t>(Winanti et.al, 2021)</w:t>
      </w:r>
      <w:r>
        <w:rPr>
          <w:sz w:val="24"/>
          <w:szCs w:val="24"/>
        </w:rPr>
        <w:fldChar w:fldCharType="end"/>
      </w:r>
      <w:r>
        <w:rPr>
          <w:sz w:val="24"/>
          <w:szCs w:val="24"/>
        </w:rPr>
        <w:t>,  mengatakan sebaliknya.</w:t>
      </w:r>
    </w:p>
    <w:p w14:paraId="0CA6C0B3">
      <w:pPr>
        <w:jc w:val="both"/>
        <w:rPr>
          <w:sz w:val="24"/>
          <w:szCs w:val="24"/>
        </w:rPr>
      </w:pPr>
    </w:p>
    <w:p w14:paraId="743B56AF">
      <w:pPr>
        <w:jc w:val="both"/>
        <w:rPr>
          <w:b/>
          <w:bCs/>
          <w:sz w:val="24"/>
          <w:szCs w:val="24"/>
        </w:rPr>
      </w:pPr>
      <w:r>
        <w:rPr>
          <w:b/>
          <w:bCs/>
          <w:sz w:val="24"/>
          <w:szCs w:val="24"/>
        </w:rPr>
        <w:t>Pengaruh Religiusitas, Profit (bagi hasil), Pelayanan, Fasilitas dan Produk terhadap Keputusan Nasabah</w:t>
      </w:r>
    </w:p>
    <w:p w14:paraId="2379789A">
      <w:pPr>
        <w:pStyle w:val="7"/>
        <w:ind w:right="162"/>
      </w:pPr>
      <w:r>
        <w:rPr>
          <w:color w:val="000000" w:themeColor="text1"/>
          <w:lang w:eastAsia="id-ID"/>
          <w14:textFill>
            <w14:solidFill>
              <w14:schemeClr w14:val="tx1"/>
            </w14:solidFill>
          </w14:textFill>
        </w:rPr>
        <w:t xml:space="preserve">Nilai Sig. Sebesar 0,000 (&lt;0,05), maka Religiusitas, Profit, Pelayanan, Fasilitas dan Produk berpengaruh signifikan secara simultan terhadap Keputusan Nasabah. </w:t>
      </w:r>
      <w:r>
        <w:rPr>
          <w:color w:val="000000" w:themeColor="text1"/>
          <w14:textFill>
            <w14:solidFill>
              <w14:schemeClr w14:val="tx1"/>
            </w14:solidFill>
          </w14:textFill>
        </w:rPr>
        <w:t>Religiusitas, profit (bagi hasil), pelayanan, fasilitas, dan produk merupakan faktor yang dapat memengaruhi keputusan nasabah dalam memilih produk bank syariah.</w:t>
      </w:r>
    </w:p>
    <w:p w14:paraId="06147DB2"/>
    <w:p w14:paraId="5B26CFA8"/>
    <w:p w14:paraId="7AF9507F">
      <w:pPr>
        <w:rPr>
          <w:b/>
          <w:bCs/>
          <w:sz w:val="24"/>
          <w:szCs w:val="24"/>
        </w:rPr>
      </w:pPr>
      <w:r>
        <w:rPr>
          <w:b/>
          <w:bCs/>
          <w:sz w:val="24"/>
          <w:szCs w:val="24"/>
        </w:rPr>
        <w:t>KESIMPULAN DAN SARAN</w:t>
      </w:r>
    </w:p>
    <w:p w14:paraId="49920AA0">
      <w:pPr>
        <w:rPr>
          <w:b/>
          <w:bCs/>
          <w:sz w:val="24"/>
          <w:szCs w:val="24"/>
        </w:rPr>
      </w:pPr>
      <w:r>
        <w:rPr>
          <w:b/>
          <w:bCs/>
          <w:sz w:val="24"/>
          <w:szCs w:val="24"/>
        </w:rPr>
        <w:t>Kesimpulan</w:t>
      </w:r>
    </w:p>
    <w:p w14:paraId="02AE8AF3">
      <w:r>
        <w:t>Berdasarkan hasil uji data dan pembahasan di atas, maka dapat disimpulkan bahwa:</w:t>
      </w:r>
    </w:p>
    <w:p w14:paraId="7D153230">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Religiusitas sebesar 0,038 (&lt;0,05), maka Religiusitas Berpengaruh Signifikan terhadap Keputusan Nasabah.</w:t>
      </w:r>
    </w:p>
    <w:p w14:paraId="31335832">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Profit (bagi hasil) sebesar 0,009 (&lt;0,05), maka Profit (bagi hasil) Berpengaruh Signifikan terhadap Keputusan Nasabah.</w:t>
      </w:r>
    </w:p>
    <w:p w14:paraId="19CB5134">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Pelayanan sebesar 0,471 (&gt;0,05), maka Pelayanan Tidak Berpengaruh Signifikan terhadap Keputusan Nasabah.</w:t>
      </w:r>
    </w:p>
    <w:p w14:paraId="27F705F8">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Fasilitas sebesar 0,259 (&gt;0,05), maka Fasilitas Tidak Berpengaruh Signifikan terhadap Keputusan Nasabah.</w:t>
      </w:r>
    </w:p>
    <w:p w14:paraId="4AACB8E9">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Produk sebesar 0,000 (&lt;0,05), maka Produk Berpengaruh Signifikan terhadap Keputusan Nasabah.</w:t>
      </w:r>
    </w:p>
    <w:p w14:paraId="5F3E96DD">
      <w:pPr>
        <w:pStyle w:val="12"/>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Sebesar 0,000 (&lt;0,05), maka Religiusitas, Profit, Pelayanan, Fasilitas dan Produk berpengaruh signifikan secara simultan terhadap Keputusan Nasabah.</w:t>
      </w:r>
    </w:p>
    <w:p w14:paraId="7F2E7C6A">
      <w:pPr>
        <w:adjustRightInd w:val="0"/>
        <w:jc w:val="both"/>
        <w:rPr>
          <w:b/>
          <w:bCs/>
          <w:color w:val="000000" w:themeColor="text1"/>
          <w:lang w:eastAsia="id-ID"/>
          <w14:textFill>
            <w14:solidFill>
              <w14:schemeClr w14:val="tx1"/>
            </w14:solidFill>
          </w14:textFill>
        </w:rPr>
      </w:pPr>
    </w:p>
    <w:p w14:paraId="3567F06F">
      <w:pPr>
        <w:adjustRightInd w:val="0"/>
        <w:jc w:val="both"/>
        <w:rPr>
          <w:rFonts w:eastAsiaTheme="minorEastAsia"/>
          <w:color w:val="000000" w:themeColor="text1"/>
          <w:sz w:val="24"/>
          <w:szCs w:val="24"/>
          <w14:textFill>
            <w14:solidFill>
              <w14:schemeClr w14:val="tx1"/>
            </w14:solidFill>
          </w14:textFill>
        </w:rPr>
      </w:pPr>
      <w:r>
        <w:rPr>
          <w:b/>
          <w:bCs/>
          <w:color w:val="000000" w:themeColor="text1"/>
          <w:sz w:val="24"/>
          <w:szCs w:val="24"/>
          <w:lang w:eastAsia="id-ID"/>
          <w14:textFill>
            <w14:solidFill>
              <w14:schemeClr w14:val="tx1"/>
            </w14:solidFill>
          </w14:textFill>
        </w:rPr>
        <w:t xml:space="preserve">Saran </w:t>
      </w:r>
    </w:p>
    <w:p w14:paraId="6F7FAAF6">
      <w:pPr>
        <w:pStyle w:val="12"/>
        <w:widowControl/>
        <w:numPr>
          <w:ilvl w:val="0"/>
          <w:numId w:val="11"/>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Peneliti selanjutnya dapat menggunakan variabel independen yang lainnya. Contohnya, pemahaman, promosi dan kepercayaan.</w:t>
      </w:r>
    </w:p>
    <w:p w14:paraId="0FCE9B01">
      <w:pPr>
        <w:pStyle w:val="12"/>
        <w:widowControl/>
        <w:numPr>
          <w:ilvl w:val="0"/>
          <w:numId w:val="11"/>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Peneliti selanjutnya dapat menggunakan variabel lain seperti diatas (poin satu) sebagai variabel </w:t>
      </w:r>
      <w:r>
        <w:rPr>
          <w:i/>
          <w:iCs/>
          <w:color w:val="000000" w:themeColor="text1"/>
          <w:sz w:val="24"/>
          <w:szCs w:val="24"/>
          <w:lang w:eastAsia="id-ID"/>
          <w14:textFill>
            <w14:solidFill>
              <w14:schemeClr w14:val="tx1"/>
            </w14:solidFill>
          </w14:textFill>
        </w:rPr>
        <w:t>intervening</w:t>
      </w:r>
      <w:r>
        <w:rPr>
          <w:color w:val="000000" w:themeColor="text1"/>
          <w:sz w:val="24"/>
          <w:szCs w:val="24"/>
          <w:lang w:eastAsia="id-ID"/>
          <w14:textFill>
            <w14:solidFill>
              <w14:schemeClr w14:val="tx1"/>
            </w14:solidFill>
          </w14:textFill>
        </w:rPr>
        <w:t xml:space="preserve"> atau moderasi.</w:t>
      </w:r>
    </w:p>
    <w:p w14:paraId="041D1DC1">
      <w:pPr>
        <w:jc w:val="both"/>
        <w:rPr>
          <w:sz w:val="24"/>
          <w:szCs w:val="24"/>
        </w:rPr>
      </w:pPr>
    </w:p>
    <w:p w14:paraId="6C0B24EA">
      <w:pPr>
        <w:rPr>
          <w:sz w:val="24"/>
          <w:szCs w:val="24"/>
        </w:rPr>
      </w:pPr>
    </w:p>
    <w:p w14:paraId="029420DE">
      <w:pPr>
        <w:jc w:val="center"/>
        <w:rPr>
          <w:b/>
          <w:bCs/>
          <w:sz w:val="24"/>
          <w:szCs w:val="24"/>
        </w:rPr>
      </w:pPr>
      <w:r>
        <w:rPr>
          <w:b/>
          <w:bCs/>
          <w:sz w:val="24"/>
          <w:szCs w:val="24"/>
        </w:rPr>
        <w:t>DAFTAR PUSTAKA</w:t>
      </w:r>
    </w:p>
    <w:p w14:paraId="07BDA1DE">
      <w:pPr>
        <w:rPr>
          <w:sz w:val="24"/>
          <w:szCs w:val="24"/>
        </w:rPr>
      </w:pPr>
    </w:p>
    <w:p w14:paraId="10F7847D">
      <w:pPr>
        <w:adjustRightInd w:val="0"/>
        <w:ind w:left="480" w:hanging="480"/>
        <w:jc w:val="both"/>
        <w:rPr>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Pr>
          <w:sz w:val="24"/>
          <w:szCs w:val="24"/>
        </w:rPr>
        <w:t xml:space="preserve">Alfani, M. H., &amp; Rifa. (2022). Pengaruh Religiusitas Mahasiswa Universitas Islam Riau Terhadap Keputusan Menabung di Bank Syariah. </w:t>
      </w:r>
      <w:r>
        <w:rPr>
          <w:i/>
          <w:iCs/>
          <w:sz w:val="24"/>
          <w:szCs w:val="24"/>
        </w:rPr>
        <w:t>Jurnal Tabarru’: Islamic Banking and Finance</w:t>
      </w:r>
      <w:r>
        <w:rPr>
          <w:sz w:val="24"/>
          <w:szCs w:val="24"/>
        </w:rPr>
        <w:t xml:space="preserve">, </w:t>
      </w:r>
      <w:r>
        <w:rPr>
          <w:i/>
          <w:iCs/>
          <w:sz w:val="24"/>
          <w:szCs w:val="24"/>
        </w:rPr>
        <w:t>5</w:t>
      </w:r>
      <w:r>
        <w:rPr>
          <w:sz w:val="24"/>
          <w:szCs w:val="24"/>
        </w:rPr>
        <w:t>(1), 98–107.</w:t>
      </w:r>
    </w:p>
    <w:p w14:paraId="02A27AC8">
      <w:pPr>
        <w:adjustRightInd w:val="0"/>
        <w:ind w:left="480" w:hanging="480"/>
        <w:jc w:val="both"/>
        <w:rPr>
          <w:sz w:val="24"/>
          <w:szCs w:val="24"/>
        </w:rPr>
      </w:pPr>
      <w:r>
        <w:rPr>
          <w:sz w:val="24"/>
          <w:szCs w:val="24"/>
        </w:rPr>
        <w:t xml:space="preserve">Alma, B. (2016). </w:t>
      </w:r>
      <w:r>
        <w:rPr>
          <w:i/>
          <w:iCs/>
          <w:sz w:val="24"/>
          <w:szCs w:val="24"/>
        </w:rPr>
        <w:t>Manajemen Pemasaran dan Pemasaran Jasa</w:t>
      </w:r>
      <w:r>
        <w:rPr>
          <w:sz w:val="24"/>
          <w:szCs w:val="24"/>
        </w:rPr>
        <w:t>. Bandung: Alfabeta.</w:t>
      </w:r>
    </w:p>
    <w:p w14:paraId="2E4D0AE9">
      <w:pPr>
        <w:adjustRightInd w:val="0"/>
        <w:ind w:left="480" w:hanging="480"/>
        <w:jc w:val="both"/>
        <w:rPr>
          <w:sz w:val="24"/>
          <w:szCs w:val="24"/>
        </w:rPr>
      </w:pPr>
      <w:r>
        <w:rPr>
          <w:sz w:val="24"/>
          <w:szCs w:val="24"/>
        </w:rPr>
        <w:t xml:space="preserve">Alwahidin, &amp; Afni, N. (2022). Pengaruh Kualitas Pelayanan dan Religiusitas Terhadap Minat Menabung di Bank Syariah Indonesia. </w:t>
      </w:r>
      <w:r>
        <w:rPr>
          <w:i/>
          <w:iCs/>
          <w:sz w:val="24"/>
          <w:szCs w:val="24"/>
        </w:rPr>
        <w:t>ARBITRASE: Journal of Economics and Accounting</w:t>
      </w:r>
      <w:r>
        <w:rPr>
          <w:sz w:val="24"/>
          <w:szCs w:val="24"/>
        </w:rPr>
        <w:t xml:space="preserve">, </w:t>
      </w:r>
      <w:r>
        <w:rPr>
          <w:i/>
          <w:iCs/>
          <w:sz w:val="24"/>
          <w:szCs w:val="24"/>
        </w:rPr>
        <w:t>3</w:t>
      </w:r>
      <w:r>
        <w:rPr>
          <w:sz w:val="24"/>
          <w:szCs w:val="24"/>
        </w:rPr>
        <w:t>(1), 57–71. https://doi.org/10.47065/arbitrase.v3i1.445</w:t>
      </w:r>
    </w:p>
    <w:p w14:paraId="5CA849F9">
      <w:pPr>
        <w:adjustRightInd w:val="0"/>
        <w:ind w:left="480" w:hanging="480"/>
        <w:jc w:val="both"/>
        <w:rPr>
          <w:sz w:val="24"/>
          <w:szCs w:val="24"/>
        </w:rPr>
      </w:pPr>
      <w:r>
        <w:rPr>
          <w:sz w:val="24"/>
          <w:szCs w:val="24"/>
        </w:rPr>
        <w:t xml:space="preserve">Amanda, D., Lidyah, R., &amp; Maulana, C. Z. (2023). Peran Sikap dalam Memediasi Pengaruh Religiusitas terhadap Keputusan Menjadi Nasabah di Bank Syariah Indonesia. </w:t>
      </w:r>
      <w:r>
        <w:rPr>
          <w:i/>
          <w:iCs/>
          <w:sz w:val="24"/>
          <w:szCs w:val="24"/>
        </w:rPr>
        <w:t>Jurnal Intelektualita: Keislaman, Sosial Dan Sains</w:t>
      </w:r>
      <w:r>
        <w:rPr>
          <w:sz w:val="24"/>
          <w:szCs w:val="24"/>
        </w:rPr>
        <w:t xml:space="preserve">, </w:t>
      </w:r>
      <w:r>
        <w:rPr>
          <w:i/>
          <w:iCs/>
          <w:sz w:val="24"/>
          <w:szCs w:val="24"/>
        </w:rPr>
        <w:t>12</w:t>
      </w:r>
      <w:r>
        <w:rPr>
          <w:sz w:val="24"/>
          <w:szCs w:val="24"/>
        </w:rPr>
        <w:t>(1), 16–20. https://doi.org/10.19109/intelektualita.v12i1.15909</w:t>
      </w:r>
    </w:p>
    <w:p w14:paraId="3F2ACCEE">
      <w:pPr>
        <w:adjustRightInd w:val="0"/>
        <w:ind w:left="480" w:hanging="480"/>
        <w:jc w:val="both"/>
        <w:rPr>
          <w:sz w:val="24"/>
          <w:szCs w:val="24"/>
        </w:rPr>
      </w:pPr>
      <w:r>
        <w:rPr>
          <w:sz w:val="24"/>
          <w:szCs w:val="24"/>
        </w:rPr>
        <w:t xml:space="preserve">Anggraini, T., &amp; Hasibuan, M. H. (2023). Penerapan Sistem Bagi Hasil Sebagai Faktor Keputusan Nasabah Dalam Menggunakan Jasa Pada Tabungan Dan Deposito Mudharabah Di Bank SUMUT KCP. </w:t>
      </w:r>
      <w:r>
        <w:rPr>
          <w:i/>
          <w:iCs/>
          <w:sz w:val="24"/>
          <w:szCs w:val="24"/>
        </w:rPr>
        <w:t>Innovative: Journal Of Social Science</w:t>
      </w:r>
      <w:r>
        <w:rPr>
          <w:sz w:val="24"/>
          <w:szCs w:val="24"/>
        </w:rPr>
        <w:t xml:space="preserve">, </w:t>
      </w:r>
      <w:r>
        <w:rPr>
          <w:i/>
          <w:iCs/>
          <w:sz w:val="24"/>
          <w:szCs w:val="24"/>
        </w:rPr>
        <w:t>3</w:t>
      </w:r>
      <w:r>
        <w:rPr>
          <w:sz w:val="24"/>
          <w:szCs w:val="24"/>
        </w:rPr>
        <w:t>(6), 5202–5218. Retrieved from http://j-innovative.org/index.php/Innovative/article/view/5906%0Ahttps://j-innovative.org/index.php/Innovative/article/download/5906/4840</w:t>
      </w:r>
    </w:p>
    <w:p w14:paraId="6804A52B">
      <w:pPr>
        <w:adjustRightInd w:val="0"/>
        <w:ind w:left="480" w:hanging="480"/>
        <w:jc w:val="both"/>
        <w:rPr>
          <w:sz w:val="24"/>
          <w:szCs w:val="24"/>
        </w:rPr>
      </w:pPr>
      <w:r>
        <w:rPr>
          <w:sz w:val="24"/>
          <w:szCs w:val="24"/>
        </w:rPr>
        <w:t xml:space="preserve">Angliawati, R. Y. (2023). Pengaruh Fasilitas M-Banking dan Kualitas Pelayanan Terhadap Keputusan Menjadi Nasabah (Studi Pada Bank BCA KCP Rajawali Bandung). </w:t>
      </w:r>
      <w:r>
        <w:rPr>
          <w:i/>
          <w:iCs/>
          <w:sz w:val="24"/>
          <w:szCs w:val="24"/>
        </w:rPr>
        <w:t>Service Management Triangle: Jurnal Manajemen Jasa</w:t>
      </w:r>
      <w:r>
        <w:rPr>
          <w:sz w:val="24"/>
          <w:szCs w:val="24"/>
        </w:rPr>
        <w:t xml:space="preserve">, </w:t>
      </w:r>
      <w:r>
        <w:rPr>
          <w:i/>
          <w:iCs/>
          <w:sz w:val="24"/>
          <w:szCs w:val="24"/>
        </w:rPr>
        <w:t>5</w:t>
      </w:r>
      <w:r>
        <w:rPr>
          <w:sz w:val="24"/>
          <w:szCs w:val="24"/>
        </w:rPr>
        <w:t>(1), 48–61. Retrieved from https://ejurnal.ars.ac.id/index.php/jsj/article/view/1279</w:t>
      </w:r>
    </w:p>
    <w:p w14:paraId="1541533E">
      <w:pPr>
        <w:adjustRightInd w:val="0"/>
        <w:ind w:left="480" w:hanging="480"/>
        <w:jc w:val="both"/>
        <w:rPr>
          <w:sz w:val="24"/>
          <w:szCs w:val="24"/>
        </w:rPr>
      </w:pPr>
      <w:r>
        <w:rPr>
          <w:sz w:val="24"/>
          <w:szCs w:val="24"/>
        </w:rPr>
        <w:t xml:space="preserve">Ardiyanto, &amp; Widana, G. O. (2024). Analisis Pengaruh Literasi Keuangan Syariah, Religiusitas dan Bauran Pemasaran Terhadap Keputusan Menjadi Nasabah Bank Syariah di Jogja. </w:t>
      </w:r>
      <w:r>
        <w:rPr>
          <w:i/>
          <w:iCs/>
          <w:sz w:val="24"/>
          <w:szCs w:val="24"/>
        </w:rPr>
        <w:t>Jurnal Ilmiah Ekonomi Islam (JIEI)</w:t>
      </w:r>
      <w:r>
        <w:rPr>
          <w:sz w:val="24"/>
          <w:szCs w:val="24"/>
        </w:rPr>
        <w:t xml:space="preserve">, </w:t>
      </w:r>
      <w:r>
        <w:rPr>
          <w:i/>
          <w:iCs/>
          <w:sz w:val="24"/>
          <w:szCs w:val="24"/>
        </w:rPr>
        <w:t>10</w:t>
      </w:r>
      <w:r>
        <w:rPr>
          <w:sz w:val="24"/>
          <w:szCs w:val="24"/>
        </w:rPr>
        <w:t>(03), 3096–3108.</w:t>
      </w:r>
    </w:p>
    <w:p w14:paraId="0623253A">
      <w:pPr>
        <w:adjustRightInd w:val="0"/>
        <w:ind w:left="480" w:hanging="480"/>
        <w:jc w:val="both"/>
        <w:rPr>
          <w:sz w:val="24"/>
          <w:szCs w:val="24"/>
        </w:rPr>
      </w:pPr>
      <w:r>
        <w:rPr>
          <w:sz w:val="24"/>
          <w:szCs w:val="24"/>
        </w:rPr>
        <w:t xml:space="preserve">Aslikhah, &amp; Zuhriyah, A. (2021). Pengaruh Religiusitas dan Brand Liking terhadap Keputusan Menabung di Bank BNI Syariah Kabupaten Pasuruan. </w:t>
      </w:r>
      <w:r>
        <w:rPr>
          <w:i/>
          <w:iCs/>
          <w:sz w:val="24"/>
          <w:szCs w:val="24"/>
        </w:rPr>
        <w:t>Malia: Jurnal Ekonomi Islam</w:t>
      </w:r>
      <w:r>
        <w:rPr>
          <w:sz w:val="24"/>
          <w:szCs w:val="24"/>
        </w:rPr>
        <w:t xml:space="preserve">, </w:t>
      </w:r>
      <w:r>
        <w:rPr>
          <w:i/>
          <w:iCs/>
          <w:sz w:val="24"/>
          <w:szCs w:val="24"/>
        </w:rPr>
        <w:t>12</w:t>
      </w:r>
      <w:r>
        <w:rPr>
          <w:sz w:val="24"/>
          <w:szCs w:val="24"/>
        </w:rPr>
        <w:t>(2), 267–276. https://doi.org/10.35891/ml.v12i2.2876</w:t>
      </w:r>
    </w:p>
    <w:p w14:paraId="0D57E24A">
      <w:pPr>
        <w:adjustRightInd w:val="0"/>
        <w:ind w:left="480" w:hanging="480"/>
        <w:jc w:val="both"/>
        <w:rPr>
          <w:sz w:val="24"/>
          <w:szCs w:val="24"/>
        </w:rPr>
      </w:pPr>
      <w:r>
        <w:rPr>
          <w:sz w:val="24"/>
          <w:szCs w:val="24"/>
        </w:rPr>
        <w:t xml:space="preserve">Azhar, I. A., Suprapto, R., &amp; Fuad, N. A. (2023). Pengaruh Kualitas Pelayanan Dan Bagi Hasil Terhadap Keputusan Menabung Pada Nasabah di Bank Syariah Indonesia Cabang Rogojampi. </w:t>
      </w:r>
      <w:r>
        <w:rPr>
          <w:i/>
          <w:iCs/>
          <w:sz w:val="24"/>
          <w:szCs w:val="24"/>
        </w:rPr>
        <w:t>Jurnal Akuntansi, Keuangan Dan Teknologi Informasi Akuntansi</w:t>
      </w:r>
      <w:r>
        <w:rPr>
          <w:sz w:val="24"/>
          <w:szCs w:val="24"/>
        </w:rPr>
        <w:t xml:space="preserve">, </w:t>
      </w:r>
      <w:r>
        <w:rPr>
          <w:i/>
          <w:iCs/>
          <w:sz w:val="24"/>
          <w:szCs w:val="24"/>
        </w:rPr>
        <w:t>3</w:t>
      </w:r>
      <w:r>
        <w:rPr>
          <w:sz w:val="24"/>
          <w:szCs w:val="24"/>
        </w:rPr>
        <w:t>(1), 61–73. https://doi.org/10.36085/jakta.v4i2.5635</w:t>
      </w:r>
    </w:p>
    <w:p w14:paraId="7F90D78B">
      <w:pPr>
        <w:adjustRightInd w:val="0"/>
        <w:ind w:left="480" w:hanging="480"/>
        <w:jc w:val="both"/>
        <w:rPr>
          <w:sz w:val="24"/>
          <w:szCs w:val="24"/>
        </w:rPr>
      </w:pPr>
      <w:r>
        <w:rPr>
          <w:sz w:val="24"/>
          <w:szCs w:val="24"/>
        </w:rPr>
        <w:t xml:space="preserve">Bawono, A., &amp; Oktaviani, M. F. R. (2016). Analisis Pemahaman, Produk, dan Tingkat Religiusitas terhadap Keputusan Mahasiswa IAIN Menjadi Nasabah Bank Syariah Cabang Salatiga. </w:t>
      </w:r>
      <w:r>
        <w:rPr>
          <w:i/>
          <w:iCs/>
          <w:sz w:val="24"/>
          <w:szCs w:val="24"/>
        </w:rPr>
        <w:t>Jurnal Muqtasid</w:t>
      </w:r>
      <w:r>
        <w:rPr>
          <w:sz w:val="24"/>
          <w:szCs w:val="24"/>
        </w:rPr>
        <w:t xml:space="preserve">, </w:t>
      </w:r>
      <w:r>
        <w:rPr>
          <w:i/>
          <w:iCs/>
          <w:sz w:val="24"/>
          <w:szCs w:val="24"/>
        </w:rPr>
        <w:t>7</w:t>
      </w:r>
      <w:r>
        <w:rPr>
          <w:sz w:val="24"/>
          <w:szCs w:val="24"/>
        </w:rPr>
        <w:t>(1), 29–53.</w:t>
      </w:r>
    </w:p>
    <w:p w14:paraId="72A9E535">
      <w:pPr>
        <w:adjustRightInd w:val="0"/>
        <w:ind w:left="480" w:hanging="480"/>
        <w:jc w:val="both"/>
        <w:rPr>
          <w:sz w:val="24"/>
          <w:szCs w:val="24"/>
        </w:rPr>
      </w:pPr>
      <w:r>
        <w:rPr>
          <w:sz w:val="24"/>
          <w:szCs w:val="24"/>
        </w:rPr>
        <w:t xml:space="preserve">Bramasta, K. O., &amp; Utomo, S. B. (2022). Pengaruh Promosi Dan Atribut Produk Terhadap Keputusan Menabung Nasabah Bank Jatim Cabang Pembantu Universitas Wijaya Kusuma Di Masa Pandemi Covid-19. </w:t>
      </w:r>
      <w:r>
        <w:rPr>
          <w:i/>
          <w:iCs/>
          <w:sz w:val="24"/>
          <w:szCs w:val="24"/>
        </w:rPr>
        <w:t>Jurnal Ilmu Dan Riset Manajemen</w:t>
      </w:r>
      <w:r>
        <w:rPr>
          <w:sz w:val="24"/>
          <w:szCs w:val="24"/>
        </w:rPr>
        <w:t xml:space="preserve">, </w:t>
      </w:r>
      <w:r>
        <w:rPr>
          <w:i/>
          <w:iCs/>
          <w:sz w:val="24"/>
          <w:szCs w:val="24"/>
        </w:rPr>
        <w:t>11</w:t>
      </w:r>
      <w:r>
        <w:rPr>
          <w:sz w:val="24"/>
          <w:szCs w:val="24"/>
        </w:rPr>
        <w:t>(6), 1–16.</w:t>
      </w:r>
    </w:p>
    <w:p w14:paraId="7ACB09E0">
      <w:pPr>
        <w:adjustRightInd w:val="0"/>
        <w:ind w:left="480" w:hanging="480"/>
        <w:jc w:val="both"/>
        <w:rPr>
          <w:sz w:val="24"/>
          <w:szCs w:val="24"/>
        </w:rPr>
      </w:pPr>
      <w:r>
        <w:rPr>
          <w:sz w:val="24"/>
          <w:szCs w:val="24"/>
        </w:rPr>
        <w:t xml:space="preserve">Bustomi, B., Wiralaga, H. K., &amp; Zahra, S. F. (2023). Pengaruh Kualitas Produk Dan Reputasi Terhadap Keputusan Nasabah Menggunakan Jasa Bank Syariah Indonesia. </w:t>
      </w:r>
      <w:r>
        <w:rPr>
          <w:i/>
          <w:iCs/>
          <w:sz w:val="24"/>
          <w:szCs w:val="24"/>
        </w:rPr>
        <w:t>Indonesian Journal of Economy, Business, Entrepreneurship and Finance</w:t>
      </w:r>
      <w:r>
        <w:rPr>
          <w:sz w:val="24"/>
          <w:szCs w:val="24"/>
        </w:rPr>
        <w:t xml:space="preserve">, </w:t>
      </w:r>
      <w:r>
        <w:rPr>
          <w:i/>
          <w:iCs/>
          <w:sz w:val="24"/>
          <w:szCs w:val="24"/>
        </w:rPr>
        <w:t>3</w:t>
      </w:r>
      <w:r>
        <w:rPr>
          <w:sz w:val="24"/>
          <w:szCs w:val="24"/>
        </w:rPr>
        <w:t>(2), 297–305. Retrieved from http://ijebef.esc-id.org/index.php/home/article/view/106</w:t>
      </w:r>
    </w:p>
    <w:p w14:paraId="5A46DEAB">
      <w:pPr>
        <w:adjustRightInd w:val="0"/>
        <w:ind w:left="480" w:hanging="480"/>
        <w:jc w:val="both"/>
        <w:rPr>
          <w:sz w:val="24"/>
          <w:szCs w:val="24"/>
        </w:rPr>
      </w:pPr>
      <w:r>
        <w:rPr>
          <w:sz w:val="24"/>
          <w:szCs w:val="24"/>
        </w:rPr>
        <w:t xml:space="preserve">Casriyanti. (2020). Pengaruh Religiusitas, Consumer Knowledge dan Brand Image terhadap Keputusan Menjadi Nasabah pada Bank Syariah. </w:t>
      </w:r>
      <w:r>
        <w:rPr>
          <w:i/>
          <w:iCs/>
          <w:sz w:val="24"/>
          <w:szCs w:val="24"/>
        </w:rPr>
        <w:t>Tasyri’: Jurnal Mu’amalah Dan Ekonomi Syari’ah</w:t>
      </w:r>
      <w:r>
        <w:rPr>
          <w:sz w:val="24"/>
          <w:szCs w:val="24"/>
        </w:rPr>
        <w:t xml:space="preserve">, </w:t>
      </w:r>
      <w:r>
        <w:rPr>
          <w:i/>
          <w:iCs/>
          <w:sz w:val="24"/>
          <w:szCs w:val="24"/>
        </w:rPr>
        <w:t>2</w:t>
      </w:r>
      <w:r>
        <w:rPr>
          <w:sz w:val="24"/>
          <w:szCs w:val="24"/>
        </w:rPr>
        <w:t>(1), 52–70. https://doi.org/10.37058/jes.v5i1.1502</w:t>
      </w:r>
    </w:p>
    <w:p w14:paraId="6BD92F8B">
      <w:pPr>
        <w:adjustRightInd w:val="0"/>
        <w:ind w:left="480" w:hanging="480"/>
        <w:jc w:val="both"/>
        <w:rPr>
          <w:sz w:val="24"/>
          <w:szCs w:val="24"/>
        </w:rPr>
      </w:pPr>
      <w:r>
        <w:rPr>
          <w:sz w:val="24"/>
          <w:szCs w:val="24"/>
        </w:rPr>
        <w:t xml:space="preserve">Desiana, Susilowati, D., &amp; Putri, N. K. (2018). Faktor-Faktor Yang Mempengaruhi Keputusan Nasabah Untuk Menggunakan Jasa Perbankan Syariah Di Kota Tasikmalaya. </w:t>
      </w:r>
      <w:r>
        <w:rPr>
          <w:i/>
          <w:iCs/>
          <w:sz w:val="24"/>
          <w:szCs w:val="24"/>
        </w:rPr>
        <w:t>Akuntabilitas: Jurnal Ilmu Akuntansi</w:t>
      </w:r>
      <w:r>
        <w:rPr>
          <w:sz w:val="24"/>
          <w:szCs w:val="24"/>
        </w:rPr>
        <w:t xml:space="preserve">, </w:t>
      </w:r>
      <w:r>
        <w:rPr>
          <w:i/>
          <w:iCs/>
          <w:sz w:val="24"/>
          <w:szCs w:val="24"/>
        </w:rPr>
        <w:t>11</w:t>
      </w:r>
      <w:r>
        <w:rPr>
          <w:sz w:val="24"/>
          <w:szCs w:val="24"/>
        </w:rPr>
        <w:t>(1), 23–34. https://doi.org/10.15408/akt.v11i1.8135</w:t>
      </w:r>
    </w:p>
    <w:p w14:paraId="0601D725">
      <w:pPr>
        <w:adjustRightInd w:val="0"/>
        <w:ind w:left="480" w:hanging="480"/>
        <w:jc w:val="both"/>
        <w:rPr>
          <w:sz w:val="24"/>
          <w:szCs w:val="24"/>
        </w:rPr>
      </w:pPr>
      <w:r>
        <w:rPr>
          <w:sz w:val="24"/>
          <w:szCs w:val="24"/>
        </w:rPr>
        <w:t xml:space="preserve">Dinata, I. (2022). Dampak Pengetahuan, Religiusitas, Promosi Dan Tingkat Pendapatan Konsumen Terhadap Ketetapan Seseorang Menjadi Nasabah Bank Syariah. </w:t>
      </w:r>
      <w:r>
        <w:rPr>
          <w:i/>
          <w:iCs/>
          <w:sz w:val="24"/>
          <w:szCs w:val="24"/>
        </w:rPr>
        <w:t>Jurnal Ilmiah Mahasiswa Pendidikan Agama Islam [JIMPAI]</w:t>
      </w:r>
      <w:r>
        <w:rPr>
          <w:sz w:val="24"/>
          <w:szCs w:val="24"/>
        </w:rPr>
        <w:t xml:space="preserve">, </w:t>
      </w:r>
      <w:r>
        <w:rPr>
          <w:i/>
          <w:iCs/>
          <w:sz w:val="24"/>
          <w:szCs w:val="24"/>
        </w:rPr>
        <w:t>2</w:t>
      </w:r>
      <w:r>
        <w:rPr>
          <w:sz w:val="24"/>
          <w:szCs w:val="24"/>
        </w:rPr>
        <w:t>(1), 1–13. Retrieved from http://jurnalmahasiswa.umsu.ac.id/index.php/jimpai/article/view/1042</w:t>
      </w:r>
    </w:p>
    <w:p w14:paraId="0FA74C6F">
      <w:pPr>
        <w:adjustRightInd w:val="0"/>
        <w:ind w:left="480" w:hanging="480"/>
        <w:jc w:val="both"/>
        <w:rPr>
          <w:sz w:val="24"/>
          <w:szCs w:val="24"/>
        </w:rPr>
      </w:pPr>
      <w:r>
        <w:rPr>
          <w:sz w:val="24"/>
          <w:szCs w:val="24"/>
        </w:rPr>
        <w:t xml:space="preserve">Fikri, M. M., &amp; Diwanti, D. P. (2024). Analisis Pengaruh Religiusitas, Pengetahuan, dan Electronic Banking Terhadap Keputusan Generasi Z Menggunakan Jasa Perbankan Syariah. </w:t>
      </w:r>
      <w:r>
        <w:rPr>
          <w:i/>
          <w:iCs/>
          <w:sz w:val="24"/>
          <w:szCs w:val="24"/>
        </w:rPr>
        <w:t>JBMA: Jurnal Bisnis, Manajemen, Dan Akuntansi</w:t>
      </w:r>
      <w:r>
        <w:rPr>
          <w:sz w:val="24"/>
          <w:szCs w:val="24"/>
        </w:rPr>
        <w:t xml:space="preserve">, </w:t>
      </w:r>
      <w:r>
        <w:rPr>
          <w:i/>
          <w:iCs/>
          <w:sz w:val="24"/>
          <w:szCs w:val="24"/>
        </w:rPr>
        <w:t>11</w:t>
      </w:r>
      <w:r>
        <w:rPr>
          <w:sz w:val="24"/>
          <w:szCs w:val="24"/>
        </w:rPr>
        <w:t>(1), 1–9. https://doi.org/10.54131/jbma.v11i1.184</w:t>
      </w:r>
    </w:p>
    <w:p w14:paraId="202BF553">
      <w:pPr>
        <w:adjustRightInd w:val="0"/>
        <w:ind w:left="480" w:hanging="480"/>
        <w:jc w:val="both"/>
        <w:rPr>
          <w:sz w:val="24"/>
          <w:szCs w:val="24"/>
        </w:rPr>
      </w:pPr>
      <w:r>
        <w:rPr>
          <w:sz w:val="24"/>
          <w:szCs w:val="24"/>
        </w:rPr>
        <w:t xml:space="preserve">Gultom, S. A., Siregar, S., &amp; Sugianto. (2022). Apakah Regiulitas Memoderasi Keputusan Nasabah Bank Syariah. </w:t>
      </w:r>
      <w:r>
        <w:rPr>
          <w:i/>
          <w:iCs/>
          <w:sz w:val="24"/>
          <w:szCs w:val="24"/>
        </w:rPr>
        <w:t>Jurnal Ilmiah Ekonomi Islam</w:t>
      </w:r>
      <w:r>
        <w:rPr>
          <w:sz w:val="24"/>
          <w:szCs w:val="24"/>
        </w:rPr>
        <w:t xml:space="preserve">, </w:t>
      </w:r>
      <w:r>
        <w:rPr>
          <w:i/>
          <w:iCs/>
          <w:sz w:val="24"/>
          <w:szCs w:val="24"/>
        </w:rPr>
        <w:t>8</w:t>
      </w:r>
      <w:r>
        <w:rPr>
          <w:sz w:val="24"/>
          <w:szCs w:val="24"/>
        </w:rPr>
        <w:t>(2), 1348–1356.</w:t>
      </w:r>
    </w:p>
    <w:p w14:paraId="516F3111">
      <w:pPr>
        <w:adjustRightInd w:val="0"/>
        <w:ind w:left="480" w:hanging="480"/>
        <w:jc w:val="both"/>
        <w:rPr>
          <w:sz w:val="24"/>
          <w:szCs w:val="24"/>
        </w:rPr>
      </w:pPr>
      <w:r>
        <w:rPr>
          <w:sz w:val="24"/>
          <w:szCs w:val="24"/>
        </w:rPr>
        <w:t xml:space="preserve">Handayani, S., Aziz, A., &amp; Pratama, N. (2022). Pengaruh Produk, Promosi, Dan Kualitas Pelayanan Terhadap Keputusan Menabung Mudharabah Dengan Religiusitas Sebagai Variabel Pemoderasi. </w:t>
      </w:r>
      <w:r>
        <w:rPr>
          <w:i/>
          <w:iCs/>
          <w:sz w:val="24"/>
          <w:szCs w:val="24"/>
        </w:rPr>
        <w:t>Jurnal Al-Iqtishad</w:t>
      </w:r>
      <w:r>
        <w:rPr>
          <w:sz w:val="24"/>
          <w:szCs w:val="24"/>
        </w:rPr>
        <w:t xml:space="preserve">, </w:t>
      </w:r>
      <w:r>
        <w:rPr>
          <w:i/>
          <w:iCs/>
          <w:sz w:val="24"/>
          <w:szCs w:val="24"/>
        </w:rPr>
        <w:t>18</w:t>
      </w:r>
      <w:r>
        <w:rPr>
          <w:sz w:val="24"/>
          <w:szCs w:val="24"/>
        </w:rPr>
        <w:t>(2), 193–213. https://doi.org/10.24014/jiq.v18i2.18398</w:t>
      </w:r>
    </w:p>
    <w:p w14:paraId="31BA30B1">
      <w:pPr>
        <w:adjustRightInd w:val="0"/>
        <w:ind w:left="480" w:hanging="480"/>
        <w:jc w:val="both"/>
        <w:rPr>
          <w:sz w:val="24"/>
          <w:szCs w:val="24"/>
        </w:rPr>
      </w:pPr>
      <w:r>
        <w:rPr>
          <w:sz w:val="24"/>
          <w:szCs w:val="24"/>
        </w:rPr>
        <w:t xml:space="preserve">Hasanuddin, R., Syukri, A., &amp; Nofrianto. (2019). Pengaruh Produk, Pelayanan dan Promosi terhadap Keputusan Nasabah untuk Menabung di Bank Syariah. </w:t>
      </w:r>
      <w:r>
        <w:rPr>
          <w:i/>
          <w:iCs/>
          <w:sz w:val="24"/>
          <w:szCs w:val="24"/>
        </w:rPr>
        <w:t>Innovatio</w:t>
      </w:r>
      <w:r>
        <w:rPr>
          <w:sz w:val="24"/>
          <w:szCs w:val="24"/>
        </w:rPr>
        <w:t xml:space="preserve">, </w:t>
      </w:r>
      <w:r>
        <w:rPr>
          <w:i/>
          <w:iCs/>
          <w:sz w:val="24"/>
          <w:szCs w:val="24"/>
        </w:rPr>
        <w:t>14</w:t>
      </w:r>
      <w:r>
        <w:rPr>
          <w:sz w:val="24"/>
          <w:szCs w:val="24"/>
        </w:rPr>
        <w:t>(2), 191–206. https://doi.org/10.36841/jme.v2i1.2663</w:t>
      </w:r>
    </w:p>
    <w:p w14:paraId="4EEAD622">
      <w:pPr>
        <w:adjustRightInd w:val="0"/>
        <w:ind w:left="480" w:hanging="480"/>
        <w:jc w:val="both"/>
        <w:rPr>
          <w:sz w:val="24"/>
          <w:szCs w:val="24"/>
        </w:rPr>
      </w:pPr>
      <w:r>
        <w:rPr>
          <w:sz w:val="24"/>
          <w:szCs w:val="24"/>
        </w:rPr>
        <w:t xml:space="preserve">Ilham, M. N., Hardati, R. N., &amp; Widayawati, E. (2023). Pengaruh Nisbah Bagi Hasil Dan Physical Evidence Terhadap Keputusan Nasabah Pada Pembiayaan Mudharabah (Studi Kasus Pada KSPSS BMT-UGT Nusantara Capem Blimbing). </w:t>
      </w:r>
      <w:r>
        <w:rPr>
          <w:i/>
          <w:iCs/>
          <w:sz w:val="24"/>
          <w:szCs w:val="24"/>
        </w:rPr>
        <w:t>JIAGABI</w:t>
      </w:r>
      <w:r>
        <w:rPr>
          <w:sz w:val="24"/>
          <w:szCs w:val="24"/>
        </w:rPr>
        <w:t xml:space="preserve">, </w:t>
      </w:r>
      <w:r>
        <w:rPr>
          <w:i/>
          <w:iCs/>
          <w:sz w:val="24"/>
          <w:szCs w:val="24"/>
        </w:rPr>
        <w:t>12</w:t>
      </w:r>
      <w:r>
        <w:rPr>
          <w:sz w:val="24"/>
          <w:szCs w:val="24"/>
        </w:rPr>
        <w:t>(1), 609–615.</w:t>
      </w:r>
    </w:p>
    <w:p w14:paraId="2225BC68">
      <w:pPr>
        <w:adjustRightInd w:val="0"/>
        <w:ind w:left="480" w:hanging="480"/>
        <w:jc w:val="both"/>
        <w:rPr>
          <w:sz w:val="24"/>
          <w:szCs w:val="24"/>
        </w:rPr>
      </w:pPr>
      <w:r>
        <w:rPr>
          <w:sz w:val="24"/>
          <w:szCs w:val="24"/>
        </w:rPr>
        <w:t xml:space="preserve">Indrasari, M. (2019). </w:t>
      </w:r>
      <w:r>
        <w:rPr>
          <w:i/>
          <w:iCs/>
          <w:sz w:val="24"/>
          <w:szCs w:val="24"/>
        </w:rPr>
        <w:t>Pemasaran &amp; Kepuasan Pelanggan</w:t>
      </w:r>
      <w:r>
        <w:rPr>
          <w:sz w:val="24"/>
          <w:szCs w:val="24"/>
        </w:rPr>
        <w:t>. Surabaya: Unitomo Press.</w:t>
      </w:r>
    </w:p>
    <w:p w14:paraId="1CB9A465">
      <w:pPr>
        <w:adjustRightInd w:val="0"/>
        <w:ind w:left="480" w:hanging="480"/>
        <w:jc w:val="both"/>
        <w:rPr>
          <w:sz w:val="24"/>
          <w:szCs w:val="24"/>
        </w:rPr>
      </w:pPr>
      <w:r>
        <w:rPr>
          <w:sz w:val="24"/>
          <w:szCs w:val="24"/>
        </w:rPr>
        <w:t xml:space="preserve">Istiqomah, N. H., Rohim, A. M., &amp; Ulum, A. F. (2021). Religiusitas dan Persepsi Nasabah dalam Memilih Bank Syariah Indonesia (BSI) di Kota Tuban. </w:t>
      </w:r>
      <w:r>
        <w:rPr>
          <w:i/>
          <w:iCs/>
          <w:sz w:val="24"/>
          <w:szCs w:val="24"/>
        </w:rPr>
        <w:t>JIB-Jurnal Perbankan Syariah</w:t>
      </w:r>
      <w:r>
        <w:rPr>
          <w:sz w:val="24"/>
          <w:szCs w:val="24"/>
        </w:rPr>
        <w:t xml:space="preserve">, </w:t>
      </w:r>
      <w:r>
        <w:rPr>
          <w:i/>
          <w:iCs/>
          <w:sz w:val="24"/>
          <w:szCs w:val="24"/>
        </w:rPr>
        <w:t>1</w:t>
      </w:r>
      <w:r>
        <w:rPr>
          <w:sz w:val="24"/>
          <w:szCs w:val="24"/>
        </w:rPr>
        <w:t>(2), 73–78. Retrieved from http://ejournal.iainutuban.ac.id/index.php/JIB/article/view/364%0Ahttp://ejournal.iainutuban.ac.id/index.php/JIB/article/download/364/250</w:t>
      </w:r>
    </w:p>
    <w:p w14:paraId="18E47C87">
      <w:pPr>
        <w:adjustRightInd w:val="0"/>
        <w:ind w:left="480" w:hanging="480"/>
        <w:jc w:val="both"/>
        <w:rPr>
          <w:sz w:val="24"/>
          <w:szCs w:val="24"/>
        </w:rPr>
      </w:pPr>
      <w:r>
        <w:rPr>
          <w:sz w:val="24"/>
          <w:szCs w:val="24"/>
        </w:rPr>
        <w:t xml:space="preserve">Kartika, F. V., &amp; Kirom, C. (2024). Pengetahuan dan Religiusitas pada Keputusan Memilih Bank Syariah di Kabupaten Kudus. </w:t>
      </w:r>
      <w:r>
        <w:rPr>
          <w:i/>
          <w:iCs/>
          <w:sz w:val="24"/>
          <w:szCs w:val="24"/>
        </w:rPr>
        <w:t>JEBISKU: Jurnal Ekonomi Dan Bisnis Islam IAIN Kudus</w:t>
      </w:r>
      <w:r>
        <w:rPr>
          <w:sz w:val="24"/>
          <w:szCs w:val="24"/>
        </w:rPr>
        <w:t xml:space="preserve">, </w:t>
      </w:r>
      <w:r>
        <w:rPr>
          <w:i/>
          <w:iCs/>
          <w:sz w:val="24"/>
          <w:szCs w:val="24"/>
        </w:rPr>
        <w:t>2</w:t>
      </w:r>
      <w:r>
        <w:rPr>
          <w:sz w:val="24"/>
          <w:szCs w:val="24"/>
        </w:rPr>
        <w:t>(2), 179–190.</w:t>
      </w:r>
    </w:p>
    <w:p w14:paraId="108A059C">
      <w:pPr>
        <w:adjustRightInd w:val="0"/>
        <w:ind w:left="480" w:hanging="480"/>
        <w:jc w:val="both"/>
        <w:rPr>
          <w:sz w:val="24"/>
          <w:szCs w:val="24"/>
        </w:rPr>
      </w:pPr>
      <w:r>
        <w:rPr>
          <w:sz w:val="24"/>
          <w:szCs w:val="24"/>
        </w:rPr>
        <w:t xml:space="preserve">Kasmir. (2016). </w:t>
      </w:r>
      <w:r>
        <w:rPr>
          <w:i/>
          <w:iCs/>
          <w:sz w:val="24"/>
          <w:szCs w:val="24"/>
        </w:rPr>
        <w:t>Bank dan Lembaga Keuangan Lainnya</w:t>
      </w:r>
      <w:r>
        <w:rPr>
          <w:sz w:val="24"/>
          <w:szCs w:val="24"/>
        </w:rPr>
        <w:t>. Jakarta: PT. Raja Grafindo.</w:t>
      </w:r>
    </w:p>
    <w:p w14:paraId="1A05FEDA">
      <w:pPr>
        <w:adjustRightInd w:val="0"/>
        <w:ind w:left="480" w:hanging="480"/>
        <w:jc w:val="both"/>
        <w:rPr>
          <w:sz w:val="24"/>
          <w:szCs w:val="24"/>
        </w:rPr>
      </w:pPr>
      <w:r>
        <w:rPr>
          <w:sz w:val="24"/>
          <w:szCs w:val="24"/>
        </w:rPr>
        <w:t xml:space="preserve">Khairani, Sahputra, N., &amp; Harahap, A. T. (2023). Pengaruh Peranan Customer Service dan Fasilitas Produk Terhadap Keputusan Nasabah Menabung Pada PT. BPRS Al-Washliyah di Medan. </w:t>
      </w:r>
      <w:r>
        <w:rPr>
          <w:i/>
          <w:iCs/>
          <w:sz w:val="24"/>
          <w:szCs w:val="24"/>
        </w:rPr>
        <w:t>Jurnal Bisnis Net</w:t>
      </w:r>
      <w:r>
        <w:rPr>
          <w:sz w:val="24"/>
          <w:szCs w:val="24"/>
        </w:rPr>
        <w:t xml:space="preserve">, </w:t>
      </w:r>
      <w:r>
        <w:rPr>
          <w:i/>
          <w:iCs/>
          <w:sz w:val="24"/>
          <w:szCs w:val="24"/>
        </w:rPr>
        <w:t>6</w:t>
      </w:r>
      <w:r>
        <w:rPr>
          <w:sz w:val="24"/>
          <w:szCs w:val="24"/>
        </w:rPr>
        <w:t>(2), 744–752.</w:t>
      </w:r>
    </w:p>
    <w:p w14:paraId="730EA81D">
      <w:pPr>
        <w:adjustRightInd w:val="0"/>
        <w:ind w:left="480" w:hanging="480"/>
        <w:jc w:val="both"/>
        <w:rPr>
          <w:sz w:val="24"/>
          <w:szCs w:val="24"/>
        </w:rPr>
      </w:pPr>
      <w:r>
        <w:rPr>
          <w:sz w:val="24"/>
          <w:szCs w:val="24"/>
        </w:rPr>
        <w:t xml:space="preserve">Khasanah, Y., &amp; Gunawan, A. I. (2014). Pengaruh Sistem Bagi Hasil Terhadap eputusan Menjadi Nasabah Bank Syariah di Kota Cirebon (Penelitian Survei Terhadap Nasabah Bank Syariah di Kota Cirebon). </w:t>
      </w:r>
      <w:r>
        <w:rPr>
          <w:i/>
          <w:iCs/>
          <w:sz w:val="24"/>
          <w:szCs w:val="24"/>
        </w:rPr>
        <w:t>Edunomic</w:t>
      </w:r>
      <w:r>
        <w:rPr>
          <w:sz w:val="24"/>
          <w:szCs w:val="24"/>
        </w:rPr>
        <w:t xml:space="preserve">, </w:t>
      </w:r>
      <w:r>
        <w:rPr>
          <w:i/>
          <w:iCs/>
          <w:sz w:val="24"/>
          <w:szCs w:val="24"/>
        </w:rPr>
        <w:t>2</w:t>
      </w:r>
      <w:r>
        <w:rPr>
          <w:sz w:val="24"/>
          <w:szCs w:val="24"/>
        </w:rPr>
        <w:t>(1), 37–46. https://doi.org/10.31857/s013116462104007x</w:t>
      </w:r>
    </w:p>
    <w:p w14:paraId="14546636">
      <w:pPr>
        <w:adjustRightInd w:val="0"/>
        <w:ind w:left="480" w:hanging="480"/>
        <w:jc w:val="both"/>
        <w:rPr>
          <w:sz w:val="24"/>
          <w:szCs w:val="24"/>
        </w:rPr>
      </w:pPr>
      <w:r>
        <w:rPr>
          <w:sz w:val="24"/>
          <w:szCs w:val="24"/>
        </w:rPr>
        <w:t xml:space="preserve">Khatami, M. A., Yusuf, M., &amp; Martaliah, N. (2024). Pengaruh Pemahaman, Religiusitas dan Kualitas Pelayanan Terhadap Keputusan Nasabah Dalam Memilih Bank Syariah (Studi Kasus Masyarakat Kecamatan Sarolangun). </w:t>
      </w:r>
      <w:r>
        <w:rPr>
          <w:i/>
          <w:iCs/>
          <w:sz w:val="24"/>
          <w:szCs w:val="24"/>
        </w:rPr>
        <w:t>Akuntansi 45</w:t>
      </w:r>
      <w:r>
        <w:rPr>
          <w:sz w:val="24"/>
          <w:szCs w:val="24"/>
        </w:rPr>
        <w:t xml:space="preserve">, </w:t>
      </w:r>
      <w:r>
        <w:rPr>
          <w:i/>
          <w:iCs/>
          <w:sz w:val="24"/>
          <w:szCs w:val="24"/>
        </w:rPr>
        <w:t>5</w:t>
      </w:r>
      <w:r>
        <w:rPr>
          <w:sz w:val="24"/>
          <w:szCs w:val="24"/>
        </w:rPr>
        <w:t>(1), 107–120. https://doi.org/10.30640/akuntansi45.v5i1.2446</w:t>
      </w:r>
    </w:p>
    <w:p w14:paraId="04E1DAE5">
      <w:pPr>
        <w:adjustRightInd w:val="0"/>
        <w:ind w:left="480" w:hanging="480"/>
        <w:jc w:val="both"/>
        <w:rPr>
          <w:sz w:val="24"/>
          <w:szCs w:val="24"/>
        </w:rPr>
      </w:pPr>
      <w:r>
        <w:rPr>
          <w:sz w:val="24"/>
          <w:szCs w:val="24"/>
        </w:rPr>
        <w:t xml:space="preserve">Maisur, Arfan, M., &amp; Shabri, M. (2015). Pengaruh Prinsip Bagi Hasil, Tingkat Pendapatan, Religiusitas Dan Kualitas Pelayanan Terhadap Keputusan Menabung Nasabah Pada Bank Syariah di Banda Aceh. </w:t>
      </w:r>
      <w:r>
        <w:rPr>
          <w:i/>
          <w:iCs/>
          <w:sz w:val="24"/>
          <w:szCs w:val="24"/>
        </w:rPr>
        <w:t>Jurnal Magister Akuntansi</w:t>
      </w:r>
      <w:r>
        <w:rPr>
          <w:sz w:val="24"/>
          <w:szCs w:val="24"/>
        </w:rPr>
        <w:t xml:space="preserve">, </w:t>
      </w:r>
      <w:r>
        <w:rPr>
          <w:i/>
          <w:iCs/>
          <w:sz w:val="24"/>
          <w:szCs w:val="24"/>
        </w:rPr>
        <w:t>4</w:t>
      </w:r>
      <w:r>
        <w:rPr>
          <w:sz w:val="24"/>
          <w:szCs w:val="24"/>
        </w:rPr>
        <w:t>(2), 1–8.</w:t>
      </w:r>
    </w:p>
    <w:p w14:paraId="67973C49">
      <w:pPr>
        <w:adjustRightInd w:val="0"/>
        <w:ind w:left="480" w:hanging="480"/>
        <w:jc w:val="both"/>
        <w:rPr>
          <w:sz w:val="24"/>
          <w:szCs w:val="24"/>
        </w:rPr>
      </w:pPr>
      <w:r>
        <w:rPr>
          <w:sz w:val="24"/>
          <w:szCs w:val="24"/>
        </w:rPr>
        <w:t xml:space="preserve">Naf’an. (2014). </w:t>
      </w:r>
      <w:r>
        <w:rPr>
          <w:i/>
          <w:iCs/>
          <w:sz w:val="24"/>
          <w:szCs w:val="24"/>
        </w:rPr>
        <w:t>Pembiayaan Musyarakah dan Mudharabah</w:t>
      </w:r>
      <w:r>
        <w:rPr>
          <w:sz w:val="24"/>
          <w:szCs w:val="24"/>
        </w:rPr>
        <w:t>. Yogyakarta: Graha Ilmu.</w:t>
      </w:r>
    </w:p>
    <w:p w14:paraId="2FF0A618">
      <w:pPr>
        <w:adjustRightInd w:val="0"/>
        <w:ind w:left="480" w:hanging="480"/>
        <w:jc w:val="both"/>
        <w:rPr>
          <w:sz w:val="24"/>
          <w:szCs w:val="24"/>
        </w:rPr>
      </w:pPr>
      <w:r>
        <w:rPr>
          <w:sz w:val="24"/>
          <w:szCs w:val="24"/>
        </w:rPr>
        <w:t xml:space="preserve">Nasrudin, J. (2020). </w:t>
      </w:r>
      <w:r>
        <w:rPr>
          <w:i/>
          <w:iCs/>
          <w:sz w:val="24"/>
          <w:szCs w:val="24"/>
        </w:rPr>
        <w:t>Refleksi Keberagamaan dalam Sistem Pengobatan Tradisional Masyarakat Pedesaan</w:t>
      </w:r>
      <w:r>
        <w:rPr>
          <w:sz w:val="24"/>
          <w:szCs w:val="24"/>
        </w:rPr>
        <w:t>. Depok: PT. Rajagrafindo Persada.</w:t>
      </w:r>
    </w:p>
    <w:p w14:paraId="3E20BDF0">
      <w:pPr>
        <w:adjustRightInd w:val="0"/>
        <w:ind w:left="480" w:hanging="480"/>
        <w:jc w:val="both"/>
        <w:rPr>
          <w:sz w:val="24"/>
          <w:szCs w:val="24"/>
        </w:rPr>
      </w:pPr>
      <w:r>
        <w:rPr>
          <w:sz w:val="24"/>
          <w:szCs w:val="24"/>
        </w:rPr>
        <w:t xml:space="preserve">Nasrullah, M. (2015). Islamic Branding, Religiusitas dan Keputusan Konsumen Terhadap Produk. </w:t>
      </w:r>
      <w:r>
        <w:rPr>
          <w:i/>
          <w:iCs/>
          <w:sz w:val="24"/>
          <w:szCs w:val="24"/>
        </w:rPr>
        <w:t>Jurnal Hukum Islam (JHI)</w:t>
      </w:r>
      <w:r>
        <w:rPr>
          <w:sz w:val="24"/>
          <w:szCs w:val="24"/>
        </w:rPr>
        <w:t xml:space="preserve">, </w:t>
      </w:r>
      <w:r>
        <w:rPr>
          <w:i/>
          <w:iCs/>
          <w:sz w:val="24"/>
          <w:szCs w:val="24"/>
        </w:rPr>
        <w:t>13</w:t>
      </w:r>
      <w:r>
        <w:rPr>
          <w:sz w:val="24"/>
          <w:szCs w:val="24"/>
        </w:rPr>
        <w:t>(2), 79–87.</w:t>
      </w:r>
    </w:p>
    <w:p w14:paraId="09236427">
      <w:pPr>
        <w:adjustRightInd w:val="0"/>
        <w:ind w:left="480" w:hanging="480"/>
        <w:jc w:val="both"/>
        <w:rPr>
          <w:sz w:val="24"/>
          <w:szCs w:val="24"/>
        </w:rPr>
      </w:pPr>
      <w:r>
        <w:rPr>
          <w:sz w:val="24"/>
          <w:szCs w:val="24"/>
        </w:rPr>
        <w:t xml:space="preserve">Nurdiansyah, Jannah, F., &amp; Yulianadewi, I. (2023). Pengaruh Faktor Religiusitas Terhadap Keputusan Nasabah Memilih Produk Tabungan Pada PT. Bank BNI Syariah Cabang Makassar. </w:t>
      </w:r>
      <w:r>
        <w:rPr>
          <w:i/>
          <w:iCs/>
          <w:sz w:val="24"/>
          <w:szCs w:val="24"/>
        </w:rPr>
        <w:t>PAMJou</w:t>
      </w:r>
      <w:r>
        <w:rPr>
          <w:sz w:val="24"/>
          <w:szCs w:val="24"/>
        </w:rPr>
        <w:t xml:space="preserve">, </w:t>
      </w:r>
      <w:r>
        <w:rPr>
          <w:i/>
          <w:iCs/>
          <w:sz w:val="24"/>
          <w:szCs w:val="24"/>
        </w:rPr>
        <w:t>7</w:t>
      </w:r>
      <w:r>
        <w:rPr>
          <w:sz w:val="24"/>
          <w:szCs w:val="24"/>
        </w:rPr>
        <w:t>(1), 21–38.</w:t>
      </w:r>
    </w:p>
    <w:p w14:paraId="2DC5D5FB">
      <w:pPr>
        <w:adjustRightInd w:val="0"/>
        <w:ind w:left="480" w:hanging="480"/>
        <w:jc w:val="both"/>
        <w:rPr>
          <w:sz w:val="24"/>
          <w:szCs w:val="24"/>
        </w:rPr>
      </w:pPr>
      <w:r>
        <w:rPr>
          <w:sz w:val="24"/>
          <w:szCs w:val="24"/>
        </w:rPr>
        <w:t xml:space="preserve">Nurhasanah, U., Nasution, Y. S. J., &amp; Harianto, B. (2024). Analisis Pengaruh Religiusitas, Motivasi Rasional dan Emosional Terhadap Keputusan Dalam Menggunakan Jasa Bank Syariah (Studi Kasus Bank Muamalat KCP Stabat). </w:t>
      </w:r>
      <w:r>
        <w:rPr>
          <w:i/>
          <w:iCs/>
          <w:sz w:val="24"/>
          <w:szCs w:val="24"/>
        </w:rPr>
        <w:t>Jesya</w:t>
      </w:r>
      <w:r>
        <w:rPr>
          <w:sz w:val="24"/>
          <w:szCs w:val="24"/>
        </w:rPr>
        <w:t xml:space="preserve">, </w:t>
      </w:r>
      <w:r>
        <w:rPr>
          <w:i/>
          <w:iCs/>
          <w:sz w:val="24"/>
          <w:szCs w:val="24"/>
        </w:rPr>
        <w:t>7</w:t>
      </w:r>
      <w:r>
        <w:rPr>
          <w:sz w:val="24"/>
          <w:szCs w:val="24"/>
        </w:rPr>
        <w:t>(2), 1998–2013. https://doi.org/10.36778/jesya.v7i2.1726</w:t>
      </w:r>
    </w:p>
    <w:p w14:paraId="19AEBF4D">
      <w:pPr>
        <w:adjustRightInd w:val="0"/>
        <w:ind w:left="480" w:hanging="480"/>
        <w:jc w:val="both"/>
        <w:rPr>
          <w:sz w:val="24"/>
          <w:szCs w:val="24"/>
        </w:rPr>
      </w:pPr>
      <w:r>
        <w:rPr>
          <w:sz w:val="24"/>
          <w:szCs w:val="24"/>
        </w:rPr>
        <w:t xml:space="preserve">Putra, E. R. H., &amp; Mulazid, A. S. (2018). Pengaruh Lokasi, Bagi Hasil dan Promosi terhadap Proses Keputusan Nasabah Menabung di PT Panin Dubai Syariah Bank. </w:t>
      </w:r>
      <w:r>
        <w:rPr>
          <w:i/>
          <w:iCs/>
          <w:sz w:val="24"/>
          <w:szCs w:val="24"/>
        </w:rPr>
        <w:t>Li Falah: Jurnal Studi Ekonomi Dan Bisnis Islam</w:t>
      </w:r>
      <w:r>
        <w:rPr>
          <w:sz w:val="24"/>
          <w:szCs w:val="24"/>
        </w:rPr>
        <w:t xml:space="preserve">, </w:t>
      </w:r>
      <w:r>
        <w:rPr>
          <w:i/>
          <w:iCs/>
          <w:sz w:val="24"/>
          <w:szCs w:val="24"/>
        </w:rPr>
        <w:t>3</w:t>
      </w:r>
      <w:r>
        <w:rPr>
          <w:sz w:val="24"/>
          <w:szCs w:val="24"/>
        </w:rPr>
        <w:t>(1), 1–17. https://doi.org/10.31332/lifalah.v3i1.1184</w:t>
      </w:r>
    </w:p>
    <w:p w14:paraId="5FED9A87">
      <w:pPr>
        <w:adjustRightInd w:val="0"/>
        <w:ind w:left="480" w:hanging="480"/>
        <w:jc w:val="both"/>
        <w:rPr>
          <w:sz w:val="24"/>
          <w:szCs w:val="24"/>
        </w:rPr>
      </w:pPr>
      <w:r>
        <w:rPr>
          <w:sz w:val="24"/>
          <w:szCs w:val="24"/>
        </w:rPr>
        <w:t xml:space="preserve">Robyani, N. M., Ritonga, A. H., &amp; Mubyarto, N. (2022). Pengaruh Religiusitas, Pelayanan, dan Promosi terhadap Keputusan Menabung Di Bank Syariah. </w:t>
      </w:r>
      <w:r>
        <w:rPr>
          <w:i/>
          <w:iCs/>
          <w:sz w:val="24"/>
          <w:szCs w:val="24"/>
        </w:rPr>
        <w:t>Journal of Comprehensive Islamic Studies</w:t>
      </w:r>
      <w:r>
        <w:rPr>
          <w:sz w:val="24"/>
          <w:szCs w:val="24"/>
        </w:rPr>
        <w:t xml:space="preserve">, </w:t>
      </w:r>
      <w:r>
        <w:rPr>
          <w:i/>
          <w:iCs/>
          <w:sz w:val="24"/>
          <w:szCs w:val="24"/>
        </w:rPr>
        <w:t>1</w:t>
      </w:r>
      <w:r>
        <w:rPr>
          <w:sz w:val="24"/>
          <w:szCs w:val="24"/>
        </w:rPr>
        <w:t>(2), 391–426. https://doi.org/10.56436/jocis.v1i2.91</w:t>
      </w:r>
    </w:p>
    <w:p w14:paraId="394E17AB">
      <w:pPr>
        <w:adjustRightInd w:val="0"/>
        <w:ind w:left="480" w:hanging="480"/>
        <w:jc w:val="both"/>
        <w:rPr>
          <w:sz w:val="24"/>
          <w:szCs w:val="24"/>
        </w:rPr>
      </w:pPr>
      <w:r>
        <w:rPr>
          <w:sz w:val="24"/>
          <w:szCs w:val="24"/>
        </w:rPr>
        <w:t xml:space="preserve">Saputra, A. E. (2022). Pengaruh Pengetahuan, Promosi, Dan Fasilitas Terhadap Keputusan Menabung Dengan Minat Menabung Sebagai Variabel Intervening. </w:t>
      </w:r>
      <w:r>
        <w:rPr>
          <w:i/>
          <w:iCs/>
          <w:sz w:val="24"/>
          <w:szCs w:val="24"/>
        </w:rPr>
        <w:t>Jurnal Al Mujaddid Humaniora</w:t>
      </w:r>
      <w:r>
        <w:rPr>
          <w:sz w:val="24"/>
          <w:szCs w:val="24"/>
        </w:rPr>
        <w:t xml:space="preserve">, </w:t>
      </w:r>
      <w:r>
        <w:rPr>
          <w:i/>
          <w:iCs/>
          <w:sz w:val="24"/>
          <w:szCs w:val="24"/>
        </w:rPr>
        <w:t>8</w:t>
      </w:r>
      <w:r>
        <w:rPr>
          <w:sz w:val="24"/>
          <w:szCs w:val="24"/>
        </w:rPr>
        <w:t>(1), 8–20. https://doi.org/10.58553/jalhu.v8i1.116</w:t>
      </w:r>
    </w:p>
    <w:p w14:paraId="03EEC0CF">
      <w:pPr>
        <w:adjustRightInd w:val="0"/>
        <w:ind w:left="480" w:hanging="480"/>
        <w:jc w:val="both"/>
        <w:rPr>
          <w:sz w:val="24"/>
          <w:szCs w:val="24"/>
        </w:rPr>
      </w:pPr>
      <w:r>
        <w:rPr>
          <w:sz w:val="24"/>
          <w:szCs w:val="24"/>
        </w:rPr>
        <w:t xml:space="preserve">Sari, N. E., Amah, N., &amp; Wirawan, Y. R. (2017). Penerapan Prinsip Bagi Hasil Dan Pengaruhnya Terhadap Keputusan Menabung Pada Nasabah Bank Muamalat Kantor Cabang Madiun. </w:t>
      </w:r>
      <w:r>
        <w:rPr>
          <w:i/>
          <w:iCs/>
          <w:sz w:val="24"/>
          <w:szCs w:val="24"/>
        </w:rPr>
        <w:t>PROMOSI (Jurnal Pendidikan Ekonomi)</w:t>
      </w:r>
      <w:r>
        <w:rPr>
          <w:sz w:val="24"/>
          <w:szCs w:val="24"/>
        </w:rPr>
        <w:t xml:space="preserve">, </w:t>
      </w:r>
      <w:r>
        <w:rPr>
          <w:i/>
          <w:iCs/>
          <w:sz w:val="24"/>
          <w:szCs w:val="24"/>
        </w:rPr>
        <w:t>5</w:t>
      </w:r>
      <w:r>
        <w:rPr>
          <w:sz w:val="24"/>
          <w:szCs w:val="24"/>
        </w:rPr>
        <w:t>(2), 60–67. https://doi.org/10.24127/ja.v5i2.1214</w:t>
      </w:r>
    </w:p>
    <w:p w14:paraId="796775D3">
      <w:pPr>
        <w:adjustRightInd w:val="0"/>
        <w:ind w:left="480" w:hanging="480"/>
        <w:jc w:val="both"/>
        <w:rPr>
          <w:sz w:val="24"/>
          <w:szCs w:val="24"/>
        </w:rPr>
      </w:pPr>
      <w:r>
        <w:rPr>
          <w:sz w:val="24"/>
          <w:szCs w:val="24"/>
        </w:rPr>
        <w:t xml:space="preserve">Shofwa, Y. (2016). Pengaruh Kualitas Produk Dan Religiusitas Terhadap Keputusan Nasabah Produk Simpanan Pada BSM Cabang Purwokerto. </w:t>
      </w:r>
      <w:r>
        <w:rPr>
          <w:i/>
          <w:iCs/>
          <w:sz w:val="24"/>
          <w:szCs w:val="24"/>
        </w:rPr>
        <w:t>El-Jizya : Jurnal Ekonomi Islam</w:t>
      </w:r>
      <w:r>
        <w:rPr>
          <w:sz w:val="24"/>
          <w:szCs w:val="24"/>
        </w:rPr>
        <w:t xml:space="preserve">, </w:t>
      </w:r>
      <w:r>
        <w:rPr>
          <w:i/>
          <w:iCs/>
          <w:sz w:val="24"/>
          <w:szCs w:val="24"/>
        </w:rPr>
        <w:t>4</w:t>
      </w:r>
      <w:r>
        <w:rPr>
          <w:sz w:val="24"/>
          <w:szCs w:val="24"/>
        </w:rPr>
        <w:t>(1), 189–217. https://doi.org/10.24090/ej.v4i1.2016.pp189-215</w:t>
      </w:r>
    </w:p>
    <w:p w14:paraId="11201B70">
      <w:pPr>
        <w:adjustRightInd w:val="0"/>
        <w:ind w:left="480" w:hanging="480"/>
        <w:jc w:val="both"/>
        <w:rPr>
          <w:sz w:val="24"/>
          <w:szCs w:val="24"/>
        </w:rPr>
      </w:pPr>
      <w:r>
        <w:rPr>
          <w:sz w:val="24"/>
          <w:szCs w:val="24"/>
        </w:rPr>
        <w:t xml:space="preserve">Sudianto, &amp; Linda. (2023). Penggunaan Layanan Jasa Transfer Melalui Muamalat DIN (Digital Islamic Network) Dalam Meningkatkan Loyalitas Nasabah. </w:t>
      </w:r>
      <w:r>
        <w:rPr>
          <w:i/>
          <w:iCs/>
          <w:sz w:val="24"/>
          <w:szCs w:val="24"/>
        </w:rPr>
        <w:t>Jurnal Ekonomi, Bisnis, Dan Manajemen</w:t>
      </w:r>
      <w:r>
        <w:rPr>
          <w:sz w:val="24"/>
          <w:szCs w:val="24"/>
        </w:rPr>
        <w:t xml:space="preserve">, </w:t>
      </w:r>
      <w:r>
        <w:rPr>
          <w:i/>
          <w:iCs/>
          <w:sz w:val="24"/>
          <w:szCs w:val="24"/>
        </w:rPr>
        <w:t>4</w:t>
      </w:r>
      <w:r>
        <w:rPr>
          <w:sz w:val="24"/>
          <w:szCs w:val="24"/>
        </w:rPr>
        <w:t>(1), 147–160.</w:t>
      </w:r>
    </w:p>
    <w:p w14:paraId="17C94DDD">
      <w:pPr>
        <w:adjustRightInd w:val="0"/>
        <w:ind w:left="480" w:hanging="480"/>
        <w:jc w:val="both"/>
        <w:rPr>
          <w:sz w:val="24"/>
          <w:szCs w:val="24"/>
        </w:rPr>
      </w:pPr>
      <w:r>
        <w:rPr>
          <w:sz w:val="24"/>
          <w:szCs w:val="24"/>
        </w:rPr>
        <w:t xml:space="preserve">Sudrajat, B., &amp; Juwairiyah. (2018). Pengaruh Kualitas Pelayanan, Profit Sharing Dan Promosi Terhadap Keputusan Nasabah Dalam Memilih Produk Siagakoe Pada Nasabah Perusahaan Bumida Cabang Serang. </w:t>
      </w:r>
      <w:r>
        <w:rPr>
          <w:i/>
          <w:iCs/>
          <w:sz w:val="24"/>
          <w:szCs w:val="24"/>
        </w:rPr>
        <w:t>Syar’Insurance: Jurnal Asuransi Syariah</w:t>
      </w:r>
      <w:r>
        <w:rPr>
          <w:sz w:val="24"/>
          <w:szCs w:val="24"/>
        </w:rPr>
        <w:t xml:space="preserve">, </w:t>
      </w:r>
      <w:r>
        <w:rPr>
          <w:i/>
          <w:iCs/>
          <w:sz w:val="24"/>
          <w:szCs w:val="24"/>
        </w:rPr>
        <w:t>4</w:t>
      </w:r>
      <w:r>
        <w:rPr>
          <w:sz w:val="24"/>
          <w:szCs w:val="24"/>
        </w:rPr>
        <w:t>(1), 183–202. https://doi.org/10.32678/sijas.v4i2.2957</w:t>
      </w:r>
    </w:p>
    <w:p w14:paraId="20BCD747">
      <w:pPr>
        <w:adjustRightInd w:val="0"/>
        <w:ind w:left="480" w:hanging="480"/>
        <w:jc w:val="both"/>
        <w:rPr>
          <w:sz w:val="24"/>
          <w:szCs w:val="24"/>
        </w:rPr>
      </w:pPr>
      <w:r>
        <w:rPr>
          <w:sz w:val="24"/>
          <w:szCs w:val="24"/>
        </w:rPr>
        <w:t xml:space="preserve">Susanti, N. I., Inayah, N., &amp; Hamzah, N. M. (2020). Pengaruh Faktor Keluarga, Religiusitas dan Kualitas Produk Terhadap Keputusan Nasabah Memilih Bank Konvensional (Studi kasus Mahasiswa Ekonomi Syariah IAI Darussalam). </w:t>
      </w:r>
      <w:r>
        <w:rPr>
          <w:i/>
          <w:iCs/>
          <w:sz w:val="24"/>
          <w:szCs w:val="24"/>
        </w:rPr>
        <w:t>Malia: Jurnal Ekonomi Islam</w:t>
      </w:r>
      <w:r>
        <w:rPr>
          <w:sz w:val="24"/>
          <w:szCs w:val="24"/>
        </w:rPr>
        <w:t xml:space="preserve">, </w:t>
      </w:r>
      <w:r>
        <w:rPr>
          <w:i/>
          <w:iCs/>
          <w:sz w:val="24"/>
          <w:szCs w:val="24"/>
        </w:rPr>
        <w:t>11</w:t>
      </w:r>
      <w:r>
        <w:rPr>
          <w:sz w:val="24"/>
          <w:szCs w:val="24"/>
        </w:rPr>
        <w:t>(2), 221–240. https://doi.org/10.35891/ml.v11i2.2104</w:t>
      </w:r>
    </w:p>
    <w:p w14:paraId="079B76EB">
      <w:pPr>
        <w:adjustRightInd w:val="0"/>
        <w:ind w:left="480" w:hanging="480"/>
        <w:jc w:val="both"/>
        <w:rPr>
          <w:sz w:val="24"/>
          <w:szCs w:val="24"/>
        </w:rPr>
      </w:pPr>
      <w:r>
        <w:rPr>
          <w:sz w:val="24"/>
          <w:szCs w:val="24"/>
        </w:rPr>
        <w:t xml:space="preserve">Syarifuddin, M. A. F., Gani, N., &amp; Rahman, M. A. (2021). Pengaruh Pengetahuan, Kualitas Produk Dan Promosi Terhadap Keputusan Nasabah Menabung Di Bank Syariah Mandiri Cabang Makassar. </w:t>
      </w:r>
      <w:r>
        <w:rPr>
          <w:i/>
          <w:iCs/>
          <w:sz w:val="24"/>
          <w:szCs w:val="24"/>
        </w:rPr>
        <w:t>Islamic Banking,EconomicandFinancialJournal</w:t>
      </w:r>
      <w:r>
        <w:rPr>
          <w:sz w:val="24"/>
          <w:szCs w:val="24"/>
        </w:rPr>
        <w:t xml:space="preserve">, </w:t>
      </w:r>
      <w:r>
        <w:rPr>
          <w:i/>
          <w:iCs/>
          <w:sz w:val="24"/>
          <w:szCs w:val="24"/>
        </w:rPr>
        <w:t>1</w:t>
      </w:r>
      <w:r>
        <w:rPr>
          <w:sz w:val="24"/>
          <w:szCs w:val="24"/>
        </w:rPr>
        <w:t>(2), 18–36.</w:t>
      </w:r>
    </w:p>
    <w:p w14:paraId="722DCAB8">
      <w:pPr>
        <w:adjustRightInd w:val="0"/>
        <w:ind w:left="480" w:hanging="480"/>
        <w:jc w:val="both"/>
        <w:rPr>
          <w:sz w:val="24"/>
          <w:szCs w:val="24"/>
        </w:rPr>
      </w:pPr>
      <w:r>
        <w:rPr>
          <w:sz w:val="24"/>
          <w:szCs w:val="24"/>
        </w:rPr>
        <w:t xml:space="preserve">Tekdogan, O. F., &amp; Atasoy, B. S. (2021). Does Islamic Banking Promote Financial Stability? Evidence From an Agent-Based Model. </w:t>
      </w:r>
      <w:r>
        <w:rPr>
          <w:i/>
          <w:iCs/>
          <w:sz w:val="24"/>
          <w:szCs w:val="24"/>
        </w:rPr>
        <w:t>Journal of Islamic Monetary Economics and Finance</w:t>
      </w:r>
      <w:r>
        <w:rPr>
          <w:sz w:val="24"/>
          <w:szCs w:val="24"/>
        </w:rPr>
        <w:t xml:space="preserve">, </w:t>
      </w:r>
      <w:r>
        <w:rPr>
          <w:i/>
          <w:iCs/>
          <w:sz w:val="24"/>
          <w:szCs w:val="24"/>
        </w:rPr>
        <w:t>7</w:t>
      </w:r>
      <w:r>
        <w:rPr>
          <w:sz w:val="24"/>
          <w:szCs w:val="24"/>
        </w:rPr>
        <w:t>(2), 201–232. https://doi.org/10.21098/jimf.v7i2.1323</w:t>
      </w:r>
    </w:p>
    <w:p w14:paraId="61C6DB45">
      <w:pPr>
        <w:adjustRightInd w:val="0"/>
        <w:ind w:left="480" w:hanging="480"/>
        <w:jc w:val="both"/>
        <w:rPr>
          <w:sz w:val="24"/>
          <w:szCs w:val="24"/>
        </w:rPr>
      </w:pPr>
      <w:r>
        <w:rPr>
          <w:sz w:val="24"/>
          <w:szCs w:val="24"/>
        </w:rPr>
        <w:t xml:space="preserve">Tjiptono, F. (2014). </w:t>
      </w:r>
      <w:r>
        <w:rPr>
          <w:i/>
          <w:iCs/>
          <w:sz w:val="24"/>
          <w:szCs w:val="24"/>
        </w:rPr>
        <w:t>Pemasaran Jasa: Prinsip, Penerapan dan Penelitian</w:t>
      </w:r>
      <w:r>
        <w:rPr>
          <w:sz w:val="24"/>
          <w:szCs w:val="24"/>
        </w:rPr>
        <w:t>. Yogyakarta: Andi Offset.</w:t>
      </w:r>
    </w:p>
    <w:p w14:paraId="24D6CB99">
      <w:pPr>
        <w:adjustRightInd w:val="0"/>
        <w:ind w:left="480" w:hanging="480"/>
        <w:jc w:val="both"/>
        <w:rPr>
          <w:sz w:val="24"/>
          <w:szCs w:val="24"/>
        </w:rPr>
      </w:pPr>
      <w:r>
        <w:rPr>
          <w:sz w:val="24"/>
          <w:szCs w:val="24"/>
        </w:rPr>
        <w:t xml:space="preserve">Toha, M., Maulana, I., Mubarak, A., &amp; Al-ardani, M. B. (2024). Pengaruh Brand Image, Religiusitas dan Lokasi Terhadap Keputusan Menjadi Nasabah Bank Syariah (Studi Kasus Pada Mahasiswa Universitas Al-Amien Prenduan). </w:t>
      </w:r>
      <w:r>
        <w:rPr>
          <w:i/>
          <w:iCs/>
          <w:sz w:val="24"/>
          <w:szCs w:val="24"/>
        </w:rPr>
        <w:t>Masyrif: Jurnal Eonomi, Bisnis Dan Manajemen</w:t>
      </w:r>
      <w:r>
        <w:rPr>
          <w:sz w:val="24"/>
          <w:szCs w:val="24"/>
        </w:rPr>
        <w:t xml:space="preserve">, </w:t>
      </w:r>
      <w:r>
        <w:rPr>
          <w:i/>
          <w:iCs/>
          <w:sz w:val="24"/>
          <w:szCs w:val="24"/>
        </w:rPr>
        <w:t>5</w:t>
      </w:r>
      <w:r>
        <w:rPr>
          <w:sz w:val="24"/>
          <w:szCs w:val="24"/>
        </w:rPr>
        <w:t>(1), 141–158.</w:t>
      </w:r>
    </w:p>
    <w:p w14:paraId="5F4D64C7">
      <w:pPr>
        <w:adjustRightInd w:val="0"/>
        <w:ind w:left="480" w:hanging="480"/>
        <w:jc w:val="both"/>
        <w:rPr>
          <w:sz w:val="24"/>
          <w:szCs w:val="24"/>
        </w:rPr>
      </w:pPr>
      <w:r>
        <w:rPr>
          <w:sz w:val="24"/>
          <w:szCs w:val="24"/>
        </w:rPr>
        <w:t xml:space="preserve">Winanti, W., Bahri, S., Nurbaeti, A., &amp; Novita, D. (2021). Pengaruh Kualitas Produk dan Promosi Terhadap Keputusan Nasabah Memilih Tabungan Amanah Di BMT Purwakarta Amanah Sejahtera. </w:t>
      </w:r>
      <w:r>
        <w:rPr>
          <w:i/>
          <w:iCs/>
          <w:sz w:val="24"/>
          <w:szCs w:val="24"/>
        </w:rPr>
        <w:t>EKSISBANK: Ekonomi Syariah Dan Bisnis Perbankan</w:t>
      </w:r>
      <w:r>
        <w:rPr>
          <w:sz w:val="24"/>
          <w:szCs w:val="24"/>
        </w:rPr>
        <w:t xml:space="preserve">, </w:t>
      </w:r>
      <w:r>
        <w:rPr>
          <w:i/>
          <w:iCs/>
          <w:sz w:val="24"/>
          <w:szCs w:val="24"/>
        </w:rPr>
        <w:t>5</w:t>
      </w:r>
      <w:r>
        <w:rPr>
          <w:sz w:val="24"/>
          <w:szCs w:val="24"/>
        </w:rPr>
        <w:t>(2), 273–298. https://doi.org/10.37726/ee.v5i2.172</w:t>
      </w:r>
    </w:p>
    <w:p w14:paraId="372008F9">
      <w:pPr>
        <w:adjustRightInd w:val="0"/>
        <w:ind w:left="480" w:hanging="480"/>
        <w:jc w:val="both"/>
        <w:rPr>
          <w:sz w:val="24"/>
          <w:szCs w:val="24"/>
        </w:rPr>
      </w:pPr>
      <w:r>
        <w:rPr>
          <w:sz w:val="24"/>
          <w:szCs w:val="24"/>
        </w:rPr>
        <w:t xml:space="preserve">Wiranata, A. (2023). Pengaruh Nisbah Bagi Hasil, Citra Merek, dan Kepercayaan Terhadap Keputusan Memilih Tabungan Mudharabah Pada Bank BNI Syariah Unit Pamenag Kabupaten Merangin. </w:t>
      </w:r>
      <w:r>
        <w:rPr>
          <w:i/>
          <w:iCs/>
          <w:sz w:val="24"/>
          <w:szCs w:val="24"/>
        </w:rPr>
        <w:t>Sosio Akademika</w:t>
      </w:r>
      <w:r>
        <w:rPr>
          <w:sz w:val="24"/>
          <w:szCs w:val="24"/>
        </w:rPr>
        <w:t xml:space="preserve">, </w:t>
      </w:r>
      <w:r>
        <w:rPr>
          <w:i/>
          <w:iCs/>
          <w:sz w:val="24"/>
          <w:szCs w:val="24"/>
        </w:rPr>
        <w:t>13</w:t>
      </w:r>
      <w:r>
        <w:rPr>
          <w:sz w:val="24"/>
          <w:szCs w:val="24"/>
        </w:rPr>
        <w:t>(1), 75–87. Retrieved from https://medium.com/@arifwicaksanaa/pengertian-use-case-a7e576e1b6bf</w:t>
      </w:r>
    </w:p>
    <w:p w14:paraId="63051AC3">
      <w:pPr>
        <w:adjustRightInd w:val="0"/>
        <w:ind w:left="480" w:hanging="480"/>
        <w:jc w:val="both"/>
        <w:rPr>
          <w:sz w:val="24"/>
          <w:szCs w:val="24"/>
        </w:rPr>
      </w:pPr>
      <w:r>
        <w:rPr>
          <w:sz w:val="24"/>
          <w:szCs w:val="24"/>
        </w:rPr>
        <w:t xml:space="preserve">Yusuf, R., Marzuki, Agusmadi, Marah, S. R., &amp; Usman. (2023). Pengaruh Kualitas Pelayanan, Bagi Hasil &amp; Pengetahuan Produk Terhadap Keputusan Nasabah Menabung Pada Bank Aceh Syariah Kota Langsa. </w:t>
      </w:r>
      <w:r>
        <w:rPr>
          <w:i/>
          <w:iCs/>
          <w:sz w:val="24"/>
          <w:szCs w:val="24"/>
        </w:rPr>
        <w:t>Jurnal Pendidikan, Sains, Dan Humaniora</w:t>
      </w:r>
      <w:r>
        <w:rPr>
          <w:sz w:val="24"/>
          <w:szCs w:val="24"/>
        </w:rPr>
        <w:t xml:space="preserve">, </w:t>
      </w:r>
      <w:r>
        <w:rPr>
          <w:i/>
          <w:iCs/>
          <w:sz w:val="24"/>
          <w:szCs w:val="24"/>
        </w:rPr>
        <w:t>11</w:t>
      </w:r>
      <w:r>
        <w:rPr>
          <w:sz w:val="24"/>
          <w:szCs w:val="24"/>
        </w:rPr>
        <w:t>(1), 68–77.</w:t>
      </w:r>
    </w:p>
    <w:p w14:paraId="55E090AB">
      <w:pPr>
        <w:adjustRightInd w:val="0"/>
        <w:ind w:left="480" w:hanging="480"/>
        <w:jc w:val="both"/>
        <w:rPr>
          <w:sz w:val="24"/>
          <w:szCs w:val="24"/>
        </w:rPr>
      </w:pPr>
      <w:r>
        <w:rPr>
          <w:sz w:val="24"/>
          <w:szCs w:val="24"/>
        </w:rPr>
        <w:t xml:space="preserve">Zahara, H. (2020). Pengaruh Promosi dan Kualitas Pelayanan Terhadap Keputusan Nasabah Menggunakan Tabungan IB Baitullah Pada BNI Syariah Kantor Cabang Medan. </w:t>
      </w:r>
      <w:r>
        <w:rPr>
          <w:i/>
          <w:iCs/>
          <w:sz w:val="24"/>
          <w:szCs w:val="24"/>
        </w:rPr>
        <w:t>Nisbah: Jurnal Perbankan Syariah</w:t>
      </w:r>
      <w:r>
        <w:rPr>
          <w:sz w:val="24"/>
          <w:szCs w:val="24"/>
        </w:rPr>
        <w:t xml:space="preserve">, </w:t>
      </w:r>
      <w:r>
        <w:rPr>
          <w:i/>
          <w:iCs/>
          <w:sz w:val="24"/>
          <w:szCs w:val="24"/>
        </w:rPr>
        <w:t>6</w:t>
      </w:r>
      <w:r>
        <w:rPr>
          <w:sz w:val="24"/>
          <w:szCs w:val="24"/>
        </w:rPr>
        <w:t>(1), 49–55. https://doi.org/10.30997/jn.v6i1.2854</w:t>
      </w:r>
    </w:p>
    <w:p w14:paraId="231AC431">
      <w:pPr>
        <w:adjustRightInd w:val="0"/>
        <w:ind w:left="480" w:hanging="480"/>
        <w:jc w:val="both"/>
        <w:rPr>
          <w:sz w:val="24"/>
          <w:szCs w:val="24"/>
        </w:rPr>
      </w:pPr>
      <w:r>
        <w:rPr>
          <w:sz w:val="24"/>
          <w:szCs w:val="24"/>
        </w:rPr>
        <w:t xml:space="preserve">Zein, A. S. (2018). Analisis Perilaku Nasabah Dalam Memilih Bank Syariah Di Kabupaten Mandailing Natal. </w:t>
      </w:r>
      <w:r>
        <w:rPr>
          <w:i/>
          <w:iCs/>
          <w:sz w:val="24"/>
          <w:szCs w:val="24"/>
        </w:rPr>
        <w:t>At-Tijaroh: Jurnal Ilmu Manajemen Dan Bisnis Islam</w:t>
      </w:r>
      <w:r>
        <w:rPr>
          <w:sz w:val="24"/>
          <w:szCs w:val="24"/>
        </w:rPr>
        <w:t xml:space="preserve">, </w:t>
      </w:r>
      <w:r>
        <w:rPr>
          <w:i/>
          <w:iCs/>
          <w:sz w:val="24"/>
          <w:szCs w:val="24"/>
        </w:rPr>
        <w:t>4</w:t>
      </w:r>
      <w:r>
        <w:rPr>
          <w:sz w:val="24"/>
          <w:szCs w:val="24"/>
        </w:rPr>
        <w:t>(2), 222–236. https://doi.org/10.24952/tijaroh.v4i2.1100</w:t>
      </w:r>
    </w:p>
    <w:p w14:paraId="54E55DFF">
      <w:pPr>
        <w:adjustRightInd w:val="0"/>
        <w:ind w:left="480" w:hanging="480"/>
        <w:jc w:val="both"/>
        <w:rPr>
          <w:sz w:val="24"/>
          <w:szCs w:val="24"/>
        </w:rPr>
      </w:pPr>
      <w:r>
        <w:rPr>
          <w:sz w:val="24"/>
          <w:szCs w:val="24"/>
        </w:rPr>
        <w:t xml:space="preserve">Zuhirsyan, M., &amp; Nurlinda. (2018). Pengaruh Religiusitas dan Persepsi Nasabah terhadap Keputusan Memilih Bank Syariah. </w:t>
      </w:r>
      <w:r>
        <w:rPr>
          <w:i/>
          <w:iCs/>
          <w:sz w:val="24"/>
          <w:szCs w:val="24"/>
        </w:rPr>
        <w:t>Al-Amwal : Jurnal Ekonomi Dan Perbankan Syari’ah</w:t>
      </w:r>
      <w:r>
        <w:rPr>
          <w:sz w:val="24"/>
          <w:szCs w:val="24"/>
        </w:rPr>
        <w:t xml:space="preserve">, </w:t>
      </w:r>
      <w:r>
        <w:rPr>
          <w:i/>
          <w:iCs/>
          <w:sz w:val="24"/>
          <w:szCs w:val="24"/>
        </w:rPr>
        <w:t>10</w:t>
      </w:r>
      <w:r>
        <w:rPr>
          <w:sz w:val="24"/>
          <w:szCs w:val="24"/>
        </w:rPr>
        <w:t>(1), 48–62. https://doi.org/10.24235/amwal.v10i1.2812</w:t>
      </w:r>
    </w:p>
    <w:p w14:paraId="0908D900">
      <w:pPr>
        <w:jc w:val="both"/>
        <w:rPr>
          <w:color w:val="000000" w:themeColor="text1"/>
          <w:sz w:val="24"/>
          <w:szCs w:val="24"/>
          <w:lang w:eastAsia="id-ID"/>
          <w14:textFill>
            <w14:solidFill>
              <w14:schemeClr w14:val="tx1"/>
            </w14:solidFill>
          </w14:textFill>
        </w:rPr>
        <w:sectPr>
          <w:headerReference r:id="rId5" w:type="default"/>
          <w:footerReference r:id="rId6" w:type="default"/>
          <w:pgSz w:w="11910" w:h="16840"/>
          <w:pgMar w:top="1260" w:right="1275" w:bottom="1400" w:left="1275" w:header="231" w:footer="1218" w:gutter="0"/>
          <w:pgNumType w:fmt="decimal"/>
          <w:cols w:equalWidth="0" w:num="2">
            <w:col w:w="4368" w:space="502"/>
            <w:col w:w="4490"/>
          </w:cols>
        </w:sectPr>
      </w:pPr>
      <w:r>
        <w:rPr>
          <w:sz w:val="24"/>
          <w:szCs w:val="24"/>
        </w:rPr>
        <w:fldChar w:fldCharType="end"/>
      </w:r>
    </w:p>
    <w:p w14:paraId="1996F49E">
      <w:pPr>
        <w:pStyle w:val="7"/>
        <w:spacing w:line="310" w:lineRule="atLeast"/>
        <w:ind w:left="0"/>
        <w:sectPr>
          <w:pgSz w:w="11910" w:h="16840"/>
          <w:pgMar w:top="1260" w:right="1275" w:bottom="1360" w:left="1275" w:header="175" w:footer="1165" w:gutter="0"/>
          <w:pgNumType w:fmt="decimal"/>
          <w:cols w:equalWidth="0" w:num="2">
            <w:col w:w="4367" w:space="502"/>
            <w:col w:w="4491"/>
          </w:cols>
        </w:sectPr>
      </w:pPr>
    </w:p>
    <w:p w14:paraId="25814DED">
      <w:pPr>
        <w:pStyle w:val="7"/>
        <w:ind w:left="0"/>
        <w:sectPr>
          <w:type w:val="continuous"/>
          <w:pgSz w:w="11910" w:h="16840"/>
          <w:pgMar w:top="1220" w:right="1275" w:bottom="1360" w:left="1275" w:header="175" w:footer="1165" w:gutter="0"/>
          <w:pgNumType w:fmt="decimal"/>
          <w:cols w:equalWidth="0" w:num="2">
            <w:col w:w="4366" w:space="503"/>
            <w:col w:w="4491"/>
          </w:cols>
        </w:sectPr>
      </w:pPr>
    </w:p>
    <w:p w14:paraId="25357280">
      <w:pPr>
        <w:sectPr>
          <w:headerReference r:id="rId7" w:type="default"/>
          <w:footerReference r:id="rId8" w:type="default"/>
          <w:type w:val="continuous"/>
          <w:pgSz w:w="11910" w:h="16840"/>
          <w:pgMar w:top="1260" w:right="1275" w:bottom="1400" w:left="1275" w:header="231" w:footer="1218" w:gutter="0"/>
          <w:pgNumType w:fmt="decimal"/>
          <w:cols w:space="502" w:num="2"/>
        </w:sectPr>
      </w:pPr>
    </w:p>
    <w:p w14:paraId="1742B5CC">
      <w:pPr>
        <w:sectPr>
          <w:headerReference r:id="rId9" w:type="default"/>
          <w:footerReference r:id="rId10" w:type="default"/>
          <w:type w:val="continuous"/>
          <w:pgSz w:w="11910" w:h="16840"/>
          <w:pgMar w:top="1219" w:right="1276" w:bottom="1361" w:left="1276" w:header="232" w:footer="1049" w:gutter="0"/>
          <w:pgNumType w:fmt="decimal"/>
          <w:cols w:space="720" w:num="2"/>
        </w:sectPr>
      </w:pPr>
    </w:p>
    <w:p w14:paraId="3C68986E">
      <w:pPr>
        <w:pStyle w:val="3"/>
        <w:spacing w:before="245"/>
        <w:ind w:left="0"/>
        <w:jc w:val="left"/>
        <w:rPr>
          <w:spacing w:val="-4"/>
        </w:rPr>
        <w:sectPr>
          <w:pgSz w:w="11910" w:h="16840"/>
          <w:pgMar w:top="1140" w:right="1275" w:bottom="1240" w:left="1275" w:header="231" w:footer="1050" w:gutter="0"/>
          <w:pgNumType w:fmt="decimal"/>
          <w:cols w:space="720" w:num="1"/>
        </w:sectPr>
      </w:pPr>
    </w:p>
    <w:p w14:paraId="4ADC7E31">
      <w:pPr>
        <w:pStyle w:val="7"/>
        <w:spacing w:before="120"/>
        <w:ind w:left="0" w:right="5031"/>
      </w:pPr>
    </w:p>
    <w:sectPr>
      <w:type w:val="continuous"/>
      <w:pgSz w:w="11910" w:h="16840"/>
      <w:pgMar w:top="1140" w:right="1275" w:bottom="1240" w:left="1275" w:header="231" w:footer="105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7E7D8">
    <w:pPr>
      <w:pStyle w:val="7"/>
      <w:spacing w:line="14" w:lineRule="auto"/>
      <w:ind w:left="0"/>
      <w:jc w:val="left"/>
      <w:rPr>
        <w:sz w:val="20"/>
      </w:rPr>
    </w:pPr>
    <w:r>
      <w:rPr>
        <w:sz w:val="20"/>
      </w:rPr>
      <mc:AlternateContent>
        <mc:Choice Requires="wps">
          <w:drawing>
            <wp:anchor distT="0" distB="0" distL="0" distR="0" simplePos="0" relativeHeight="251666432"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3" name="Graphic 3"/>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62.2pt;margin-top:771.25pt;height:0.1pt;width:472.35pt;mso-position-horizontal-relative:page;mso-position-vertical-relative:page;z-index:-25165004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gcUxbbAAAADgEAAA8AAAAA&#10;AAAAAQAgAAAAIgAAAGRycy9kb3ducmV2LnhtbFBLAQIUABQAAAAIAIdO4kAr9UXlEQIAAHoEAAAO&#10;AAAAAAAAAAEAIAAAACoBAABkcnMvZTJvRG9jLnhtbFBLBQYAAAAABgAGAFkBAACtBQ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6432" behindDoc="0" locked="0" layoutInCell="1" allowOverlap="1">
              <wp:simplePos x="0" y="0"/>
              <wp:positionH relativeFrom="margin">
                <wp:align>center</wp:align>
              </wp:positionH>
              <wp:positionV relativeFrom="paragraph">
                <wp:posOffset>0</wp:posOffset>
              </wp:positionV>
              <wp:extent cx="2413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D07ACAE">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top:0pt;height:15.3pt;width:19pt;mso-position-horizontal:center;mso-position-horizontal-relative:margin;z-index:251666432;mso-width-relative:page;mso-height-relative:page;" filled="f" stroked="f" coordsize="21600,21600" o:gfxdata="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OhT+9rW&#10;AAAABwEAAA8AAAAAAAAAAQAgAAAAIgAAAGRycy9kb3ducmV2LnhtbFBLAQIUABQAAAAIAIdO4kCm&#10;1YLrsAEAAHMDAAAOAAAAAAAAAAEAIAAAACUBAABkcnMvZTJvRG9jLnhtbFBLBQYAAAAABgAGAFkB&#10;AABHBQAAAAA=&#10;">
              <v:fill on="f" focussize="0,0"/>
              <v:stroke on="f"/>
              <v:imagedata o:title=""/>
              <o:lock v:ext="edit" aspectratio="f"/>
              <v:textbox inset="0mm,0mm,0mm,0mm">
                <w:txbxContent>
                  <w:p w14:paraId="3D07ACAE">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6F011">
    <w:pPr>
      <w:pStyle w:val="7"/>
      <w:spacing w:line="14" w:lineRule="auto"/>
      <w:ind w:left="0"/>
      <w:jc w:val="left"/>
      <w:rPr>
        <w:sz w:val="20"/>
      </w:rPr>
    </w:pPr>
    <w:r>
      <w:rPr>
        <w:sz w:val="20"/>
      </w:rPr>
      <mc:AlternateContent>
        <mc:Choice Requires="wps">
          <w:drawing>
            <wp:anchor distT="0" distB="0" distL="0" distR="0" simplePos="0" relativeHeight="251669504"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919263733"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62.2pt;margin-top:771.25pt;height:0.1pt;width:472.35pt;mso-position-horizontal-relative:page;mso-position-vertical-relative:page;z-index:-251646976;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BxTFtsAAAAO&#10;AQAADwAAAAAAAAABACAAAAAiAAAAZHJzL2Rvd25yZXYueG1sUEsBAhQAFAAAAAgAh07iQOFh1nwZ&#10;AgAAgwQAAA4AAAAAAAAAAQAgAAAAKgEAAGRycy9lMm9Eb2MueG1sUEsFBgAAAAAGAAYAWQEAALUF&#10;A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0528" behindDoc="0" locked="0" layoutInCell="1" allowOverlap="1">
              <wp:simplePos x="0" y="0"/>
              <wp:positionH relativeFrom="margin">
                <wp:align>center</wp:align>
              </wp:positionH>
              <wp:positionV relativeFrom="paragraph">
                <wp:posOffset>0</wp:posOffset>
              </wp:positionV>
              <wp:extent cx="317500" cy="194310"/>
              <wp:effectExtent l="0" t="0" r="0" b="0"/>
              <wp:wrapNone/>
              <wp:docPr id="2047805020"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26BED801">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top:0pt;height:15.3pt;width:25pt;mso-position-horizontal:center;mso-position-horizontal-relative:margin;z-index:251670528;mso-width-relative:page;mso-height-relative:page;" filled="f" stroked="f" coordsize="21600,21600" o:gfxdata="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gBk1QAAAAcBAAAPAAAAAAAAAAEAIAAAACIAAABkcnMvZG93bnJldi54bWxQSwECFAAU&#10;AAAACACHTuJA0gKiOrsBAAB9AwAADgAAAAAAAAABACAAAAAkAQAAZHJzL2Uyb0RvYy54bWxQSwUG&#10;AAAAAAYABgBZAQAAUQUAAAAA&#10;">
              <v:fill on="f" focussize="0,0"/>
              <v:stroke on="f"/>
              <v:imagedata o:title=""/>
              <o:lock v:ext="edit" aspectratio="f"/>
              <v:textbox inset="0mm,0mm,0mm,0mm">
                <w:txbxContent>
                  <w:p w14:paraId="26BED801">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5DAF">
    <w:pPr>
      <w:pStyle w:val="7"/>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31"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62.2pt;margin-top:771.25pt;height:0.1pt;width:472.35pt;mso-position-horizontal-relative:page;mso-position-vertical-relative:page;z-index:-25165516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HFMW2wAAAA4BAAAPAAAA&#10;AAAAAAEAIAAAACIAAABkcnMvZG93bnJldi54bWxQSwECFAAUAAAACACHTuJAXLgkLBICAAB8BAAA&#10;DgAAAAAAAAABACAAAAAqAQAAZHJzL2Uyb0RvYy54bWxQSwUGAAAAAAYABgBZAQAArgU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0" locked="0" layoutInCell="1" allowOverlap="1">
              <wp:simplePos x="0" y="0"/>
              <wp:positionH relativeFrom="margin">
                <wp:align>center</wp:align>
              </wp:positionH>
              <wp:positionV relativeFrom="paragraph">
                <wp:posOffset>0</wp:posOffset>
              </wp:positionV>
              <wp:extent cx="317500" cy="194310"/>
              <wp:effectExtent l="0" t="0" r="0" b="0"/>
              <wp:wrapNone/>
              <wp:docPr id="32"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2899BB72">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top:0pt;height:15.3pt;width:25pt;mso-position-horizontal:center;mso-position-horizontal-relative:margin;z-index:251662336;mso-width-relative:page;mso-height-relative:page;" filled="f" stroked="f" coordsize="21600,21600" o:gfxdata="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cdueTT&#10;AAAAAwEAAA8AAAAAAAAAAQAgAAAAIgAAAGRycy9kb3ducmV2LnhtbFBLAQIUABQAAAAIAIdO4kAB&#10;6eHTswEAAHUDAAAOAAAAAAAAAAEAIAAAACIBAABkcnMvZTJvRG9jLnhtbFBLBQYAAAAABgAGAFkB&#10;AABHBQAAAAA=&#10;">
              <v:fill on="f" focussize="0,0"/>
              <v:stroke on="f"/>
              <v:imagedata o:title=""/>
              <o:lock v:ext="edit" aspectratio="f"/>
              <v:textbox inset="0mm,0mm,0mm,0mm">
                <w:txbxContent>
                  <w:p w14:paraId="2899BB72">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3AF9C">
    <w:pPr>
      <w:pStyle w:val="7"/>
      <w:spacing w:line="14" w:lineRule="auto"/>
      <w:ind w:left="0"/>
      <w:jc w:val="left"/>
      <w:rPr>
        <w:sz w:val="20"/>
      </w:rPr>
    </w:pPr>
    <w:r>
      <w:rPr>
        <w:sz w:val="20"/>
      </w:rPr>
      <mc:AlternateContent>
        <mc:Choice Requires="wps">
          <w:drawing>
            <wp:anchor distT="0" distB="0" distL="0" distR="0" simplePos="0" relativeHeight="251664384" behindDoc="0" locked="0" layoutInCell="1" allowOverlap="1">
              <wp:simplePos x="0" y="0"/>
              <wp:positionH relativeFrom="margin">
                <wp:align>center</wp:align>
              </wp:positionH>
              <wp:positionV relativeFrom="paragraph">
                <wp:posOffset>0</wp:posOffset>
              </wp:positionV>
              <wp:extent cx="317500" cy="194310"/>
              <wp:effectExtent l="0" t="0" r="0" b="0"/>
              <wp:wrapNone/>
              <wp:docPr id="34" name="Textbox 34"/>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319746C8">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top:0pt;height:15.3pt;width:25pt;mso-position-horizontal:center;mso-position-horizontal-relative:margin;z-index:251664384;mso-width-relative:page;mso-height-relative:page;" filled="f" stroked="f" coordsize="21600,21600" o:gfxdata="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cdueTT&#10;AAAAAwEAAA8AAAAAAAAAAQAgAAAAIgAAAGRycy9kb3ducmV2LnhtbFBLAQIUABQAAAAIAIdO4kBH&#10;k00CswEAAHUDAAAOAAAAAAAAAAEAIAAAACIBAABkcnMvZTJvRG9jLnhtbFBLBQYAAAAABgAGAFkB&#10;AABHBQAAAAA=&#10;">
              <v:fill on="f" focussize="0,0"/>
              <v:stroke on="f"/>
              <v:imagedata o:title=""/>
              <o:lock v:ext="edit" aspectratio="f"/>
              <v:textbox inset="0mm,0mm,0mm,0mm">
                <w:txbxContent>
                  <w:p w14:paraId="319746C8">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C016">
    <w:pPr>
      <w:pStyle w:val="7"/>
      <w:spacing w:line="14" w:lineRule="auto"/>
      <w:ind w:left="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842010</wp:posOffset>
              </wp:positionH>
              <wp:positionV relativeFrom="page">
                <wp:posOffset>769620</wp:posOffset>
              </wp:positionV>
              <wp:extent cx="5808345" cy="1270"/>
              <wp:effectExtent l="0" t="0" r="0" b="0"/>
              <wp:wrapNone/>
              <wp:docPr id="1" name="Graphic 1"/>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66.3pt;margin-top:60.6pt;height:0.1pt;width:457.35pt;mso-position-horizontal-relative:page;mso-position-vertical-relative:page;z-index:-251651072;mso-width-relative:page;mso-height-relative:page;" filled="f" stroked="t" coordsize="5808345,1" o:gfxdata="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U8t29gAAAAMAQAADwAAAAAAAAAB&#10;ACAAAAAiAAAAZHJzL2Rvd25yZXYueG1sUEsBAhQAFAAAAAgAh07iQC5kNvAQAgAAegQAAA4AAAAA&#10;AAAAAQAgAAAAJwEAAGRycy9lMm9Eb2MueG1sUEsFBgAAAAAGAAYAWQEAAKkFAAA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901700</wp:posOffset>
              </wp:positionH>
              <wp:positionV relativeFrom="page">
                <wp:posOffset>97790</wp:posOffset>
              </wp:positionV>
              <wp:extent cx="1687195" cy="603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12F4E973">
                          <w:pPr>
                            <w:spacing w:line="322" w:lineRule="exact"/>
                            <w:ind w:left="20"/>
                            <w:rPr>
                              <w:b/>
                              <w:i/>
                              <w:sz w:val="30"/>
                            </w:rPr>
                          </w:pPr>
                          <w:r>
                            <w:rPr>
                              <w:b/>
                              <w:i/>
                              <w:spacing w:val="-2"/>
                              <w:w w:val="95"/>
                              <w:sz w:val="30"/>
                            </w:rPr>
                            <w:t>Strategi</w:t>
                          </w:r>
                        </w:p>
                        <w:p w14:paraId="58AC9D0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110A427">
                          <w:pPr>
                            <w:spacing w:line="192" w:lineRule="exact"/>
                            <w:ind w:left="20"/>
                            <w:rPr>
                              <w:rFonts w:hint="default" w:ascii="Tahoma"/>
                              <w:b/>
                              <w:sz w:val="16"/>
                              <w:lang w:val="en-US"/>
                            </w:rPr>
                          </w:pPr>
                          <w:r>
                            <w:rPr>
                              <w:rFonts w:ascii="Tahoma"/>
                              <w:b/>
                              <w:sz w:val="16"/>
                            </w:rPr>
                            <w:t>Halaman</w:t>
                          </w:r>
                          <w:r>
                            <w:rPr>
                              <w:rFonts w:ascii="Tahoma"/>
                              <w:b/>
                              <w:spacing w:val="-5"/>
                              <w:sz w:val="16"/>
                            </w:rPr>
                            <w:t xml:space="preserve"> </w:t>
                          </w:r>
                          <w:r>
                            <w:rPr>
                              <w:rFonts w:ascii="Tahoma"/>
                              <w:b/>
                              <w:sz w:val="16"/>
                            </w:rPr>
                            <w:t xml:space="preserve">: </w:t>
                          </w:r>
                          <w:r>
                            <w:rPr>
                              <w:rFonts w:hint="default" w:ascii="Tahoma"/>
                              <w:b/>
                              <w:sz w:val="16"/>
                              <w:lang w:val="en-US"/>
                            </w:rPr>
                            <w:t>26-38</w:t>
                          </w:r>
                        </w:p>
                        <w:p w14:paraId="2676561E">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7pt;height:47.55pt;width:132.85pt;mso-position-horizontal-relative:page;mso-position-vertical-relative:page;z-index:-251651072;mso-width-relative:page;mso-height-relative:page;" filled="f" stroked="f" coordsize="21600,21600" o:gfxdata="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R0F5NkAAAAKAQAADwAAAAAAAAABACAAAAAiAAAAZHJzL2Rvd25yZXYueG1sUEsBAhQAFAAAAAgA&#10;h07iQH0tVO2yAQAAdAMAAA4AAAAAAAAAAQAgAAAAKAEAAGRycy9lMm9Eb2MueG1sUEsFBgAAAAAG&#10;AAYAWQEAAEwFAAAAAA==&#10;">
              <v:fill on="f" focussize="0,0"/>
              <v:stroke on="f"/>
              <v:imagedata o:title=""/>
              <o:lock v:ext="edit" aspectratio="f"/>
              <v:textbox inset="0mm,0mm,0mm,0mm">
                <w:txbxContent>
                  <w:p w14:paraId="12F4E973">
                    <w:pPr>
                      <w:spacing w:line="322" w:lineRule="exact"/>
                      <w:ind w:left="20"/>
                      <w:rPr>
                        <w:b/>
                        <w:i/>
                        <w:sz w:val="30"/>
                      </w:rPr>
                    </w:pPr>
                    <w:r>
                      <w:rPr>
                        <w:b/>
                        <w:i/>
                        <w:spacing w:val="-2"/>
                        <w:w w:val="95"/>
                        <w:sz w:val="30"/>
                      </w:rPr>
                      <w:t>Strategi</w:t>
                    </w:r>
                  </w:p>
                  <w:p w14:paraId="58AC9D0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110A427">
                    <w:pPr>
                      <w:spacing w:line="192" w:lineRule="exact"/>
                      <w:ind w:left="20"/>
                      <w:rPr>
                        <w:rFonts w:hint="default" w:ascii="Tahoma"/>
                        <w:b/>
                        <w:sz w:val="16"/>
                        <w:lang w:val="en-US"/>
                      </w:rPr>
                    </w:pPr>
                    <w:r>
                      <w:rPr>
                        <w:rFonts w:ascii="Tahoma"/>
                        <w:b/>
                        <w:sz w:val="16"/>
                      </w:rPr>
                      <w:t>Halaman</w:t>
                    </w:r>
                    <w:r>
                      <w:rPr>
                        <w:rFonts w:ascii="Tahoma"/>
                        <w:b/>
                        <w:spacing w:val="-5"/>
                        <w:sz w:val="16"/>
                      </w:rPr>
                      <w:t xml:space="preserve"> </w:t>
                    </w:r>
                    <w:r>
                      <w:rPr>
                        <w:rFonts w:ascii="Tahoma"/>
                        <w:b/>
                        <w:sz w:val="16"/>
                      </w:rPr>
                      <w:t xml:space="preserve">: </w:t>
                    </w:r>
                    <w:r>
                      <w:rPr>
                        <w:rFonts w:hint="default" w:ascii="Tahoma"/>
                        <w:b/>
                        <w:sz w:val="16"/>
                        <w:lang w:val="en-US"/>
                      </w:rPr>
                      <w:t>26-38</w:t>
                    </w:r>
                  </w:p>
                  <w:p w14:paraId="2676561E">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15870">
    <w:pPr>
      <w:pStyle w:val="7"/>
      <w:spacing w:line="14" w:lineRule="auto"/>
      <w:ind w:left="0"/>
      <w:jc w:val="left"/>
      <w:rPr>
        <w:sz w:val="20"/>
      </w:rPr>
    </w:pPr>
    <w:r>
      <w:rPr>
        <w:sz w:val="20"/>
      </w:rPr>
      <mc:AlternateContent>
        <mc:Choice Requires="wps">
          <w:drawing>
            <wp:anchor distT="0" distB="0" distL="0" distR="0" simplePos="0" relativeHeight="251667456" behindDoc="1" locked="0" layoutInCell="1" allowOverlap="1">
              <wp:simplePos x="0" y="0"/>
              <wp:positionH relativeFrom="page">
                <wp:posOffset>842010</wp:posOffset>
              </wp:positionH>
              <wp:positionV relativeFrom="page">
                <wp:posOffset>805815</wp:posOffset>
              </wp:positionV>
              <wp:extent cx="5808345" cy="1270"/>
              <wp:effectExtent l="0" t="0" r="0" b="0"/>
              <wp:wrapNone/>
              <wp:docPr id="1307012001"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66.3pt;margin-top:63.45pt;height:0.1pt;width:457.35pt;mso-position-horizontal-relative:page;mso-position-vertical-relative:page;z-index:-251649024;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GRw6nZAAAADAEA&#10;AA8AAAAAAAAAAQAgAAAAIgAAAGRycy9kb3ducmV2LnhtbFBLAQIUABQAAAAIAIdO4kCOa1xCGQIA&#10;AIQEAAAOAAAAAAAAAAEAIAAAACgBAABkcnMvZTJvRG9jLnhtbFBLBQYAAAAABgAGAFkBAACzBQAA&#10;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2126094726"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7E1C76EF">
                          <w:pPr>
                            <w:spacing w:line="322" w:lineRule="exact"/>
                            <w:ind w:left="20"/>
                            <w:rPr>
                              <w:b/>
                              <w:i/>
                              <w:sz w:val="30"/>
                            </w:rPr>
                          </w:pPr>
                          <w:r>
                            <w:rPr>
                              <w:b/>
                              <w:i/>
                              <w:spacing w:val="-2"/>
                              <w:w w:val="95"/>
                              <w:sz w:val="30"/>
                            </w:rPr>
                            <w:t>Strategi</w:t>
                          </w:r>
                        </w:p>
                        <w:p w14:paraId="250BA8E2">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4B5ABBE5">
                          <w:pPr>
                            <w:spacing w:line="192" w:lineRule="exact"/>
                            <w:ind w:left="20"/>
                            <w:rPr>
                              <w:rFonts w:hint="default" w:ascii="Tahoma"/>
                              <w:b/>
                              <w:sz w:val="16"/>
                              <w:lang w:val="en-US"/>
                            </w:rPr>
                          </w:pPr>
                          <w:r>
                            <w:rPr>
                              <w:rFonts w:ascii="Tahoma"/>
                              <w:b/>
                              <w:sz w:val="16"/>
                            </w:rPr>
                            <w:t>Halaman</w:t>
                          </w:r>
                          <w:r>
                            <w:rPr>
                              <w:rFonts w:ascii="Tahoma"/>
                              <w:b/>
                              <w:spacing w:val="-5"/>
                              <w:sz w:val="16"/>
                            </w:rPr>
                            <w:t xml:space="preserve"> </w:t>
                          </w:r>
                          <w:r>
                            <w:rPr>
                              <w:rFonts w:ascii="Tahoma"/>
                              <w:b/>
                              <w:sz w:val="16"/>
                            </w:rPr>
                            <w:t xml:space="preserve">: </w:t>
                          </w:r>
                          <w:r>
                            <w:rPr>
                              <w:rFonts w:hint="default" w:ascii="Tahoma"/>
                              <w:b/>
                              <w:sz w:val="16"/>
                              <w:lang w:val="en-US"/>
                            </w:rPr>
                            <w:t xml:space="preserve"> 26-38</w:t>
                          </w:r>
                        </w:p>
                        <w:p w14:paraId="72E71934">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0" o:spid="_x0000_s1026" o:spt="202" type="#_x0000_t202" style="position:absolute;left:0pt;margin-left:71pt;margin-top:10.5pt;height:47.55pt;width:132.85pt;mso-position-horizontal-relative:page;mso-position-vertical-relative:page;z-index:-251648000;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BOjZv2AAAAAoBAAAPAAAAAAAAAAEAIAAAACIAAABkcnMvZG93bnJldi54bWxQSwEC&#10;FAAUAAAACACHTuJAwPk2m7sBAAB+AwAADgAAAAAAAAABACAAAAAnAQAAZHJzL2Uyb0RvYy54bWxQ&#10;SwUGAAAAAAYABgBZAQAAVAUAAAAA&#10;">
              <v:fill on="f" focussize="0,0"/>
              <v:stroke on="f"/>
              <v:imagedata o:title=""/>
              <o:lock v:ext="edit" aspectratio="f"/>
              <v:textbox inset="0mm,0mm,0mm,0mm">
                <w:txbxContent>
                  <w:p w14:paraId="7E1C76EF">
                    <w:pPr>
                      <w:spacing w:line="322" w:lineRule="exact"/>
                      <w:ind w:left="20"/>
                      <w:rPr>
                        <w:b/>
                        <w:i/>
                        <w:sz w:val="30"/>
                      </w:rPr>
                    </w:pPr>
                    <w:r>
                      <w:rPr>
                        <w:b/>
                        <w:i/>
                        <w:spacing w:val="-2"/>
                        <w:w w:val="95"/>
                        <w:sz w:val="30"/>
                      </w:rPr>
                      <w:t>Strategi</w:t>
                    </w:r>
                  </w:p>
                  <w:p w14:paraId="250BA8E2">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4B5ABBE5">
                    <w:pPr>
                      <w:spacing w:line="192" w:lineRule="exact"/>
                      <w:ind w:left="20"/>
                      <w:rPr>
                        <w:rFonts w:hint="default" w:ascii="Tahoma"/>
                        <w:b/>
                        <w:sz w:val="16"/>
                        <w:lang w:val="en-US"/>
                      </w:rPr>
                    </w:pPr>
                    <w:r>
                      <w:rPr>
                        <w:rFonts w:ascii="Tahoma"/>
                        <w:b/>
                        <w:sz w:val="16"/>
                      </w:rPr>
                      <w:t>Halaman</w:t>
                    </w:r>
                    <w:r>
                      <w:rPr>
                        <w:rFonts w:ascii="Tahoma"/>
                        <w:b/>
                        <w:spacing w:val="-5"/>
                        <w:sz w:val="16"/>
                      </w:rPr>
                      <w:t xml:space="preserve"> </w:t>
                    </w:r>
                    <w:r>
                      <w:rPr>
                        <w:rFonts w:ascii="Tahoma"/>
                        <w:b/>
                        <w:sz w:val="16"/>
                      </w:rPr>
                      <w:t xml:space="preserve">: </w:t>
                    </w:r>
                    <w:r>
                      <w:rPr>
                        <w:rFonts w:hint="default" w:ascii="Tahoma"/>
                        <w:b/>
                        <w:sz w:val="16"/>
                        <w:lang w:val="en-US"/>
                      </w:rPr>
                      <w:t xml:space="preserve"> 26-38</w:t>
                    </w:r>
                  </w:p>
                  <w:p w14:paraId="72E71934">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A2948">
    <w:pPr>
      <w:pStyle w:val="7"/>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842010</wp:posOffset>
              </wp:positionH>
              <wp:positionV relativeFrom="page">
                <wp:posOffset>805815</wp:posOffset>
              </wp:positionV>
              <wp:extent cx="5808345" cy="1270"/>
              <wp:effectExtent l="0" t="0" r="0" b="0"/>
              <wp:wrapNone/>
              <wp:docPr id="29"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66.3pt;margin-top:63.45pt;height:0.1pt;width:457.35pt;mso-position-horizontal-relative:page;mso-position-vertical-relative:page;z-index:-251657216;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ZHDqdkAAAAMAQAADwAAAAAA&#10;AAABACAAAAAiAAAAZHJzL2Rvd25yZXYueG1sUEsBAhQAFAAAAAgAh07iQMtRrFESAgAAfAQAAA4A&#10;AAAAAAAAAQAgAAAAKAEAAGRycy9lMm9Eb2MueG1sUEsFBgAAAAAGAAYAWQEAAKwFAAA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2F18DD21">
                          <w:pPr>
                            <w:spacing w:line="322" w:lineRule="exact"/>
                            <w:ind w:left="20"/>
                            <w:rPr>
                              <w:b/>
                              <w:i/>
                              <w:sz w:val="30"/>
                            </w:rPr>
                          </w:pPr>
                          <w:r>
                            <w:rPr>
                              <w:b/>
                              <w:i/>
                              <w:spacing w:val="-2"/>
                              <w:w w:val="95"/>
                              <w:sz w:val="30"/>
                            </w:rPr>
                            <w:t>Strategi</w:t>
                          </w:r>
                        </w:p>
                        <w:p w14:paraId="67E804B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3767CD5">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0" o:spid="_x0000_s1026" o:spt="202" type="#_x0000_t202" style="position:absolute;left:0pt;margin-left:71pt;margin-top:10.5pt;height:47.55pt;width:132.85pt;mso-position-horizontal-relative:page;mso-position-vertical-relative:page;z-index:-251656192;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To2b9gAAAAKAQAADwAAAAAAAAABACAAAAAiAAAAZHJzL2Rvd25yZXYueG1sUEsBAhQAFAAAAAgA&#10;h07iQC29veuzAQAAdgMAAA4AAAAAAAAAAQAgAAAAJwEAAGRycy9lMm9Eb2MueG1sUEsFBgAAAAAG&#10;AAYAWQEAAEwFAAAAAA==&#10;">
              <v:fill on="f" focussize="0,0"/>
              <v:stroke on="f"/>
              <v:imagedata o:title=""/>
              <o:lock v:ext="edit" aspectratio="f"/>
              <v:textbox inset="0mm,0mm,0mm,0mm">
                <w:txbxContent>
                  <w:p w14:paraId="2F18DD21">
                    <w:pPr>
                      <w:spacing w:line="322" w:lineRule="exact"/>
                      <w:ind w:left="20"/>
                      <w:rPr>
                        <w:b/>
                        <w:i/>
                        <w:sz w:val="30"/>
                      </w:rPr>
                    </w:pPr>
                    <w:r>
                      <w:rPr>
                        <w:b/>
                        <w:i/>
                        <w:spacing w:val="-2"/>
                        <w:w w:val="95"/>
                        <w:sz w:val="30"/>
                      </w:rPr>
                      <w:t>Strategi</w:t>
                    </w:r>
                  </w:p>
                  <w:p w14:paraId="67E804B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3767CD5">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73DC8">
    <w:pPr>
      <w:pStyle w:val="7"/>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461FEFBE">
                          <w:pPr>
                            <w:spacing w:line="322" w:lineRule="exact"/>
                            <w:ind w:left="20"/>
                            <w:rPr>
                              <w:b/>
                              <w:i/>
                              <w:sz w:val="30"/>
                            </w:rPr>
                          </w:pPr>
                          <w:r>
                            <w:rPr>
                              <w:b/>
                              <w:i/>
                              <w:spacing w:val="-2"/>
                              <w:w w:val="95"/>
                              <w:sz w:val="30"/>
                            </w:rPr>
                            <w:t>Strategi</w:t>
                          </w:r>
                        </w:p>
                        <w:p w14:paraId="523D1454">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151A5FA">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3" o:spid="_x0000_s1026" o:spt="202" type="#_x0000_t202" style="position:absolute;left:0pt;margin-left:71pt;margin-top:10.5pt;height:47.55pt;width:132.85pt;mso-position-horizontal-relative:page;mso-position-vertical-relative:page;z-index:-251653120;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6Nm/YAAAACgEAAA8AAAAAAAAAAQAgAAAAIgAAAGRycy9kb3ducmV2LnhtbFBLAQIUABQAAAAI&#10;AIdO4kBiGrJJtAEAAHYDAAAOAAAAAAAAAAEAIAAAACcBAABkcnMvZTJvRG9jLnhtbFBLBQYAAAAA&#10;BgAGAFkBAABNBQAAAAA=&#10;">
              <v:fill on="f" focussize="0,0"/>
              <v:stroke on="f"/>
              <v:imagedata o:title=""/>
              <o:lock v:ext="edit" aspectratio="f"/>
              <v:textbox inset="0mm,0mm,0mm,0mm">
                <w:txbxContent>
                  <w:p w14:paraId="461FEFBE">
                    <w:pPr>
                      <w:spacing w:line="322" w:lineRule="exact"/>
                      <w:ind w:left="20"/>
                      <w:rPr>
                        <w:b/>
                        <w:i/>
                        <w:sz w:val="30"/>
                      </w:rPr>
                    </w:pPr>
                    <w:r>
                      <w:rPr>
                        <w:b/>
                        <w:i/>
                        <w:spacing w:val="-2"/>
                        <w:w w:val="95"/>
                        <w:sz w:val="30"/>
                      </w:rPr>
                      <w:t>Strategi</w:t>
                    </w:r>
                  </w:p>
                  <w:p w14:paraId="523D1454">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151A5FA">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E0C63"/>
    <w:multiLevelType w:val="multilevel"/>
    <w:tmpl w:val="020E0C63"/>
    <w:lvl w:ilvl="0" w:tentative="0">
      <w:start w:val="1"/>
      <w:numFmt w:val="decimal"/>
      <w:lvlText w:val="%1)"/>
      <w:lvlJc w:val="left"/>
      <w:pPr>
        <w:ind w:left="644"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A62DC7"/>
    <w:multiLevelType w:val="multilevel"/>
    <w:tmpl w:val="15A62D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91D28B5"/>
    <w:multiLevelType w:val="multilevel"/>
    <w:tmpl w:val="191D28B5"/>
    <w:lvl w:ilvl="0" w:tentative="0">
      <w:start w:val="1"/>
      <w:numFmt w:val="decimal"/>
      <w:lvlText w:val="%1."/>
      <w:lvlJc w:val="left"/>
      <w:pPr>
        <w:ind w:left="360" w:hanging="360"/>
      </w:pPr>
      <w:rPr>
        <w:rFonts w:hint="default" w:ascii="Times New Roman" w:hAnsi="Times New Roman" w:eastAsia="Times New Roman" w:cs="Times New Roman"/>
        <w:color w:val="000000" w:themeColor="text1"/>
        <w:sz w:val="22"/>
        <w:szCs w:val="32"/>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FDB20B9"/>
    <w:multiLevelType w:val="multilevel"/>
    <w:tmpl w:val="2FDB20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2FD615D"/>
    <w:multiLevelType w:val="multilevel"/>
    <w:tmpl w:val="32FD615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5CA2B1C"/>
    <w:multiLevelType w:val="multilevel"/>
    <w:tmpl w:val="45CA2B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B712E3"/>
    <w:multiLevelType w:val="multilevel"/>
    <w:tmpl w:val="46B712E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482E5FA4"/>
    <w:multiLevelType w:val="multilevel"/>
    <w:tmpl w:val="482E5FA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D184699"/>
    <w:multiLevelType w:val="multilevel"/>
    <w:tmpl w:val="4D1846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CC85936"/>
    <w:multiLevelType w:val="multilevel"/>
    <w:tmpl w:val="7CC85936"/>
    <w:lvl w:ilvl="0" w:tentative="0">
      <w:start w:val="3"/>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7F7219E6"/>
    <w:multiLevelType w:val="multilevel"/>
    <w:tmpl w:val="7F7219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9"/>
  </w:num>
  <w:num w:numId="4">
    <w:abstractNumId w:val="8"/>
  </w:num>
  <w:num w:numId="5">
    <w:abstractNumId w:val="0"/>
  </w:num>
  <w:num w:numId="6">
    <w:abstractNumId w:val="4"/>
  </w:num>
  <w:num w:numId="7">
    <w:abstractNumId w:val="10"/>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9571B"/>
    <w:rsid w:val="00094E84"/>
    <w:rsid w:val="001F3E8F"/>
    <w:rsid w:val="00277CED"/>
    <w:rsid w:val="003A74C0"/>
    <w:rsid w:val="003D436A"/>
    <w:rsid w:val="003D6891"/>
    <w:rsid w:val="00406AA4"/>
    <w:rsid w:val="00422EFA"/>
    <w:rsid w:val="00447922"/>
    <w:rsid w:val="004E0CBD"/>
    <w:rsid w:val="00517FC8"/>
    <w:rsid w:val="005B3B6D"/>
    <w:rsid w:val="0069571B"/>
    <w:rsid w:val="0069642D"/>
    <w:rsid w:val="008105FB"/>
    <w:rsid w:val="009072ED"/>
    <w:rsid w:val="009335D5"/>
    <w:rsid w:val="009B628C"/>
    <w:rsid w:val="00A35CEB"/>
    <w:rsid w:val="00A41D2B"/>
    <w:rsid w:val="00AC661D"/>
    <w:rsid w:val="00B16F5F"/>
    <w:rsid w:val="00B31BDF"/>
    <w:rsid w:val="00B523B0"/>
    <w:rsid w:val="00BA4165"/>
    <w:rsid w:val="00CC3201"/>
    <w:rsid w:val="00CF0647"/>
    <w:rsid w:val="00CF3350"/>
    <w:rsid w:val="00D538AD"/>
    <w:rsid w:val="00D82851"/>
    <w:rsid w:val="00D92953"/>
    <w:rsid w:val="00E054E4"/>
    <w:rsid w:val="00E23C35"/>
    <w:rsid w:val="00E967A7"/>
    <w:rsid w:val="00EA6C77"/>
    <w:rsid w:val="00F36E6B"/>
    <w:rsid w:val="00F74091"/>
    <w:rsid w:val="00FD6B12"/>
    <w:rsid w:val="4512315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65"/>
      <w:outlineLvl w:val="0"/>
    </w:pPr>
    <w:rPr>
      <w:rFonts w:ascii="Calibri" w:hAnsi="Calibri" w:eastAsia="Calibri" w:cs="Calibri"/>
      <w:b/>
      <w:bCs/>
      <w:sz w:val="24"/>
      <w:szCs w:val="24"/>
    </w:rPr>
  </w:style>
  <w:style w:type="paragraph" w:styleId="3">
    <w:name w:val="heading 2"/>
    <w:basedOn w:val="1"/>
    <w:unhideWhenUsed/>
    <w:qFormat/>
    <w:uiPriority w:val="9"/>
    <w:pPr>
      <w:ind w:left="165"/>
      <w:jc w:val="both"/>
      <w:outlineLvl w:val="1"/>
    </w:pPr>
    <w:rPr>
      <w:b/>
      <w:bCs/>
      <w:sz w:val="24"/>
      <w:szCs w:val="24"/>
    </w:rPr>
  </w:style>
  <w:style w:type="paragraph" w:styleId="4">
    <w:name w:val="heading 3"/>
    <w:basedOn w:val="1"/>
    <w:unhideWhenUsed/>
    <w:qFormat/>
    <w:uiPriority w:val="9"/>
    <w:pPr>
      <w:ind w:left="165"/>
      <w:jc w:val="both"/>
      <w:outlineLvl w:val="2"/>
    </w:pPr>
    <w:rPr>
      <w:b/>
      <w:bCs/>
      <w:i/>
      <w:iCs/>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165"/>
      <w:jc w:val="both"/>
    </w:pPr>
    <w:rPr>
      <w:sz w:val="24"/>
      <w:szCs w:val="24"/>
    </w:rPr>
  </w:style>
  <w:style w:type="paragraph" w:styleId="8">
    <w:name w:val="footer"/>
    <w:basedOn w:val="1"/>
    <w:link w:val="15"/>
    <w:unhideWhenUsed/>
    <w:uiPriority w:val="99"/>
    <w:pPr>
      <w:tabs>
        <w:tab w:val="center" w:pos="4513"/>
        <w:tab w:val="right" w:pos="9026"/>
      </w:tabs>
    </w:pPr>
  </w:style>
  <w:style w:type="paragraph" w:styleId="9">
    <w:name w:val="header"/>
    <w:basedOn w:val="1"/>
    <w:link w:val="14"/>
    <w:unhideWhenUsed/>
    <w:uiPriority w:val="99"/>
    <w:pPr>
      <w:tabs>
        <w:tab w:val="center" w:pos="4513"/>
        <w:tab w:val="right" w:pos="9026"/>
      </w:tabs>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table" w:styleId="11">
    <w:name w:val="Table Grid"/>
    <w:basedOn w:val="6"/>
    <w:qFormat/>
    <w:uiPriority w:val="39"/>
    <w:pPr>
      <w:widowControl/>
      <w:autoSpaceDE/>
      <w:autoSpaceDN/>
    </w:pPr>
    <w:rPr>
      <w:kern w:val="2"/>
      <w:lang w:val="id-ID"/>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link w:val="17"/>
    <w:qFormat/>
    <w:uiPriority w:val="34"/>
    <w:pPr>
      <w:ind w:left="345" w:hanging="360"/>
      <w:jc w:val="both"/>
    </w:pPr>
  </w:style>
  <w:style w:type="paragraph" w:customStyle="1" w:styleId="13">
    <w:name w:val="Table Paragraph"/>
    <w:basedOn w:val="1"/>
    <w:qFormat/>
    <w:uiPriority w:val="1"/>
    <w:pPr>
      <w:spacing w:line="174" w:lineRule="exact"/>
      <w:jc w:val="center"/>
    </w:pPr>
  </w:style>
  <w:style w:type="character" w:customStyle="1" w:styleId="14">
    <w:name w:val="Header Char"/>
    <w:basedOn w:val="5"/>
    <w:link w:val="9"/>
    <w:qFormat/>
    <w:uiPriority w:val="99"/>
    <w:rPr>
      <w:rFonts w:ascii="Times New Roman" w:hAnsi="Times New Roman" w:eastAsia="Times New Roman" w:cs="Times New Roman"/>
    </w:rPr>
  </w:style>
  <w:style w:type="character" w:customStyle="1" w:styleId="15">
    <w:name w:val="Footer Char"/>
    <w:basedOn w:val="5"/>
    <w:link w:val="8"/>
    <w:qFormat/>
    <w:uiPriority w:val="99"/>
    <w:rPr>
      <w:rFonts w:ascii="Times New Roman" w:hAnsi="Times New Roman" w:eastAsia="Times New Roman" w:cs="Times New Roman"/>
    </w:rPr>
  </w:style>
  <w:style w:type="character" w:customStyle="1" w:styleId="16">
    <w:name w:val="Unresolved Mention"/>
    <w:basedOn w:val="5"/>
    <w:semiHidden/>
    <w:unhideWhenUsed/>
    <w:uiPriority w:val="99"/>
    <w:rPr>
      <w:color w:val="605E5C"/>
      <w:shd w:val="clear" w:color="auto" w:fill="E1DFDD"/>
    </w:rPr>
  </w:style>
  <w:style w:type="character" w:customStyle="1" w:styleId="17">
    <w:name w:val="List Paragraph Char"/>
    <w:basedOn w:val="5"/>
    <w:link w:val="12"/>
    <w:uiPriority w:val="34"/>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4280</Words>
  <Characters>29645</Characters>
  <Lines>1339</Lines>
  <Paragraphs>377</Paragraphs>
  <TotalTime>74</TotalTime>
  <ScaleCrop>false</ScaleCrop>
  <LinksUpToDate>false</LinksUpToDate>
  <CharactersWithSpaces>33771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2026-04-10T06:12:00Z</dcterms:created>
  <dc:creator>Windows</dc:creator>
  <cp:lastModifiedBy>WPS_1749506791</cp:lastModifiedBy>
  <cp:lastPrinted>2026-04-12T04:39:00Z</cp:lastPrinted>
  <dcterms:modified xsi:type="dcterms:W3CDTF">2026-04-29T19:47:03Z</dcterms:modified>
  <dc:title>BAB I</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2010</vt:lpwstr>
  </property>
  <property fmtid="{D5CDD505-2E9C-101B-9397-08002B2CF9AE}" pid="5" name="LastSaved">
    <vt:filetime>2026-04-10T00:00:00Z</vt:filetime>
  </property>
  <property fmtid="{D5CDD505-2E9C-101B-9397-08002B2CF9AE}" pid="6" name="Producer">
    <vt:lpwstr>Microsoft® Word 2010</vt:lpwstr>
  </property>
  <property fmtid="{D5CDD505-2E9C-101B-9397-08002B2CF9AE}" pid="7" name="KSOTemplateDocerSaveRecord">
    <vt:lpwstr>eyJoZGlkIjoiZDU5YWRiYzdiMTNkM2VlOTkwM2Q3MTk0YmJhMGNiNDciLCJ1c2VySWQiOiI5Nzk5MDI2MjY2MDMifQ==</vt:lpwstr>
  </property>
  <property fmtid="{D5CDD505-2E9C-101B-9397-08002B2CF9AE}" pid="8" name="KSOProductBuildVer">
    <vt:lpwstr>1033-12.1.0.25862</vt:lpwstr>
  </property>
  <property fmtid="{D5CDD505-2E9C-101B-9397-08002B2CF9AE}" pid="9" name="ICV">
    <vt:lpwstr>5D424A4B459B4AA2B2F2FABC976666C7_13</vt:lpwstr>
  </property>
</Properties>
</file>