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4D5FA">
      <w:pPr>
        <w:spacing w:after="0" w:line="360" w:lineRule="auto"/>
        <w:ind w:firstLine="567"/>
        <w:jc w:val="center"/>
        <w:rPr>
          <w:rFonts w:ascii="Times New Roman" w:hAnsi="Times New Roman" w:cs="Times New Roman"/>
          <w:b/>
          <w:bCs/>
          <w:sz w:val="24"/>
          <w:szCs w:val="24"/>
        </w:rPr>
      </w:pPr>
      <w:r>
        <w:rPr>
          <w:rFonts w:ascii="Times New Roman" w:hAnsi="Times New Roman" w:cs="Times New Roman"/>
          <w:b/>
          <w:bCs/>
          <w:sz w:val="24"/>
          <w:szCs w:val="24"/>
        </w:rPr>
        <w:t>PELATIHAN INOVASI KERAJINAN BERBASIS LIMBAH PLASTIK (ECOBRICK)</w:t>
      </w:r>
      <w:r>
        <w:rPr>
          <w:rFonts w:ascii="Times New Roman" w:hAnsi="Times New Roman" w:cs="Times New Roman"/>
          <w:b/>
          <w:bCs/>
          <w:sz w:val="24"/>
          <w:szCs w:val="24"/>
          <w:lang w:val="id-ID"/>
        </w:rPr>
        <w:t xml:space="preserve"> </w:t>
      </w:r>
      <w:r>
        <w:rPr>
          <w:rFonts w:ascii="Times New Roman" w:hAnsi="Times New Roman" w:cs="Times New Roman"/>
          <w:b/>
          <w:bCs/>
          <w:sz w:val="24"/>
          <w:szCs w:val="24"/>
        </w:rPr>
        <w:t>DALAM MENDUKUNG EKONOMI KREATIF LOKAL</w:t>
      </w:r>
    </w:p>
    <w:p w14:paraId="1C71A539">
      <w:pPr>
        <w:spacing w:after="0" w:line="360" w:lineRule="auto"/>
        <w:ind w:firstLine="567"/>
        <w:jc w:val="center"/>
        <w:rPr>
          <w:rFonts w:ascii="Times New Roman" w:hAnsi="Times New Roman" w:cs="Times New Roman"/>
          <w:sz w:val="24"/>
          <w:szCs w:val="24"/>
        </w:rPr>
      </w:pPr>
    </w:p>
    <w:p w14:paraId="69922677">
      <w:pPr>
        <w:spacing w:after="0" w:line="360" w:lineRule="auto"/>
        <w:ind w:firstLine="567"/>
        <w:jc w:val="center"/>
        <w:rPr>
          <w:rFonts w:ascii="Times New Roman" w:hAnsi="Times New Roman" w:cs="Times New Roman"/>
          <w:sz w:val="24"/>
          <w:szCs w:val="24"/>
          <w:lang w:val="id-ID"/>
        </w:rPr>
      </w:pPr>
      <w:r>
        <w:rPr>
          <w:rFonts w:ascii="Times New Roman" w:hAnsi="Times New Roman" w:cs="Times New Roman"/>
          <w:sz w:val="24"/>
          <w:szCs w:val="24"/>
          <w:lang w:val="id-ID"/>
        </w:rPr>
        <w:t>Dian Yulistarini</w:t>
      </w:r>
      <w:r>
        <w:rPr>
          <w:rFonts w:ascii="Times New Roman" w:hAnsi="Times New Roman" w:cs="Times New Roman"/>
          <w:sz w:val="24"/>
          <w:szCs w:val="24"/>
          <w:vertAlign w:val="superscript"/>
          <w:lang w:val="id-ID"/>
        </w:rPr>
        <w:t>1)</w:t>
      </w:r>
      <w:r>
        <w:rPr>
          <w:rFonts w:ascii="Times New Roman" w:hAnsi="Times New Roman" w:cs="Times New Roman"/>
          <w:sz w:val="24"/>
          <w:szCs w:val="24"/>
          <w:lang w:val="id-ID"/>
        </w:rPr>
        <w:t>, Nina Fitriana</w:t>
      </w:r>
      <w:r>
        <w:rPr>
          <w:rFonts w:ascii="Times New Roman" w:hAnsi="Times New Roman" w:cs="Times New Roman"/>
          <w:sz w:val="24"/>
          <w:szCs w:val="24"/>
          <w:vertAlign w:val="superscript"/>
          <w:lang w:val="id-ID"/>
        </w:rPr>
        <w:t>2)</w:t>
      </w:r>
      <w:r>
        <w:rPr>
          <w:rFonts w:ascii="Times New Roman" w:hAnsi="Times New Roman" w:cs="Times New Roman"/>
          <w:sz w:val="24"/>
          <w:szCs w:val="24"/>
          <w:lang w:val="id-ID"/>
        </w:rPr>
        <w:t>, Agustina Marzuki</w:t>
      </w:r>
      <w:r>
        <w:rPr>
          <w:rFonts w:ascii="Times New Roman" w:hAnsi="Times New Roman" w:cs="Times New Roman"/>
          <w:sz w:val="24"/>
          <w:szCs w:val="24"/>
          <w:vertAlign w:val="superscript"/>
          <w:lang w:val="id-ID"/>
        </w:rPr>
        <w:t>3)</w:t>
      </w:r>
      <w:r>
        <w:rPr>
          <w:rFonts w:ascii="Times New Roman" w:hAnsi="Times New Roman" w:cs="Times New Roman"/>
          <w:sz w:val="24"/>
          <w:szCs w:val="24"/>
          <w:lang w:val="id-ID"/>
        </w:rPr>
        <w:t>, Msy Mikal</w:t>
      </w:r>
      <w:r>
        <w:rPr>
          <w:rFonts w:ascii="Times New Roman" w:hAnsi="Times New Roman" w:cs="Times New Roman"/>
          <w:sz w:val="24"/>
          <w:szCs w:val="24"/>
          <w:vertAlign w:val="superscript"/>
          <w:lang w:val="id-ID"/>
        </w:rPr>
        <w:t xml:space="preserve">4) </w:t>
      </w:r>
      <w:r>
        <w:rPr>
          <w:rFonts w:ascii="Times New Roman" w:hAnsi="Times New Roman" w:cs="Times New Roman"/>
          <w:sz w:val="24"/>
          <w:szCs w:val="24"/>
          <w:lang w:val="id-ID"/>
        </w:rPr>
        <w:t>Manisah</w:t>
      </w:r>
      <w:r>
        <w:rPr>
          <w:rFonts w:ascii="Times New Roman" w:hAnsi="Times New Roman" w:cs="Times New Roman"/>
          <w:sz w:val="24"/>
          <w:szCs w:val="24"/>
          <w:vertAlign w:val="superscript"/>
          <w:lang w:val="id-ID"/>
        </w:rPr>
        <w:t>5)</w:t>
      </w:r>
      <w:r>
        <w:rPr>
          <w:rFonts w:ascii="Times New Roman" w:hAnsi="Times New Roman" w:cs="Times New Roman"/>
          <w:sz w:val="24"/>
          <w:szCs w:val="24"/>
          <w:lang w:val="id-ID"/>
        </w:rPr>
        <w:t xml:space="preserve">, </w:t>
      </w:r>
    </w:p>
    <w:p w14:paraId="73B125B6">
      <w:pPr>
        <w:spacing w:after="0" w:line="360" w:lineRule="auto"/>
        <w:ind w:firstLine="567"/>
        <w:jc w:val="center"/>
        <w:rPr>
          <w:rFonts w:ascii="Times New Roman" w:hAnsi="Times New Roman" w:cs="Times New Roman"/>
          <w:sz w:val="24"/>
          <w:szCs w:val="24"/>
          <w:lang w:val="id-ID"/>
        </w:rPr>
      </w:pPr>
      <w:r>
        <w:rPr>
          <w:rFonts w:ascii="Times New Roman" w:hAnsi="Times New Roman" w:cs="Times New Roman"/>
          <w:sz w:val="24"/>
          <w:szCs w:val="24"/>
          <w:lang w:val="id-ID"/>
        </w:rPr>
        <w:t>Haikal Saputra</w:t>
      </w:r>
      <w:r>
        <w:rPr>
          <w:rFonts w:ascii="Times New Roman" w:hAnsi="Times New Roman" w:cs="Times New Roman"/>
          <w:sz w:val="24"/>
          <w:szCs w:val="24"/>
          <w:vertAlign w:val="superscript"/>
          <w:lang w:val="id-ID"/>
        </w:rPr>
        <w:t>6)</w:t>
      </w:r>
      <w:r>
        <w:rPr>
          <w:rFonts w:ascii="Times New Roman" w:hAnsi="Times New Roman" w:cs="Times New Roman"/>
          <w:sz w:val="24"/>
          <w:szCs w:val="24"/>
          <w:lang w:val="id-ID"/>
        </w:rPr>
        <w:t>, Atha Musyaffa</w:t>
      </w:r>
      <w:r>
        <w:rPr>
          <w:rFonts w:ascii="Times New Roman" w:hAnsi="Times New Roman" w:cs="Times New Roman"/>
          <w:sz w:val="24"/>
          <w:szCs w:val="24"/>
          <w:vertAlign w:val="superscript"/>
          <w:lang w:val="id-ID"/>
        </w:rPr>
        <w:t>7)</w:t>
      </w:r>
      <w:r>
        <w:rPr>
          <w:rFonts w:ascii="Times New Roman" w:hAnsi="Times New Roman" w:cs="Times New Roman"/>
          <w:sz w:val="24"/>
          <w:szCs w:val="24"/>
          <w:lang w:val="id-ID"/>
        </w:rPr>
        <w:t>, Ahmad Fazri</w:t>
      </w:r>
      <w:r>
        <w:rPr>
          <w:rFonts w:ascii="Times New Roman" w:hAnsi="Times New Roman" w:cs="Times New Roman"/>
          <w:sz w:val="24"/>
          <w:szCs w:val="24"/>
          <w:vertAlign w:val="superscript"/>
          <w:lang w:val="id-ID"/>
        </w:rPr>
        <w:t>8)</w:t>
      </w:r>
    </w:p>
    <w:p w14:paraId="6E00BA3D">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vertAlign w:val="superscript"/>
          <w:lang w:val="id-ID"/>
        </w:rPr>
        <w:t>1,2,3,4,5)</w:t>
      </w:r>
      <w:r>
        <w:rPr>
          <w:rFonts w:ascii="Times New Roman" w:hAnsi="Times New Roman" w:cs="Times New Roman"/>
          <w:sz w:val="24"/>
          <w:szCs w:val="24"/>
          <w:lang w:val="id-ID"/>
        </w:rPr>
        <w:t>Dosen U</w:t>
      </w:r>
      <w:r>
        <w:rPr>
          <w:rFonts w:ascii="Times New Roman" w:hAnsi="Times New Roman" w:cs="Times New Roman"/>
          <w:sz w:val="24"/>
          <w:szCs w:val="24"/>
        </w:rPr>
        <w:t>niversitas Tridinanti</w:t>
      </w:r>
    </w:p>
    <w:p w14:paraId="76A28E62">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vertAlign w:val="superscript"/>
          <w:lang w:val="id-ID"/>
        </w:rPr>
        <w:t>6,7)</w:t>
      </w:r>
      <w:r>
        <w:rPr>
          <w:rFonts w:ascii="Times New Roman" w:hAnsi="Times New Roman" w:cs="Times New Roman"/>
          <w:sz w:val="24"/>
          <w:szCs w:val="24"/>
          <w:lang w:val="id-ID"/>
        </w:rPr>
        <w:t>Mahasiswa U</w:t>
      </w:r>
      <w:r>
        <w:rPr>
          <w:rFonts w:ascii="Times New Roman" w:hAnsi="Times New Roman" w:cs="Times New Roman"/>
          <w:sz w:val="24"/>
          <w:szCs w:val="24"/>
        </w:rPr>
        <w:t>niversitas Tridinanti</w:t>
      </w:r>
    </w:p>
    <w:p w14:paraId="2CF5B192">
      <w:pPr>
        <w:spacing w:after="0" w:line="360" w:lineRule="auto"/>
        <w:ind w:firstLine="567"/>
        <w:jc w:val="center"/>
        <w:rPr>
          <w:rFonts w:ascii="Times New Roman" w:hAnsi="Times New Roman" w:cs="Times New Roman"/>
          <w:sz w:val="24"/>
          <w:szCs w:val="24"/>
          <w:lang w:val="id-ID"/>
        </w:rPr>
      </w:pPr>
      <w:r>
        <w:rPr>
          <w:rFonts w:ascii="Times New Roman" w:hAnsi="Times New Roman" w:cs="Times New Roman"/>
          <w:sz w:val="24"/>
          <w:szCs w:val="24"/>
        </w:rPr>
        <w:t xml:space="preserve">Email: </w:t>
      </w:r>
      <w:r>
        <w:rPr>
          <w:rFonts w:ascii="Times New Roman" w:hAnsi="Times New Roman" w:cs="Times New Roman"/>
          <w:sz w:val="24"/>
          <w:szCs w:val="24"/>
          <w:lang w:val="id-ID"/>
        </w:rPr>
        <w:t>dian_yulistarini@univ-tridinanti.ac.id</w:t>
      </w:r>
    </w:p>
    <w:p w14:paraId="68A9E7CE">
      <w:pPr>
        <w:spacing w:after="0" w:line="360" w:lineRule="auto"/>
        <w:ind w:firstLine="567"/>
        <w:jc w:val="center"/>
        <w:rPr>
          <w:rFonts w:ascii="Times New Roman" w:hAnsi="Times New Roman" w:cs="Times New Roman"/>
          <w:sz w:val="24"/>
          <w:szCs w:val="24"/>
        </w:rPr>
      </w:pPr>
    </w:p>
    <w:p w14:paraId="6C083275">
      <w:pPr>
        <w:spacing w:after="0" w:line="360" w:lineRule="auto"/>
        <w:ind w:firstLine="567"/>
        <w:jc w:val="center"/>
        <w:rPr>
          <w:rFonts w:ascii="Times New Roman" w:hAnsi="Times New Roman" w:cs="Times New Roman"/>
          <w:b/>
          <w:bCs/>
          <w:sz w:val="24"/>
          <w:szCs w:val="24"/>
        </w:rPr>
      </w:pPr>
      <w:r>
        <w:rPr>
          <w:rFonts w:ascii="Times New Roman" w:hAnsi="Times New Roman" w:cs="Times New Roman"/>
          <w:b/>
          <w:bCs/>
          <w:sz w:val="24"/>
          <w:szCs w:val="24"/>
        </w:rPr>
        <w:t>ABSTRAK</w:t>
      </w:r>
    </w:p>
    <w:p w14:paraId="28085B43">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Permasalahan limbah plastik menjadi isu lingkungan yang terus meningkat seiring dengan tingginya penggunaan plastik dalam kehidupan sehari-hari. Plastik yang sulit terurai menyebabkan penumpukan sampah dan berpotensi mencemari lingkungan. Oleh karena itu, kegiatan pengabdian kepada masyarakat ini dilaksanakan di Komplek Dekranasda Kota Palembang dengan melibatkan sebanyak 90 orang peserta yang terdiri dari ibu-ibu pengajian sebagai sasaran utama. Kegiatan ini bertujuan untuk meningkatkan pengetahuan serta keterampilan masyarakat dalam mengolah limbah plastik menjadi produk yang bermanfaat melalui metode ecobrick. Metode yang digunakan meliputi penyuluhan, pelatihan, dan praktik langsung agar peserta dapat memahami serta mengaplikasikan teknik pembuatan ecobrick secara efektif. Selain itu, kegiatan ini juga mendorong partisipasi aktif peserta dalam proses pembelajaran. Hasil kegiatan menunjukkan adanya peningkatan pemahaman peserta terhadap pentingnya pengelolaan limbah plastik, meningkatnya keterampilan dalam pembuatan ecobrick, serta munculnya peluang pengembangan ekonomi kreatif berbasis lingkungan yang berkelanjutan.</w:t>
      </w:r>
      <w:r>
        <w:commentReference w:id="0"/>
      </w:r>
    </w:p>
    <w:p w14:paraId="65660461">
      <w:pPr>
        <w:spacing w:after="0" w:line="360" w:lineRule="auto"/>
        <w:jc w:val="both"/>
        <w:rPr>
          <w:rFonts w:ascii="Times New Roman" w:hAnsi="Times New Roman" w:cs="Times New Roman"/>
          <w:sz w:val="24"/>
          <w:szCs w:val="24"/>
        </w:rPr>
      </w:pPr>
    </w:p>
    <w:p w14:paraId="63A1E6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Kata Kunci: ecobrick, limbah plastik, ekonomi kreatif</w:t>
      </w:r>
    </w:p>
    <w:p w14:paraId="5515333D">
      <w:pPr>
        <w:spacing w:after="0" w:line="360" w:lineRule="auto"/>
        <w:ind w:firstLine="567"/>
        <w:jc w:val="both"/>
        <w:rPr>
          <w:rFonts w:ascii="Times New Roman" w:hAnsi="Times New Roman" w:cs="Times New Roman"/>
          <w:sz w:val="24"/>
          <w:szCs w:val="24"/>
        </w:rPr>
      </w:pPr>
    </w:p>
    <w:p w14:paraId="295B8A7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PENDAHULUAN</w:t>
      </w:r>
    </w:p>
    <w:p w14:paraId="492E8218">
      <w:pPr>
        <w:pStyle w:val="34"/>
        <w:spacing w:before="0" w:beforeAutospacing="0" w:after="0" w:afterAutospacing="0" w:line="360" w:lineRule="auto"/>
        <w:ind w:firstLine="567"/>
        <w:jc w:val="both"/>
      </w:pPr>
      <w:r>
        <w:t>Permasalahan limbah plastik saat ini menjadi salah satu isu lingkungan yang semakin serius, baik di tingkat global maupun nasional. Plastik merupakan bahan yang banyak digunakan dalam kehidupan sehari-hari karena sifatnya yang ringan, kuat, dan praktis. Namun, di sisi lain, plastik memiliki kelemahan utama yaitu sulit terurai secara alami, sehingga dapat bertahan di lingkungan selama ratusan tahun. Produksi plastik global terus meningkat setiap tahunnya, sementara sebagian besar limbah plastik belum dikelola dengan baik dan berakhir mencemari lingkungan.</w:t>
      </w:r>
    </w:p>
    <w:p w14:paraId="649A7D9D">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Kota Palembang merupakan salah satu wilayah dengan tingkat pertumbuhan penduduk yang relatif tinggi dan aktivitas ekonomi yang cukup padat. </w:t>
      </w:r>
      <w:r>
        <w:rPr>
          <w:rFonts w:ascii="Times New Roman" w:hAnsi="Times New Roman" w:cs="Times New Roman"/>
          <w:sz w:val="24"/>
          <w:szCs w:val="24"/>
          <w:shd w:val="clear" w:color="auto" w:fill="FFFFFF"/>
        </w:rPr>
        <w:t xml:space="preserve">Dengan populasi yang meningkat setiap hari, timbunan sampah yang dihasilkan juga meningkat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 xml:space="preserve">ADDIN CSL_CITATION {"citationItems":[{"id":"ITEM-1","itemData":{"DOI":"10.36733/jadma.v4i2.7777","author":[{"dropping-particle":"","family":"Wayan","given":"Eminda Sari Ni","non-dropping-particle":"","parse-names":false,"suffix":""},{"dropping-particle":"","family":"I Komang Sulatra","given":"","non-dropping-particle":"","parse-names":false,"suffix":""},{"dropping-particle":"","family":"Putra","given":"I Kadek Surya Ari","non-dropping-particle":"","parse-names":false,"suffix":""},{"dropping-particle":"","family":"Mahardika","given":"Kadek Wisnu","non-dropping-particle":"","parse-names":false,"suffix":""}],"id":"ITEM-1","issued":{"date-parts":[["2023"]]},"page":"150-155","title":"Meningkatkan Kesadaran Siswa/i Dalam Pengolahan Sampah Organik Dan Non-Organik Menjadi Kerajinan Tangan Yang Lebih Bermanfaat","type":"article-journal","volume":"4"},"uris":["http://www.mendeley.com/documents/?uuid=a7d0c6d6-87fa-460a-a747-21437cce5b2c","http://www.mendeley.com/documents/?uuid=d5f5f4f7-6465-4201-acda-8264e87623e8"]}],"mendeley":{"formattedCitation":"(Wayan &lt;i&gt;et al.&lt;/i&gt;, 2023)","plainTextFormattedCitation":"(Wayan et al., 2023)","previouslyFormattedCitation":"(Wayan et al., 2023)"},"properties":{"noteIndex":0},"schema":"https://github.com/citation-style-language/schema/raw/master/csl-citation.json"}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(Wayan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2023)</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Pengelolaan sampah, khususnya sampah plastik, adalah salah satu masalah utama yang dihadapi saat ini. Sampah plastik telah berkembang menjadi masalah yang kompleks dan meresahkan di seluruh dunia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 xml:space="preserve">ADDIN CSL_CITATION {"citationItems":[{"id":"ITEM-1","itemData":{"DOI":"10.3390/en15030976","ISSN":"19961073","abstract":"This article aims to describe the current state of research on plastic waste management as a circular economy practice at the end of the supply chain. The methodological strategy chosen was a systematic literature review. The articles selected from the Web of Science and Scopus databases were screened, and the research corpus consisted of 201 articles published in journals between 2014 and 2021. The results present 13 study categories, showing topics such as pyrolysis, business models, Industry 4.0, and energy generation. The insertion of Industry 4.0 technologies is still in its initial stages, comprising mainly the generation of inputs to reuse waste for 3D printers’ materials. Regarding energy generation, the insertion of processes such as pyrolysis for fuel generation stands out. The proposed discussion in this article suggests a circular ecosystem in which wastes follow a reuse flow according to their properties; incineration can be an option depending on the stage and benefits generated from the removal of plastic waste from the ecosystem. The highlighted issue is the scalability of the developed processes in the research, which is only possible if the state, universities, and civil society integrate efforts in the construction of a circular ecosystem infrastructure for waste management.","author":[{"dropping-particle":"","family":"Silva","given":"Luciano Ferreira","non-dropping-particle":"da","parse-names":false,"suffix":""},{"dropping-particle":"","family":"Resnitzkyd","given":"Maria Helena Costa","non-dropping-particle":"","parse-names":false,"suffix":""},{"dropping-particle":"","family":"Santibanez Gonzalez","given":"Ernesto Del Rosario","non-dropping-particle":"","parse-names":false,"suffix":""},{"dropping-particle":"","family":"Melo Conti","given":"Diego","non-dropping-particle":"de","parse-names":false,"suffix":""},{"dropping-particle":"","family":"Costa","given":"Priscila Rezende","non-dropping-particle":"da","parse-names":false,"suffix":""}],"container-title":"Energies","id":"ITEM-1","issue":"3","issued":{"date-parts":[["2022"]]},"page":"1-15","title":"Management of Plastic Waste and a Circular Economy at the End of the Supply Chain: A Systematic Literature Review","type":"article-journal","volume":"15"},"uris":["http://www.mendeley.com/documents/?uuid=4b7f15a8-867f-4ddd-a045-998552368cbd","http://www.mendeley.com/documents/?uuid=ea83e075-54f8-42a1-ac28-46e7e813abd2"]}],"mendeley":{"formattedCitation":"(da Silva &lt;i&gt;et al.&lt;/i&gt;, 2022)","plainTextFormattedCitation":"(da Silva et al., 2022)","previouslyFormattedCitation":"(da Silva et al., 2022)"},"properties":{"noteIndex":0},"schema":"https://github.com/citation-style-language/schema/raw/master/csl-citation.json"}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(da Silva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2022)</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 xml:space="preserve">ADDIN CSL_CITATION {"citationItems":[{"id":"ITEM-1","itemData":{"DOI":"10.1007/s42768-023-00134-6","ISBN":"0123456789","ISSN":"25247891","abstract":"Excessive exploitation, negligence, non-degradable nature, and physical and chemical properties of plastic waste have resulted in a massive pollution load into the environment. Consequently, plastic entres the food chain and can cause serious health issues in aquatic animals and humans. The present review summarizes currently reported techniques and approaches for the removal of plastic waste. Many techniques, such as adsorption, coagulation, photocatalysis, and microbial degradation, and approaches like reduction, reuse and recycling are potentially in trend and differ from each other in their efficiency and interaction mechanism. Moreover, substantial advantages and challenges associated with these techniques and approaches are highlighted to develop an understanding of the selection of possible ways for a sustainable future. Nevertheless, in addition to the reduction of plastic waste from the ecosystem, many alternative opportunities have also been explored to cash plastic waste. These fields include the synthesis of adsorbents for the removal of pollutants from aqueous and gaseous stream, their utility in clothing, waste to energy and fuel and in construction (road making). Substantial evidence can be observed in the reduction of plastic pollution from various ecosystems. In addition, it is important to develop an understanding of factors that need to be emphasized while considering alternative approaches and opportunities to cash plastic waste (like adsorbent, clothing, waste to energy and fuel). The thrust of this review is to provide readers with a comprehensive overview of the development status of techniques and approaches to overcome the global issue of plastic pollution and the outlook on the exploitation of this waste as resources.","author":[{"dropping-particle":"","family":"Pandey","given":"Prashant","non-dropping-particle":"","parse-names":false,"suffix":""},{"dropping-particle":"","family":"Dhiman","given":"Manisha","non-dropping-particle":"","parse-names":false,"suffix":""},{"dropping-particle":"","family":"Kansal","given":"Ankur","non-dropping-particle":"","parse-names":false,"suffix":""},{"dropping-particle":"","family":"Subudhi","given":"Sarada Prasannan","non-dropping-particle":"","parse-names":false,"suffix":""}],"container-title":"Waste Disposal and Sustainable Energy","id":"ITEM-1","issue":"2","issued":{"date-parts":[["2023"]]},"page":"205-222","publisher":"Springer Nature Singapore","title":"Plastic waste management for sustainable environment: techniques and approaches","type":"article-journal","volume":"5"},"uris":["http://www.mendeley.com/documents/?uuid=b723198d-6d0d-4fb7-8017-7d7590a76b97","http://www.mendeley.com/documents/?uuid=314c1c0f-ba4a-4113-8d90-378de6972316"]}],"mendeley":{"formattedCitation":"(Pandey &lt;i&gt;et al.&lt;/i&gt;, 2023)","plainTextFormattedCitation":"(Pandey et al., 2023)","previouslyFormattedCitation":"(Pandey et al., 2023)"},"properties":{"noteIndex":0},"schema":"https://github.com/citation-style-language/schema/raw/master/csl-citation.json"}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(Pandey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2023)</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 xml:space="preserve">ADDIN CSL_CITATION {"citationItems":[{"id":"ITEM-1","itemData":{"DOI":"10.3390/su12208360","ISSN":"20711050","abstract":"Cumulative plastic production worldwide skyrocketed from about 2 million tonnes in 1950 to 8.3 billion tonnes in 2015, with 6.3 billion tonnes (76%) ending up as waste. Of that waste, 79% is either in landfills or the environment. The purpose of the review is to establish the current global status quo in the plastics industry and assess the sustainability of some bio-based biodegradable plastics. This integrative and consolidated review thus builds on previous studies that have focused either on one or a few of the aspects considered in this paper. Three broad items to strongly consider are: Biodegradable plastics and other alternatives are not always environmentally superior to fossil-based plastics; less investment has been made in plastic waste management than in plastics production; and there is no single solution to plastic waste management. Some strategies to push for include: Increasing recycling rates, reclaiming plastic waste from the environment, and bans or using alternatives, which can lessen the negative impacts of fossil-based plastics. However, each one has its own challenges, and country-specific scientific evidence is necessary to justify any suggested solutions. In conclusion, governments from all countries and stakeholders should work to strengthen waste management infrastructure in low-and middle-income countries while extended producer responsibility (EPR) and deposit refund schemes (DPRs) are important add-ons to consider in plastic waste management, as they have been found to be effective in Australia, France, Germany, and Ecuador.","author":[{"dropping-particle":"","family":"Mazhandu","given":"Zvanaka S.","non-dropping-particle":"","parse-names":false,"suffix":""},{"dropping-particle":"","family":"Muzenda","given":"Edison","non-dropping-particle":"","parse-names":false,"suffix":""},{"dropping-particle":"","family":"Mamvura","given":"Tirivaviri A.","non-dropping-particle":"","parse-names":false,"suffix":""},{"dropping-particle":"","family":"Belaid","given":"Mohamed","non-dropping-particle":"","parse-names":false,"suffix":""},{"dropping-particle":"","family":"Nhubu","given":"Trust","non-dropping-particle":"","parse-names":false,"suffix":""}],"container-title":"Sustainability (Switzerland)","id":"ITEM-1","issue":"20","issued":{"date-parts":[["2020"]]},"page":"1-57","title":"Integrated and consolidated review of plastic waste management and bio-based biodegradable plastics: Challenges and opportunities","type":"article-journal","volume":"12"},"uris":["http://www.mendeley.com/documents/?uuid=e7046321-40e6-4c48-a501-44ba416d9b01","http://www.mendeley.com/documents/?uuid=9f2771f8-f086-444c-ad25-99d8ec7d4bbd"]}],"mendeley":{"formattedCitation":"(Mazhandu &lt;i&gt;et al.&lt;/i&gt;, 2020)","plainTextFormattedCitation":"(Mazhandu et al., 2020)","previouslyFormattedCitation":"(Mazhandu et al., 2020)"},"properties":{"noteIndex":0},"schema":"https://github.com/citation-style-language/schema/raw/master/csl-citation.json"}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(Mazhandu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2020)</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 xml:space="preserve">ADDIN CSL_CITATION {"citationItems":[{"id":"ITEM-1","itemData":{"DOI":"10.3390/su13105340","ISSN":"20711050","abstract":"Life Cycle Assessment (LCA) is a tool that can help to quantify the impacts of different processes to facilitate comparison and decision making. There are many potential methods for managing plastic waste, but it can be difficult to determine which methods are preferable in terms of environmental impact. Suitable existing LCA studies are identified through a screening process and the methodologies used and their outputs are compared. When undertaking an LCA, the researchers must define their scope and select their parameters, according to their aims and context, which leads to a wide variation in the approach taken. In this study, six parameters have been considered to analyze research progress in these fields regarding LCA, i.e., goals and scope, functional units, impact assessment categories, system boundaries, geographical context, and uncertainty analysis. These studies include the similar type of different studies considering plastic waste recycling, each taking a different approach to defining the system boundaries, revealing how the decision to include or exclude factors such as transport can have a significant impact on the outcomes. Additionally, compared to these similar studies on mixed-plastic waste management, different available options are used to quantitatively compare the impact outcomes, revealing how the context and parameter selection can affect the results. This review aims to highlight the prospect of LCA during the development of a waste management framework as an efficient waste recycling tool and recommend a research gap for the development of an improved management framework in the future.","author":[{"dropping-particle":"","family":"Alhazmi","given":"Hatem","non-dropping-particle":"","parse-names":false,"suffix":""},{"dropping-particle":"","family":"Almansour","given":"Faris H.","non-dropping-particle":"","parse-names":false,"suffix":""},{"dropping-particle":"","family":"Aldhafeeri","given":"Zaid","non-dropping-particle":"","parse-names":false,"suffix":""}],"container-title":"Sustainability (Switzerland)","id":"ITEM-1","issue":"10","issued":{"date-parts":[["2021"]]},"page":"1-21","title":"Plastic waste management: A review of existing life cycle assessment studies","type":"article-journal","volume":"13"},"uris":["http://www.mendeley.com/documents/?uuid=164eda87-a438-41ee-9e06-af64d4d9fbce","http://www.mendeley.com/documents/?uuid=d58a18bc-c151-4a07-b004-33439443d7a1"]}],"mendeley":{"formattedCitation":"(Alhazmi, Almansour and Aldhafeeri, 2021)","plainTextFormattedCitation":"(Alhazmi, Almansour and Aldhafeeri, 2021)","previouslyFormattedCitation":"(Alhazmi et al., 2021)"},"properties":{"noteIndex":0},"schema":"https://github.com/citation-style-language/schema/raw/master/csl-citation.json"}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(Alhazmi, Almansour and Aldhafeeri, 2021)</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 xml:space="preserve">ADDIN CSL_CITATION {"citationItems":[{"id":"ITEM-1","itemData":{"DOI":"10.3390/su152416840","ISSN":"20711050","abstract":"Plastic waste management has emerged as an urgent global challenge, that has attracted significant attention from researchers, policymakers, and stakeholders. Conducting a bibliometric study on this issue aims to provide a holistic and in-depth bibliometric mapping and analysis of plastic waste management, carefully traced through the Web of Science. Expansive data comprising scientific production by researchers, country/region contributions, affiliations, author references, and topical trends were meticulously scrutinized using the VOSviewer software (version 1.6.15). The exploration of bibliometric studies in plastic waste management is still limited, and this forms the basis of our commitment to explore this field in more depth. The findings in this study showed a progressive increase in the number of published works from 1992 to 2022, using the main keyword “plastic waste management” and 13,103 documents were found that were further analyzed. This demonstrates the profound impact of Chinese scientists on plastic waste management research, as evidenced by their prevalence as top affiliated authors. Given the increasing concern and heightened government and societal attention towards plastic pollution and water contamination, effective waste management, with a particular focus on plastic waste, emerged as the most influential keyword. This comprehensive analysis contributes to the existing literature by highlighting key trends and the urgent need for concerted efforts to address the challenges posed by plastic waste.","author":[{"dropping-particle":"","family":"Rinanda","given":"Rizki","non-dropping-particle":"","parse-names":false,"suffix":""},{"dropping-particle":"","family":"Sun","given":"Yunan","non-dropping-particle":"","parse-names":false,"suffix":""},{"dropping-particle":"","family":"Chang","given":"Keke","non-dropping-particle":"","parse-names":false,"suffix":""},{"dropping-particle":"","family":"Sulastri","given":"Rini","non-dropping-particle":"","parse-names":false,"suffix":""},{"dropping-particle":"","family":"Cui","given":"Xiaoqiang","non-dropping-particle":"","parse-names":false,"suffix":""},{"dropping-particle":"","family":"Cheng","given":"Zhanjun","non-dropping-particle":"","parse-names":false,"suffix":""},{"dropping-particle":"","family":"Yan","given":"Beibei","non-dropping-particle":"","parse-names":false,"suffix":""},{"dropping-particle":"","family":"Chen","given":"Guanyi","non-dropping-particle":"","parse-names":false,"suffix":""}],"container-title":"Sustainability (Switzerland)","id":"ITEM-1","issue":"24","issued":{"date-parts":[["2023"]]},"page":"1-19","title":"Plastic Waste Management: A Bibliometric Analysis (1992–2022)","type":"article-journal","volume":"15"},"uris":["http://www.mendeley.com/documents/?uuid=090208a1-c100-4251-a69a-4ddc1c25985d","http://www.mendeley.com/documents/?uuid=56d702ec-283d-46fd-9ef9-3bbc6372733d"]}],"mendeley":{"formattedCitation":"(Rinanda &lt;i&gt;et al.&lt;/i&gt;, 2023)","plainTextFormattedCitation":"(Rinanda et al., 2023)","previouslyFormattedCitation":"(Rinanda et al., 2023)"},"properties":{"noteIndex":0},"schema":"https://github.com/citation-style-language/schema/raw/master/csl-citation.json"}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 xml:space="preserve">(Rinanda </w:t>
      </w:r>
      <w:r>
        <w:rPr>
          <w:rFonts w:ascii="Times New Roman" w:hAnsi="Times New Roman" w:cs="Times New Roman"/>
          <w:i/>
          <w:sz w:val="24"/>
          <w:szCs w:val="24"/>
          <w:shd w:val="clear" w:color="auto" w:fill="FFFFFF"/>
        </w:rPr>
        <w:t>et al.</w:t>
      </w:r>
      <w:r>
        <w:rPr>
          <w:rFonts w:ascii="Times New Roman" w:hAnsi="Times New Roman" w:cs="Times New Roman"/>
          <w:sz w:val="24"/>
          <w:szCs w:val="24"/>
          <w:shd w:val="clear" w:color="auto" w:fill="FFFFFF"/>
        </w:rPr>
        <w:t>, 2023)</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Jumlah timbunan sampah Kota Palembang pada Tahun 2020 adalah  426.390,66 ton,dengan pengurangan sampah 19,79% dan penanganan sampah 76,69% dengan sampah  terkelola  96,49% dan sampah  tidak  terkelola  3,51%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 xml:space="preserve">ADDIN CSL_CITATION {"citationItems":[{"id":"ITEM-1","itemData":{"DOI":"10.25299/jiap.2023.vol9(1).12551","ISSN":"2502-0757","abstract":"This study aims to analyze the waste management carried out by DLHK Palembang City. This study was a qualitative descriptive research. In collecting the research data, the writer conducted observation and interview, literature study and documentation. The results showed that the waste reduction activities implemented by the Environment and Sanitation Service Palembang were the establishment of  Garbage Bank and TPS 3R, providing socialization and technical guidance on waste management to community, issuing appeals, circulars and socialization on reducing plastic waste to retail entrepreneurs, using tumblers, and restrictions on using plastic bags. The amount of waste made in Palembang in 2020 was 426,390.66 tones, with waste reduction (19.79%) and waste management (76.69%), managed waste (96.49%) and unmanaged waste (3.51%). The waste composition was dominated by food waste. There were obstacles in waste management, where the Garbage Bank, TPS 3R, waste collectors did not operate due to crowd restrictions, reduced volume of segregated waste from waste sources, and lack of public awareness in waste segregation and the use of re-useable products","author":[{"dropping-particle":"","family":"Sutinah Andaryani","given":"","non-dropping-particle":"","parse-names":false,"suffix":""},{"dropping-particle":"","family":"Dwikurniawati","given":"Ida Utami","non-dropping-particle":"","parse-names":false,"suffix":""},{"dropping-particle":"","family":"Rusdi","given":"Rusdi","non-dropping-particle":"","parse-names":false,"suffix":""}],"container-title":"PUBLIKA : Jurnal Ilmu Administrasi Publik","id":"ITEM-1","issue":"1","issued":{"date-parts":[["2023"]]},"page":"47-58","title":"Pelaksanaan Pengolahan Sampah Pada Dinas Lingkungan Hidup dan Kebersihan Kota Palembang","type":"article-journal","volume":"9"},"uris":["http://www.mendeley.com/documents/?uuid=503c5e11-b800-42d7-b28a-e7e082e46e71","http://www.mendeley.com/documents/?uuid=4a2f00fc-6437-4d14-852c-585653541a2f"]}],"mendeley":{"formattedCitation":"(Sutinah Andaryani, Dwikurniawati and Rusdi, 2023)","plainTextFormattedCitation":"(Sutinah Andaryani, Dwikurniawati and Rusdi, 2023)","previouslyFormattedCitation":"(Sutinah Andaryani et al., 2023)"},"properties":{"noteIndex":0},"schema":"https://github.com/citation-style-language/schema/raw/master/csl-citation.json"}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(Sutinah Andaryani, Dwikurniawati and Rusdi, 2023)</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w:t>
      </w:r>
    </w:p>
    <w:p w14:paraId="0C3D58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shd w:val="clear" w:color="auto" w:fill="FFFFFF"/>
        </w:rPr>
        <w:t>Plastik</w:t>
      </w:r>
      <w:r>
        <w:rPr>
          <w:rFonts w:ascii="Times New Roman" w:hAnsi="Times New Roman" w:cs="Times New Roman"/>
          <w:sz w:val="24"/>
          <w:szCs w:val="24"/>
          <w:shd w:val="clear" w:color="auto" w:fill="FFFFFF"/>
          <w:lang w:val="id-ID"/>
        </w:rPr>
        <w:t xml:space="preserve"> sebagai</w:t>
      </w:r>
      <w:r>
        <w:rPr>
          <w:rFonts w:ascii="Times New Roman" w:hAnsi="Times New Roman" w:cs="Times New Roman"/>
          <w:sz w:val="24"/>
          <w:szCs w:val="24"/>
          <w:shd w:val="clear" w:color="auto" w:fill="FFFFFF"/>
        </w:rPr>
        <w:t xml:space="preserve"> salah satu bahan yang paling umum digunakan dalam berbagai bidang kehidupan, dapat berdampak negatif pada lingkungan jika tidak dikelola dengan baik. Untuk mengatasi masalah ini, solusi yang inovatif dan berkelanjutan harus dikembangkan </w:t>
      </w:r>
      <w:r>
        <w:rPr>
          <w:rFonts w:ascii="Times New Roman" w:hAnsi="Times New Roman" w:cs="Times New Roman"/>
          <w:sz w:val="24"/>
          <w:szCs w:val="24"/>
          <w:shd w:val="clear" w:color="auto" w:fill="FFFFFF"/>
        </w:rPr>
        <w:fldChar w:fldCharType="begin" w:fldLock="1"/>
      </w:r>
      <w:r>
        <w:rPr>
          <w:rFonts w:ascii="Times New Roman" w:hAnsi="Times New Roman" w:cs="Times New Roman"/>
          <w:sz w:val="24"/>
          <w:szCs w:val="24"/>
          <w:shd w:val="clear" w:color="auto" w:fill="FFFFFF"/>
        </w:rPr>
        <w:instrText xml:space="preserve">ADDIN CSL_CITATION {"citationItems":[{"id":"ITEM-1","itemData":{"DOI":"10.46984/sebatik.v25i1.1279","ISSN":"1410-3737","abstract":"Ekonomi sirkular merupakan sebuah konsep ekonomi yang mengimplementasikan tujuan pembangunan berkelanjutan yang terkait dengan tingkat konsumsi dan produksi yang bertanggung jawab dan berkelanjutan. Konsep ekonomi ini memberikan sebuah solusi dari permasalahan sampah yang diproduksi oleh masyarakat, dengan tujuan membuat produk baru dari sumber daya sampah yang bermanfaat dan bernilai ekonomi. Tujuan penelitian ini adalah mengidentifikasi permasalahan tata kelola sampah dalam kontribusinya terhadap perekonomian daerah dan lingkungan hidup. Metode penelitian yang dipergunakan adalah metode kualitatif dinamika sistem (system dynamics) pendekatan Causal Loop Diagram. Teknik analisa data dengan menggunakan metode triangulasi yaitu wawancara mendalam dengan key informan, observasi partisipatif dan dokumentasi. Masih perlunya waktu secara bertahap (delay time) dalam mengimplementasikan konsep ekonomi sirkular berbasis masyarakat di kota Bengkayang terutama terkait dengan change behavior. Perlu adanya tindakan kolaboratif antar stakeholder seperti masyarakat umum, pemerintah daerah, pengusaha dan aktifis lingkungan hidup dalam mengimplementasikan sistem ekonomi sirkular. Program yang dapat dilakukan adalah dengan membentuk bank sampah pada setiap desa dan bank sampah induk dari Dinas Lingkungan Hidup dan Kehutanan, menerapkan konsep 3R ( reduce-reuse-recycle ) untuk setiap rumah tangga serta pendampingan dan pelatihan mengenai tata kelola sampah yang bertanggung jawab di setiap desa, sekolah dasar hingga SMA/SMK. Pentingnya keterlibatan para stakeholder dalam membentuk partisipasi masyarakat untuk menerapkan sistem ekonomi sirkular hingga masyarakat mampu secara mandiri.","author":[{"dropping-particle":"","family":"Kristianto","given":"Aloysius Hari","non-dropping-particle":"","parse-names":false,"suffix":""},{"dropping-particle":"","family":"Nadapdap","given":"Jones Parlindungan","non-dropping-particle":"","parse-names":false,"suffix":""}],"container-title":"Sebatik","id":"ITEM-1","issue":"1","issued":{"date-parts":[["2021"]]},"page":"59-67","title":"Dinamika Sistem Ekonomi Sirkular Berbasis Masyarakat Metode Causal Loop Diagram Kota Bengkayang","type":"article-journal","volume":"25"},"uris":["http://www.mendeley.com/documents/?uuid=d2d9a4bb-f6a9-43dd-9573-9ab32a38b558","http://www.mendeley.com/documents/?uuid=11c0bb59-c8df-4e01-95a3-f0fc34354b50"]}],"mendeley":{"formattedCitation":"(Kristianto and Nadapdap, 2021)","plainTextFormattedCitation":"(Kristianto and Nadapdap, 2021)","previouslyFormattedCitation":"(Kristianto &amp; Nadapdap, 2021)"},"properties":{"noteIndex":0},"schema":"https://github.com/citation-style-language/schema/raw/master/csl-citation.json"}</w:instrText>
      </w:r>
      <w:r>
        <w:rPr>
          <w:rFonts w:ascii="Times New Roman" w:hAnsi="Times New Roman" w:cs="Times New Roman"/>
          <w:sz w:val="24"/>
          <w:szCs w:val="24"/>
          <w:shd w:val="clear" w:color="auto" w:fill="FFFFFF"/>
        </w:rPr>
        <w:fldChar w:fldCharType="separate"/>
      </w:r>
      <w:r>
        <w:rPr>
          <w:rFonts w:ascii="Times New Roman" w:hAnsi="Times New Roman" w:cs="Times New Roman"/>
          <w:sz w:val="24"/>
          <w:szCs w:val="24"/>
          <w:shd w:val="clear" w:color="auto" w:fill="FFFFFF"/>
        </w:rPr>
        <w:t>(Kristianto and Nadapdap, 2021)</w:t>
      </w:r>
      <w:r>
        <w:rPr>
          <w:rFonts w:ascii="Times New Roman" w:hAnsi="Times New Roman" w:cs="Times New Roman"/>
          <w:sz w:val="24"/>
          <w:szCs w:val="24"/>
          <w:shd w:val="clear" w:color="auto" w:fill="FFFFFF"/>
        </w:rPr>
        <w:fldChar w:fldCharType="end"/>
      </w:r>
      <w:r>
        <w:rPr>
          <w:rFonts w:ascii="Times New Roman" w:hAnsi="Times New Roman" w:cs="Times New Roman"/>
          <w:sz w:val="24"/>
          <w:szCs w:val="24"/>
          <w:shd w:val="clear" w:color="auto" w:fill="FFFFFF"/>
        </w:rPr>
        <w:t xml:space="preserve">. </w:t>
      </w:r>
      <w:r>
        <w:rPr>
          <w:rFonts w:ascii="Times New Roman" w:hAnsi="Times New Roman" w:cs="Times New Roman"/>
          <w:sz w:val="24"/>
          <w:szCs w:val="24"/>
        </w:rPr>
        <w:t xml:space="preserve">Masyarakat Kelurahan Talang Betutu mayoritas berprofesi sebagai pedagang kecil, buruh harian, dan sebagian ibu rumah tangga yang memiliki aktivitas usaha mikro, seperti warung makan dan usaha jajanan. Aktivitas tersebut menghasilkan sampah plastik dalam jumlah signifikan, namun belum diimbangi dengan kesadaran dan keterampilan mengelola sampah secara produktif. </w:t>
      </w:r>
    </w:p>
    <w:p w14:paraId="1841A5D1">
      <w:pPr>
        <w:pStyle w:val="34"/>
        <w:spacing w:before="0" w:beforeAutospacing="0" w:after="0" w:afterAutospacing="0" w:line="360" w:lineRule="auto"/>
        <w:ind w:firstLine="567"/>
        <w:jc w:val="both"/>
      </w:pPr>
      <w:r>
        <w:t>Di Indonesia, permasalahan sampah plastik juga menunjukkan tren yang mengkhawatirkan. Data dari Kementerian Lingkungan Hidup dan Kehutanan (KLHK, 2021) menyebutkan bahwa Indonesia termasuk salah satu negara dengan kontribusi sampah plastik yang cukup tinggi. Rendahnya tingkat kesadaran masyarakat dalam memilah dan mengelola sampah menjadi salah satu faktor utama yang memperparah kondisi tersebut. Selain itu, keterbatasan sarana dan prasarana pengelolaan sampah juga menjadi kendala dalam penanganan limbah plastik secara optimal.</w:t>
      </w:r>
    </w:p>
    <w:p w14:paraId="4136D81F">
      <w:pPr>
        <w:pStyle w:val="34"/>
        <w:spacing w:before="0" w:beforeAutospacing="0" w:after="0" w:afterAutospacing="0" w:line="360" w:lineRule="auto"/>
        <w:ind w:firstLine="567"/>
        <w:jc w:val="both"/>
      </w:pPr>
    </w:p>
    <w:p w14:paraId="6334ED76">
      <w:pPr>
        <w:pStyle w:val="34"/>
        <w:spacing w:before="0" w:beforeAutospacing="0" w:after="0" w:afterAutospacing="0" w:line="360" w:lineRule="auto"/>
        <w:ind w:firstLine="567"/>
        <w:jc w:val="both"/>
      </w:pPr>
      <w:r>
        <w:drawing>
          <wp:inline distT="0" distB="0" distL="0" distR="0">
            <wp:extent cx="5486400" cy="30899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089910"/>
                    </a:xfrm>
                    <a:prstGeom prst="rect">
                      <a:avLst/>
                    </a:prstGeom>
                  </pic:spPr>
                </pic:pic>
              </a:graphicData>
            </a:graphic>
          </wp:inline>
        </w:drawing>
      </w:r>
    </w:p>
    <w:p w14:paraId="48AE6626">
      <w:pPr>
        <w:pStyle w:val="34"/>
        <w:spacing w:before="0" w:beforeAutospacing="0" w:after="0" w:afterAutospacing="0" w:line="360" w:lineRule="auto"/>
        <w:ind w:firstLine="567"/>
        <w:jc w:val="center"/>
      </w:pPr>
      <w:r>
        <w:t>Gambar 1. Botol plastik bekas yang telah diisi dan dipadatkan dengan sampah plastik</w:t>
      </w:r>
    </w:p>
    <w:p w14:paraId="16548839">
      <w:pPr>
        <w:pStyle w:val="34"/>
        <w:spacing w:before="0" w:beforeAutospacing="0" w:after="0" w:afterAutospacing="0" w:line="360" w:lineRule="auto"/>
        <w:ind w:firstLine="567"/>
        <w:jc w:val="both"/>
      </w:pPr>
    </w:p>
    <w:p w14:paraId="0122521F">
      <w:pPr>
        <w:pStyle w:val="34"/>
        <w:spacing w:before="0" w:beforeAutospacing="0" w:after="0" w:afterAutospacing="0" w:line="360" w:lineRule="auto"/>
        <w:ind w:firstLine="567"/>
        <w:jc w:val="both"/>
      </w:pPr>
    </w:p>
    <w:p w14:paraId="29830743">
      <w:pPr>
        <w:pStyle w:val="34"/>
        <w:spacing w:before="0" w:beforeAutospacing="0" w:after="0" w:afterAutospacing="0" w:line="360" w:lineRule="auto"/>
        <w:ind w:firstLine="567"/>
        <w:jc w:val="both"/>
      </w:pPr>
      <w:r>
        <w:t>Upaya penanganan limbah plastik perlu dilakukan secara komprehensif dengan melibatkan berbagai pihak, termasuk masyarakat sebagai aktor utama. Salah satu pendekatan yang dapat dilakukan adalah melalui kegiatan pengabdian kepada masyarakat yang berfokus pada edukasi dan pemberdayaan. Dalam hal ini, inovasi pengolahan limbah plastik menjadi produk bernilai guna menjadi solusi yang relevan dan aplikatif. Salah satu metode yang dapat diterapkan adalah ecobrick, yaitu teknik mengolah limbah plastik dengan cara memasukkan sampah plastik ke dalam botol hingga padat sehingga dapat dimanfaatkan sebagai bahan konstruksi atau produk kerajinan (Russell et al., 2019).</w:t>
      </w:r>
    </w:p>
    <w:p w14:paraId="22BA61FE">
      <w:pPr>
        <w:pStyle w:val="34"/>
        <w:spacing w:before="0" w:beforeAutospacing="0" w:after="0" w:afterAutospacing="0" w:line="360" w:lineRule="auto"/>
        <w:ind w:firstLine="567"/>
        <w:jc w:val="both"/>
      </w:pPr>
      <w:r>
        <w:t>Selain memberikan solusi terhadap permasalahan lingkungan, pemanfaatan limbah plastik melalui ecobrick juga memiliki potensi dalam mendukung pengembangan ekonomi kreatif lokal. Ekonomi kreatif merupakan sektor ekonomi yang mengandalkan kreativitas, ide, dan inovasi sebagai sumber utama nilai tambah (Howkins, 2001). Dengan memanfaatkan limbah plastik menjadi produk yang memiliki nilai estetika dan fungsi, masyarakat dapat menciptakan peluang usaha baru yang berkelanjutan.</w:t>
      </w:r>
    </w:p>
    <w:p w14:paraId="634E2024">
      <w:pPr>
        <w:pStyle w:val="34"/>
        <w:spacing w:before="0" w:beforeAutospacing="0" w:after="0" w:afterAutospacing="0" w:line="360" w:lineRule="auto"/>
        <w:ind w:firstLine="567"/>
        <w:jc w:val="both"/>
      </w:pPr>
      <w:r>
        <w:t>Kegiatan pengabdian kepada masyarakat ini dilaksanakan di Komplek Dekranasda Kota Palembang dengan melibatkan sebanyak 90 orang peserta yang terdiri dari ibu-ibu pengajian. Pemilihan sasaran ini didasarkan pada peran strategis ibu rumah tangga dalam pengelolaan sampah rumah tangga serta potensi mereka dalam mengembangkan usaha kreatif berbasis lingkungan. Melalui kegiatan ini, diharapkan peserta tidak hanya memperoleh pengetahuan, tetapi juga keterampilan praktis dalam mengolah limbah plastik menjadi ecobrick.</w:t>
      </w:r>
    </w:p>
    <w:p w14:paraId="4734013C">
      <w:pPr>
        <w:pStyle w:val="34"/>
        <w:spacing w:before="0" w:beforeAutospacing="0" w:after="0" w:afterAutospacing="0" w:line="360" w:lineRule="auto"/>
        <w:ind w:firstLine="567"/>
        <w:jc w:val="both"/>
      </w:pPr>
      <w:r>
        <w:t>Berdasarkan uraian tersebut, tujuan dari kegiatan ini adalah untuk meningkatkan kesadaran, pengetahuan, dan keterampilan masyarakat dalam pengelolaan limbah plastik, serta mendorong terciptanya peluang ekonomi kreatif berbasis lingkungan yang berkelanjutan. Dengan demikian, kegiatan ini diharapkan dapat memberikan kontribusi nyata dalam upaya pelestarian lingkungan sekaligus peningkatan kesejahteraan masyarakat.</w:t>
      </w:r>
      <w:r>
        <w:commentReference w:id="1"/>
      </w:r>
    </w:p>
    <w:p w14:paraId="6F2C4726">
      <w:pPr>
        <w:spacing w:after="0" w:line="360" w:lineRule="auto"/>
        <w:jc w:val="both"/>
        <w:rPr>
          <w:rFonts w:ascii="Times New Roman" w:hAnsi="Times New Roman" w:cs="Times New Roman"/>
          <w:sz w:val="24"/>
          <w:szCs w:val="24"/>
        </w:rPr>
      </w:pPr>
    </w:p>
    <w:p w14:paraId="34A1B367">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METODE PENELITIAN</w:t>
      </w:r>
      <w:r>
        <w:commentReference w:id="2"/>
      </w:r>
    </w:p>
    <w:p w14:paraId="67EB2A2C">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Kegiatan dilaksanakan pada 17 April 2026 di Komplek Dekranasda Palembang dengan melibatkan peserta ibu-ibu pengajian. Metode yang digunakan meliputi penyuluhan, demonstrasi, praktik langsung, serta diskusi interaktif antara peserta.</w:t>
      </w:r>
    </w:p>
    <w:p w14:paraId="47E80709">
      <w:pPr>
        <w:spacing w:after="0" w:line="360" w:lineRule="auto"/>
        <w:ind w:firstLine="567"/>
        <w:jc w:val="both"/>
        <w:rPr>
          <w:rFonts w:ascii="Times New Roman" w:hAnsi="Times New Roman" w:cs="Times New Roman"/>
          <w:sz w:val="24"/>
          <w:szCs w:val="24"/>
        </w:rPr>
      </w:pPr>
    </w:p>
    <w:p w14:paraId="43BDD085">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HASIL DAN PEMBAHASAN</w:t>
      </w:r>
    </w:p>
    <w:p w14:paraId="3257DB53">
      <w:pPr>
        <w:pStyle w:val="34"/>
        <w:spacing w:before="0" w:beforeAutospacing="0" w:after="0" w:afterAutospacing="0" w:line="360" w:lineRule="auto"/>
        <w:ind w:firstLine="567"/>
        <w:jc w:val="both"/>
      </w:pPr>
      <w:r>
        <w:t>Pelaksanaan kegiatan pengabdian kepada masyarakat ini berjalan dengan baik dan mendapatkan respon yang sangat positif dari para peserta. Kegiatan yang dilaksanakan di Komplek Dekranasda Kota Palembang ini diikuti oleh 90 orang ibu-ibu pengajian yang menunjukkan antusiasme tinggi sejak awal hingga akhir kegiatan. Antusiasme tersebut terlihat dari keaktifan peserta dalam mengikuti penyuluhan, banyaknya pertanyaan yang diajukan saat sesi diskusi, serta kesungguhan dalam mengikuti praktik pembuatan ecobrick. Hal ini menunjukkan bahwa materi yang disampaikan relevan dengan kebutuhan masyarakat serta mampu menarik minat peserta untuk belajar lebih lanjut.</w:t>
      </w:r>
    </w:p>
    <w:p w14:paraId="6F85D817">
      <w:pPr>
        <w:pStyle w:val="34"/>
        <w:spacing w:before="0" w:beforeAutospacing="0" w:after="0" w:afterAutospacing="0" w:line="360" w:lineRule="auto"/>
        <w:ind w:firstLine="567"/>
        <w:jc w:val="both"/>
      </w:pPr>
      <w:r>
        <w:t>Selama kegiatan berlangsung, peserta diberikan pemahaman mengenai dampak limbah plastik terhadap lingkungan, serta pentingnya pengelolaan sampah yang tepat. Pada tahap demonstrasi dan praktik, peserta diajak langsung untuk membuat ecobrick dengan memanfaatkan limbah plastik yang tersedia. Proses ini memberikan pengalaman baru bagi peserta karena sebagian besar dari mereka belum pernah mengenal teknik ecobrick sebelumnya. Dengan adanya praktik langsung, peserta dapat memahami secara lebih jelas tahapan pembuatan ecobrick serta manfaatnya dalam kehidupan sehari-hari.</w:t>
      </w:r>
    </w:p>
    <w:p w14:paraId="7CBFDB7E">
      <w:pPr>
        <w:pStyle w:val="34"/>
        <w:spacing w:before="0" w:beforeAutospacing="0" w:after="0" w:afterAutospacing="0" w:line="360" w:lineRule="auto"/>
        <w:ind w:firstLine="567"/>
        <w:jc w:val="both"/>
      </w:pPr>
      <w:r>
        <w:t>Selain memberikan manfaat bagi masyarakat, kegiatan ini juga menjadi pengalaman baru yang berharga bagi mahasiswa yang terlibat sebagai tim pelaksana. Mahasiswa tidak hanya memperoleh pengetahuan teoritis di dalam kelas, tetapi juga mendapatkan kesempatan untuk terjun langsung ke masyarakat. Mereka belajar bagaimana menyampaikan materi secara efektif, membangun komunikasi dengan peserta, serta bekerja sama dalam tim. Pengalaman ini sangat penting dalam membentuk karakter mahasiswa yang peduli terhadap lingkungan dan memiliki jiwa sosial yang tinggi.</w:t>
      </w:r>
    </w:p>
    <w:p w14:paraId="2A86A6A5">
      <w:pPr>
        <w:pStyle w:val="34"/>
        <w:spacing w:before="0" w:beforeAutospacing="0" w:after="0" w:afterAutospacing="0" w:line="360" w:lineRule="auto"/>
        <w:ind w:firstLine="567"/>
        <w:jc w:val="both"/>
      </w:pPr>
    </w:p>
    <w:p w14:paraId="2F9C41D7">
      <w:pPr>
        <w:pStyle w:val="34"/>
        <w:spacing w:before="0" w:beforeAutospacing="0" w:after="0" w:afterAutospacing="0" w:line="360" w:lineRule="auto"/>
        <w:ind w:firstLine="567"/>
        <w:jc w:val="both"/>
      </w:pPr>
      <w:r>
        <w:drawing>
          <wp:inline distT="0" distB="0" distL="0" distR="0">
            <wp:extent cx="4720590" cy="353314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738415" cy="3546543"/>
                    </a:xfrm>
                    <a:prstGeom prst="rect">
                      <a:avLst/>
                    </a:prstGeom>
                  </pic:spPr>
                </pic:pic>
              </a:graphicData>
            </a:graphic>
          </wp:inline>
        </w:drawing>
      </w:r>
    </w:p>
    <w:p w14:paraId="67D0AAF0">
      <w:pPr>
        <w:pStyle w:val="34"/>
        <w:spacing w:before="0" w:beforeAutospacing="0" w:after="0" w:afterAutospacing="0" w:line="360" w:lineRule="auto"/>
        <w:ind w:firstLine="567"/>
        <w:jc w:val="center"/>
      </w:pPr>
      <w:r>
        <w:t>Gambar 2. Penyuluhan tentang Ecobrick kepada peserta</w:t>
      </w:r>
    </w:p>
    <w:p w14:paraId="23BF4758">
      <w:pPr>
        <w:pStyle w:val="34"/>
        <w:spacing w:before="0" w:beforeAutospacing="0" w:after="0" w:afterAutospacing="0" w:line="360" w:lineRule="auto"/>
        <w:ind w:firstLine="567"/>
        <w:jc w:val="both"/>
      </w:pPr>
    </w:p>
    <w:p w14:paraId="0DD0F194">
      <w:pPr>
        <w:pStyle w:val="34"/>
        <w:spacing w:before="0" w:beforeAutospacing="0" w:after="0" w:afterAutospacing="0" w:line="360" w:lineRule="auto"/>
        <w:ind w:firstLine="567"/>
        <w:jc w:val="both"/>
      </w:pPr>
    </w:p>
    <w:p w14:paraId="67547BC3">
      <w:pPr>
        <w:pStyle w:val="34"/>
        <w:spacing w:before="0" w:beforeAutospacing="0" w:after="0" w:afterAutospacing="0" w:line="360" w:lineRule="auto"/>
        <w:ind w:firstLine="567"/>
        <w:jc w:val="both"/>
      </w:pPr>
      <w:r>
        <w:t>Peran dosen dalam kegiatan ini sangat signifikan sebagai fasilitator sekaligus penyebar ilmu pengetahuan. Dosen memberikan materi yang sistematis, mudah dipahami, dan aplikatif bagi peserta. Selain itu, dosen juga membimbing jalannya kegiatan serta memastikan bahwa tujuan kegiatan dapat tercapai dengan baik. Kolaborasi antara dosen dan mahasiswa dalam kegiatan ini mencerminkan implementasi nyata dari Tri Dharma Perguruan Tinggi, khususnya dalam bidang pengabdian kepada masyarakat.</w:t>
      </w:r>
    </w:p>
    <w:p w14:paraId="2F1CE5F2">
      <w:pPr>
        <w:pStyle w:val="34"/>
        <w:spacing w:before="0" w:beforeAutospacing="0" w:after="0" w:afterAutospacing="0" w:line="360" w:lineRule="auto"/>
        <w:ind w:firstLine="567"/>
        <w:jc w:val="both"/>
      </w:pPr>
      <w:r>
        <w:t>Bagi ibu-ibu pengajian sebagai peserta utama, kegiatan ini memberikan pengetahuan dan wawasan baru terkait pengelolaan limbah plastik. Mereka menjadi lebih sadar akan pentingnya menjaga lingkungan serta memahami bahwa limbah plastik dapat diolah menjadi produk yang memiliki nilai guna dan nilai ekonomi. Selain itu, peserta juga mulai melihat adanya peluang untuk mengembangkan usaha berbasis limbah plastik, seperti pembuatan kerajinan dari ecobrick yang dapat dipasarkan.</w:t>
      </w:r>
    </w:p>
    <w:p w14:paraId="02FC45A5">
      <w:pPr>
        <w:pStyle w:val="34"/>
        <w:spacing w:before="0" w:beforeAutospacing="0" w:after="0" w:afterAutospacing="0" w:line="360" w:lineRule="auto"/>
        <w:ind w:firstLine="567"/>
        <w:jc w:val="both"/>
      </w:pPr>
    </w:p>
    <w:p w14:paraId="16C72D7B">
      <w:pPr>
        <w:pStyle w:val="34"/>
        <w:spacing w:before="0" w:beforeAutospacing="0" w:after="0" w:afterAutospacing="0" w:line="360" w:lineRule="auto"/>
        <w:ind w:firstLine="567"/>
        <w:jc w:val="center"/>
      </w:pPr>
      <w:r>
        <w:drawing>
          <wp:inline distT="0" distB="0" distL="0" distR="0">
            <wp:extent cx="4667250" cy="3428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rcRect t="35925" b="9171"/>
                    <a:stretch>
                      <a:fillRect/>
                    </a:stretch>
                  </pic:blipFill>
                  <pic:spPr>
                    <a:xfrm>
                      <a:off x="0" y="0"/>
                      <a:ext cx="4677989" cy="3436170"/>
                    </a:xfrm>
                    <a:prstGeom prst="rect">
                      <a:avLst/>
                    </a:prstGeom>
                    <a:ln>
                      <a:noFill/>
                    </a:ln>
                  </pic:spPr>
                </pic:pic>
              </a:graphicData>
            </a:graphic>
          </wp:inline>
        </w:drawing>
      </w:r>
    </w:p>
    <w:p w14:paraId="17EF6FB7">
      <w:pPr>
        <w:pStyle w:val="34"/>
        <w:spacing w:before="0" w:beforeAutospacing="0" w:after="0" w:afterAutospacing="0" w:line="360" w:lineRule="auto"/>
        <w:ind w:firstLine="567"/>
        <w:jc w:val="both"/>
      </w:pPr>
    </w:p>
    <w:p w14:paraId="4D5E7D8A">
      <w:pPr>
        <w:pStyle w:val="34"/>
        <w:spacing w:before="0" w:beforeAutospacing="0" w:after="0" w:afterAutospacing="0" w:line="360" w:lineRule="auto"/>
        <w:ind w:firstLine="567"/>
        <w:jc w:val="center"/>
      </w:pPr>
      <w:r>
        <w:t>Gambar 3. Kursi dari peanafaatan botol plastik bekas yang berisi sampah plastik</w:t>
      </w:r>
    </w:p>
    <w:p w14:paraId="34F4915B">
      <w:pPr>
        <w:pStyle w:val="34"/>
        <w:spacing w:before="0" w:beforeAutospacing="0" w:after="0" w:afterAutospacing="0" w:line="360" w:lineRule="auto"/>
        <w:ind w:firstLine="567"/>
        <w:jc w:val="both"/>
      </w:pPr>
    </w:p>
    <w:p w14:paraId="02AE434B">
      <w:pPr>
        <w:pStyle w:val="34"/>
        <w:spacing w:before="0" w:beforeAutospacing="0" w:after="0" w:afterAutospacing="0" w:line="360" w:lineRule="auto"/>
        <w:ind w:firstLine="567"/>
        <w:jc w:val="both"/>
      </w:pPr>
      <w:r>
        <w:t>Secara keseluruhan, hasil kegiatan ini menunjukkan adanya peningkatan pemahaman dan keterampilan peserta dalam pembuatan ecobrick, serta terbukanya peluang usaha berbasis limbah plastik yang berpotensi meningkatkan ekonomi keluarga. Untuk menjaga keberlanjutan program, diperlukan adanya kegiatan lanjutan berupa pendampingan dan monitoring secara berkala. Dengan demikian, keterampilan yang telah diperoleh peserta dapat terus dikembangkan dan memberikan dampak yang lebih luas, baik dari segi lingkungan maupun ekonomi masyarakat secara berkelanjutan.</w:t>
      </w:r>
      <w:r>
        <w:commentReference w:id="3"/>
      </w:r>
    </w:p>
    <w:p w14:paraId="3FBE9624">
      <w:pPr>
        <w:spacing w:after="0" w:line="360" w:lineRule="auto"/>
        <w:ind w:firstLine="567"/>
        <w:jc w:val="both"/>
        <w:rPr>
          <w:rFonts w:ascii="Times New Roman" w:hAnsi="Times New Roman" w:cs="Times New Roman"/>
          <w:sz w:val="24"/>
          <w:szCs w:val="24"/>
        </w:rPr>
      </w:pPr>
    </w:p>
    <w:p w14:paraId="6773946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01727C84">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Kegiatan pengabdian kepada masyarakat ini berhasil meningkatkan pengetahuan dan keterampilan peserta dalam mengolah limbah plastik melalui metode ecobrick. Antusiasme ibu-ibu pengajian menunjukkan bahwa program ini relevan dan bermanfaat. Selain memberikan pengalaman baru bagi mahasiswa dan wadah dosen dalam menyebarkan ilmu, kegiatan ini juga membuka peluang ekonomi kreatif berbasis lingkungan. Oleh karena itu, diperlukan kegiatan lanjutan agar program ini berkelanjutan dan memberikan dampak yang lebih luas bagi masyarakat serta lingkungan.</w:t>
      </w:r>
      <w:r>
        <w:commentReference w:id="4"/>
      </w:r>
    </w:p>
    <w:p w14:paraId="05A6A574">
      <w:pPr>
        <w:spacing w:after="0" w:line="360" w:lineRule="auto"/>
        <w:ind w:firstLine="567"/>
        <w:jc w:val="both"/>
        <w:rPr>
          <w:rFonts w:ascii="Times New Roman" w:hAnsi="Times New Roman" w:cs="Times New Roman"/>
          <w:sz w:val="24"/>
          <w:szCs w:val="24"/>
        </w:rPr>
      </w:pPr>
    </w:p>
    <w:p w14:paraId="201F8303">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DAFTAR PUSTAKA</w:t>
      </w:r>
    </w:p>
    <w:p w14:paraId="732C3A96">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lang w:val="id-ID"/>
        </w:rPr>
        <w:fldChar w:fldCharType="begin" w:fldLock="1"/>
      </w:r>
      <w:r>
        <w:rPr>
          <w:rFonts w:ascii="Times New Roman" w:hAnsi="Times New Roman" w:cs="Times New Roman"/>
          <w:sz w:val="24"/>
          <w:szCs w:val="24"/>
          <w:lang w:val="id-ID"/>
        </w:rPr>
        <w:instrText xml:space="preserve">ADDIN Mendeley Bibliography CSL_BIBLIOGRAPHY </w:instrText>
      </w:r>
      <w:r>
        <w:rPr>
          <w:rFonts w:ascii="Times New Roman" w:hAnsi="Times New Roman" w:cs="Times New Roman"/>
          <w:sz w:val="24"/>
          <w:szCs w:val="24"/>
          <w:lang w:val="id-ID"/>
        </w:rPr>
        <w:fldChar w:fldCharType="separate"/>
      </w:r>
      <w:r>
        <w:rPr>
          <w:rFonts w:ascii="Times New Roman" w:hAnsi="Times New Roman" w:cs="Times New Roman"/>
          <w:sz w:val="24"/>
          <w:szCs w:val="24"/>
        </w:rPr>
        <w:t xml:space="preserve">Alhazmi, H., Almansour, F.H. and Aldhafeeri, Z. (2021) “Plastic waste management: A review of existing life cycle assessment studies,” </w:t>
      </w:r>
      <w:r>
        <w:rPr>
          <w:rFonts w:ascii="Times New Roman" w:hAnsi="Times New Roman" w:cs="Times New Roman"/>
          <w:i/>
          <w:iCs/>
          <w:sz w:val="24"/>
          <w:szCs w:val="24"/>
        </w:rPr>
        <w:t>Sustainability (Switzerland)</w:t>
      </w:r>
      <w:r>
        <w:rPr>
          <w:rFonts w:ascii="Times New Roman" w:hAnsi="Times New Roman" w:cs="Times New Roman"/>
          <w:sz w:val="24"/>
          <w:szCs w:val="24"/>
        </w:rPr>
        <w:t>, 13(10), pp. 1–21. Available at: https://doi.org/10.3390/su13105340.</w:t>
      </w:r>
    </w:p>
    <w:p w14:paraId="02D08A87">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Kristianto, A.H. and Nadapdap, J.P. (2021) “Dinamika Sistem Ekonomi Sirkular Berbasis Masyarakat Metode Causal Loop Diagram Kota Bengkayang,” </w:t>
      </w:r>
      <w:r>
        <w:rPr>
          <w:rFonts w:ascii="Times New Roman" w:hAnsi="Times New Roman" w:cs="Times New Roman"/>
          <w:i/>
          <w:iCs/>
          <w:sz w:val="24"/>
          <w:szCs w:val="24"/>
        </w:rPr>
        <w:t>Sebatik</w:t>
      </w:r>
      <w:r>
        <w:rPr>
          <w:rFonts w:ascii="Times New Roman" w:hAnsi="Times New Roman" w:cs="Times New Roman"/>
          <w:sz w:val="24"/>
          <w:szCs w:val="24"/>
        </w:rPr>
        <w:t>, 25(1), pp. 59–67. Available at: https://doi.org/10.46984/sebatik.v25i1.1279.</w:t>
      </w:r>
    </w:p>
    <w:p w14:paraId="155EFE3D">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Mazhandu, Z.S. </w:t>
      </w:r>
      <w:r>
        <w:rPr>
          <w:rFonts w:ascii="Times New Roman" w:hAnsi="Times New Roman" w:cs="Times New Roman"/>
          <w:i/>
          <w:iCs/>
          <w:sz w:val="24"/>
          <w:szCs w:val="24"/>
        </w:rPr>
        <w:t>et al.</w:t>
      </w:r>
      <w:r>
        <w:rPr>
          <w:rFonts w:ascii="Times New Roman" w:hAnsi="Times New Roman" w:cs="Times New Roman"/>
          <w:sz w:val="24"/>
          <w:szCs w:val="24"/>
        </w:rPr>
        <w:t xml:space="preserve"> (2020) “Integrated and consolidated review of plastic waste management and bio-based biodegradable plastics: Challenges and opportunities,” </w:t>
      </w:r>
      <w:r>
        <w:rPr>
          <w:rFonts w:ascii="Times New Roman" w:hAnsi="Times New Roman" w:cs="Times New Roman"/>
          <w:i/>
          <w:iCs/>
          <w:sz w:val="24"/>
          <w:szCs w:val="24"/>
        </w:rPr>
        <w:t>Sustainability (Switzerland)</w:t>
      </w:r>
      <w:r>
        <w:rPr>
          <w:rFonts w:ascii="Times New Roman" w:hAnsi="Times New Roman" w:cs="Times New Roman"/>
          <w:sz w:val="24"/>
          <w:szCs w:val="24"/>
        </w:rPr>
        <w:t>, 12(20), pp. 1–57. Available at: https://doi.org/10.3390/su12208360.</w:t>
      </w:r>
    </w:p>
    <w:p w14:paraId="784C2F8B">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Pandey, P. </w:t>
      </w:r>
      <w:r>
        <w:rPr>
          <w:rFonts w:ascii="Times New Roman" w:hAnsi="Times New Roman" w:cs="Times New Roman"/>
          <w:i/>
          <w:iCs/>
          <w:sz w:val="24"/>
          <w:szCs w:val="24"/>
        </w:rPr>
        <w:t>et al.</w:t>
      </w:r>
      <w:r>
        <w:rPr>
          <w:rFonts w:ascii="Times New Roman" w:hAnsi="Times New Roman" w:cs="Times New Roman"/>
          <w:sz w:val="24"/>
          <w:szCs w:val="24"/>
        </w:rPr>
        <w:t xml:space="preserve"> (2023) “Plastic waste management for sustainable environment: techniques and approaches,” </w:t>
      </w:r>
      <w:r>
        <w:rPr>
          <w:rFonts w:ascii="Times New Roman" w:hAnsi="Times New Roman" w:cs="Times New Roman"/>
          <w:i/>
          <w:iCs/>
          <w:sz w:val="24"/>
          <w:szCs w:val="24"/>
        </w:rPr>
        <w:t>Waste Disposal and Sustainable Energy</w:t>
      </w:r>
      <w:r>
        <w:rPr>
          <w:rFonts w:ascii="Times New Roman" w:hAnsi="Times New Roman" w:cs="Times New Roman"/>
          <w:sz w:val="24"/>
          <w:szCs w:val="24"/>
        </w:rPr>
        <w:t>, 5(2), pp. 205–222. Available at: https://doi.org/10.1007/s42768-023-00134-6.</w:t>
      </w:r>
    </w:p>
    <w:p w14:paraId="1DC8DFFC">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Rinanda, R. </w:t>
      </w:r>
      <w:r>
        <w:rPr>
          <w:rFonts w:ascii="Times New Roman" w:hAnsi="Times New Roman" w:cs="Times New Roman"/>
          <w:i/>
          <w:iCs/>
          <w:sz w:val="24"/>
          <w:szCs w:val="24"/>
        </w:rPr>
        <w:t>et al.</w:t>
      </w:r>
      <w:r>
        <w:rPr>
          <w:rFonts w:ascii="Times New Roman" w:hAnsi="Times New Roman" w:cs="Times New Roman"/>
          <w:sz w:val="24"/>
          <w:szCs w:val="24"/>
        </w:rPr>
        <w:t xml:space="preserve"> (2023) “Plastic Waste Management: A Bibliometric Analysis (1992–2022),” </w:t>
      </w:r>
      <w:r>
        <w:rPr>
          <w:rFonts w:ascii="Times New Roman" w:hAnsi="Times New Roman" w:cs="Times New Roman"/>
          <w:i/>
          <w:iCs/>
          <w:sz w:val="24"/>
          <w:szCs w:val="24"/>
        </w:rPr>
        <w:t>Sustainability (Switzerland)</w:t>
      </w:r>
      <w:r>
        <w:rPr>
          <w:rFonts w:ascii="Times New Roman" w:hAnsi="Times New Roman" w:cs="Times New Roman"/>
          <w:sz w:val="24"/>
          <w:szCs w:val="24"/>
        </w:rPr>
        <w:t>, 15(24), pp. 1–19. Available at: https://doi.org/10.3390/su152416840.</w:t>
      </w:r>
    </w:p>
    <w:p w14:paraId="3E457D05">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da Silva, L.F. </w:t>
      </w:r>
      <w:r>
        <w:rPr>
          <w:rFonts w:ascii="Times New Roman" w:hAnsi="Times New Roman" w:cs="Times New Roman"/>
          <w:i/>
          <w:iCs/>
          <w:sz w:val="24"/>
          <w:szCs w:val="24"/>
        </w:rPr>
        <w:t>et al.</w:t>
      </w:r>
      <w:r>
        <w:rPr>
          <w:rFonts w:ascii="Times New Roman" w:hAnsi="Times New Roman" w:cs="Times New Roman"/>
          <w:sz w:val="24"/>
          <w:szCs w:val="24"/>
        </w:rPr>
        <w:t xml:space="preserve"> (2022) “Management of Plastic Waste and a Circular Economy at the End of the Supply Chain: A Systematic Literature Review,” </w:t>
      </w:r>
      <w:r>
        <w:rPr>
          <w:rFonts w:ascii="Times New Roman" w:hAnsi="Times New Roman" w:cs="Times New Roman"/>
          <w:i/>
          <w:iCs/>
          <w:sz w:val="24"/>
          <w:szCs w:val="24"/>
        </w:rPr>
        <w:t>Energies</w:t>
      </w:r>
      <w:r>
        <w:rPr>
          <w:rFonts w:ascii="Times New Roman" w:hAnsi="Times New Roman" w:cs="Times New Roman"/>
          <w:sz w:val="24"/>
          <w:szCs w:val="24"/>
        </w:rPr>
        <w:t>, 15(3), pp. 1–15. Available at: https://doi.org/10.3390/en15030976.</w:t>
      </w:r>
    </w:p>
    <w:p w14:paraId="0ADA04AF">
      <w:pPr>
        <w:widowControl w:val="0"/>
        <w:autoSpaceDE w:val="0"/>
        <w:autoSpaceDN w:val="0"/>
        <w:adjustRightInd w:val="0"/>
        <w:spacing w:after="0" w:line="36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Sutinah Andaryani, Dwikurniawati, I.U. and Rusdi, R. (2023) “Pelaksanaan Pengolahan Sampah Pada Dinas Lingkungan Hidup dan Kebersihan Kota Palembang,” </w:t>
      </w:r>
      <w:r>
        <w:rPr>
          <w:rFonts w:ascii="Times New Roman" w:hAnsi="Times New Roman" w:cs="Times New Roman"/>
          <w:i/>
          <w:iCs/>
          <w:sz w:val="24"/>
          <w:szCs w:val="24"/>
        </w:rPr>
        <w:t>PUBLIKA : Jurnal Ilmu Administrasi Publik</w:t>
      </w:r>
      <w:r>
        <w:rPr>
          <w:rFonts w:ascii="Times New Roman" w:hAnsi="Times New Roman" w:cs="Times New Roman"/>
          <w:sz w:val="24"/>
          <w:szCs w:val="24"/>
        </w:rPr>
        <w:t>, 9(1), pp. 47–58. Available at: https://doi.org/10.25299/jiap.2023.vol9(1).12551.</w:t>
      </w:r>
    </w:p>
    <w:p w14:paraId="68F25536">
      <w:pPr>
        <w:widowControl w:val="0"/>
        <w:autoSpaceDE w:val="0"/>
        <w:autoSpaceDN w:val="0"/>
        <w:adjustRightInd w:val="0"/>
        <w:spacing w:after="0" w:line="360" w:lineRule="auto"/>
        <w:ind w:left="567" w:hanging="567"/>
        <w:jc w:val="both"/>
        <w:rPr>
          <w:rFonts w:ascii="Times New Roman" w:hAnsi="Times New Roman" w:cs="Times New Roman"/>
          <w:sz w:val="24"/>
        </w:rPr>
      </w:pPr>
      <w:r>
        <w:rPr>
          <w:rFonts w:ascii="Times New Roman" w:hAnsi="Times New Roman" w:cs="Times New Roman"/>
          <w:sz w:val="24"/>
          <w:szCs w:val="24"/>
        </w:rPr>
        <w:t xml:space="preserve">Wayan, E.S.N. </w:t>
      </w:r>
      <w:r>
        <w:rPr>
          <w:rFonts w:ascii="Times New Roman" w:hAnsi="Times New Roman" w:cs="Times New Roman"/>
          <w:i/>
          <w:iCs/>
          <w:sz w:val="24"/>
          <w:szCs w:val="24"/>
        </w:rPr>
        <w:t>et al.</w:t>
      </w:r>
      <w:r>
        <w:rPr>
          <w:rFonts w:ascii="Times New Roman" w:hAnsi="Times New Roman" w:cs="Times New Roman"/>
          <w:sz w:val="24"/>
          <w:szCs w:val="24"/>
        </w:rPr>
        <w:t xml:space="preserve"> (2023) “Meningkatkan Kesadaran Siswa/i Dalam Pengolahan Sampah Organik Dan Non-Organik Menjadi Kerajinan Tangan Yang Lebih Bermanfaat,” 4, pp. 150–155. Available at: https://doi.org/10.36733/jadma.v4i2.7777.</w:t>
      </w:r>
    </w:p>
    <w:p w14:paraId="7E98FE6D">
      <w:pPr>
        <w:spacing w:after="0" w:line="360" w:lineRule="auto"/>
        <w:ind w:left="567" w:hanging="567"/>
        <w:jc w:val="both"/>
        <w:rPr>
          <w:rFonts w:ascii="Times New Roman" w:hAnsi="Times New Roman" w:cs="Times New Roman"/>
          <w:sz w:val="24"/>
          <w:szCs w:val="24"/>
          <w:lang w:val="id-ID"/>
        </w:rPr>
      </w:pPr>
      <w:r>
        <w:rPr>
          <w:rFonts w:ascii="Times New Roman" w:hAnsi="Times New Roman" w:cs="Times New Roman"/>
          <w:sz w:val="24"/>
          <w:szCs w:val="24"/>
          <w:lang w:val="id-ID"/>
        </w:rPr>
        <w:fldChar w:fldCharType="end"/>
      </w:r>
    </w:p>
    <w:sectPr>
      <w:pgSz w:w="12240" w:h="15840"/>
      <w:pgMar w:top="1440" w:right="1800" w:bottom="1440" w:left="180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749506791" w:date="2026-07-14T06:09:33Z" w:initials="">
    <w:p w14:paraId="2591301E">
      <w:pPr>
        <w:pStyle w:val="17"/>
        <w:rPr>
          <w:rFonts w:hint="default"/>
          <w:lang w:val="en-US"/>
        </w:rPr>
      </w:pPr>
      <w:r>
        <w:rPr>
          <w:rFonts w:hint="default"/>
          <w:lang w:val="en-US"/>
        </w:rPr>
        <w:t>Pastikan abstrak telah dibuat dgn baik</w:t>
      </w:r>
    </w:p>
  </w:comment>
  <w:comment w:id="1" w:author="WPS_1749506791" w:date="2026-07-14T06:11:00Z" w:initials="">
    <w:p w14:paraId="53EBCAA1">
      <w:pPr>
        <w:pStyle w:val="17"/>
      </w:pPr>
      <w:r>
        <w:rPr>
          <w:rFonts w:hint="default"/>
          <w:lang w:val="en-US"/>
        </w:rPr>
        <w:t>Pastikan pendahuluan telah dibuat dgn baik</w:t>
      </w:r>
    </w:p>
  </w:comment>
  <w:comment w:id="2" w:author="WPS_1749506791" w:date="2026-07-14T06:11:19Z" w:initials="">
    <w:p w14:paraId="20C856A8">
      <w:pPr>
        <w:pStyle w:val="17"/>
        <w:rPr>
          <w:rFonts w:hint="default"/>
          <w:lang w:val="en-US"/>
        </w:rPr>
      </w:pPr>
      <w:r>
        <w:rPr>
          <w:rFonts w:hint="default"/>
          <w:lang w:val="en-US"/>
        </w:rPr>
        <w:t>Metode pelaksanaan narasi terlalu singkat, perlu diuraikan lagi bagaimana metode pelaksanaan kegiatan pkm ini</w:t>
      </w:r>
    </w:p>
  </w:comment>
  <w:comment w:id="3" w:author="WPS_1749506791" w:date="2026-07-14T06:12:33Z" w:initials="">
    <w:p w14:paraId="25A19C76">
      <w:pPr>
        <w:pStyle w:val="17"/>
        <w:rPr>
          <w:rFonts w:hint="default"/>
          <w:lang w:val="en-US"/>
        </w:rPr>
      </w:pPr>
      <w:r>
        <w:rPr>
          <w:rFonts w:hint="default"/>
          <w:lang w:val="en-US"/>
        </w:rPr>
        <w:t>Pastikan hasil pembahasan telah dibuat dgn baik</w:t>
      </w:r>
    </w:p>
    <w:p w14:paraId="4DADFF85">
      <w:pPr>
        <w:pStyle w:val="17"/>
      </w:pPr>
    </w:p>
  </w:comment>
  <w:comment w:id="4" w:author="WPS_1749506791" w:date="2026-07-14T06:12:48Z" w:initials="">
    <w:p w14:paraId="7C6D96CC">
      <w:pPr>
        <w:pStyle w:val="17"/>
        <w:rPr>
          <w:rFonts w:hint="default"/>
          <w:lang w:val="en-US"/>
        </w:rPr>
      </w:pPr>
      <w:r>
        <w:rPr>
          <w:rFonts w:hint="default"/>
          <w:lang w:val="en-US"/>
        </w:rPr>
        <w:t>Pastikan kesimpulan</w:t>
      </w:r>
      <w:bookmarkStart w:id="0" w:name="_GoBack"/>
      <w:bookmarkEnd w:id="0"/>
      <w:r>
        <w:rPr>
          <w:rFonts w:hint="default"/>
          <w:lang w:val="en-US"/>
        </w:rPr>
        <w:t xml:space="preserve"> telah dibuat dgn baik</w:t>
      </w:r>
    </w:p>
    <w:p w14:paraId="7B51AFFD">
      <w:pPr>
        <w:pStyle w:val="1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591301E" w15:done="0"/>
  <w15:commentEx w15:paraId="53EBCAA1" w15:done="0"/>
  <w15:commentEx w15:paraId="20C856A8" w15:done="0"/>
  <w15:commentEx w15:paraId="4DADFF85" w15:done="0"/>
  <w15:commentEx w15:paraId="7B51AFFD"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49506791">
    <w15:presenceInfo w15:providerId="WPS Office" w15:userId="3053045303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18F3"/>
    <w:rsid w:val="006E2A30"/>
    <w:rsid w:val="008B41DC"/>
    <w:rsid w:val="00A47698"/>
    <w:rsid w:val="00AA1D8D"/>
    <w:rsid w:val="00B111F8"/>
    <w:rsid w:val="00B22E0B"/>
    <w:rsid w:val="00B47730"/>
    <w:rsid w:val="00CB0664"/>
    <w:rsid w:val="00DA0D73"/>
    <w:rsid w:val="00FA530C"/>
    <w:rsid w:val="00FC693F"/>
    <w:rsid w:val="00FF13C5"/>
    <w:rsid w:val="194E7EB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id-ID" w:eastAsia="id-ID"/>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qFormat/>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1546</Words>
  <Characters>10900</Characters>
  <Lines>244</Lines>
  <Paragraphs>68</Paragraphs>
  <TotalTime>19</TotalTime>
  <ScaleCrop>false</ScaleCrop>
  <LinksUpToDate>false</LinksUpToDate>
  <CharactersWithSpaces>12415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Axioo</cp:lastModifiedBy>
  <dcterms:modified xsi:type="dcterms:W3CDTF">2026-07-13T23:13:00Z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97f8581d-444f-304f-92b2-69d16a031062</vt:lpwstr>
  </property>
  <property fmtid="{D5CDD505-2E9C-101B-9397-08002B2CF9AE}" pid="4" name="Mendeley Citation Style_1">
    <vt:lpwstr>http://www.zotero.org/styles/harvard1</vt:lpwstr>
  </property>
  <property fmtid="{D5CDD505-2E9C-101B-9397-08002B2CF9AE}" pid="5" name="KSOTemplateDocerSaveRecord">
    <vt:lpwstr>eyJoZGlkIjoiZDU5YWRiYzdiMTNkM2VlOTkwM2Q3MTk0YmJhMGNiNDciLCJ1c2VySWQiOiI5Nzk5MDI2MjY2MDMifQ==</vt:lpwstr>
  </property>
  <property fmtid="{D5CDD505-2E9C-101B-9397-08002B2CF9AE}" pid="6" name="KSOProductBuildVer">
    <vt:lpwstr>1033-12.1.0.26880</vt:lpwstr>
  </property>
  <property fmtid="{D5CDD505-2E9C-101B-9397-08002B2CF9AE}" pid="7" name="ICV">
    <vt:lpwstr>A7C215750C2144F29E28A8A5EB709318_12</vt:lpwstr>
  </property>
</Properties>
</file>