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AE8F9">
      <w:pPr>
        <w:jc w:val="center"/>
        <w:rPr>
          <w:rFonts w:ascii="Times New Roman" w:hAnsi="Times New Roman" w:cs="Times New Roman"/>
          <w:b/>
          <w:sz w:val="28"/>
          <w:szCs w:val="28"/>
          <w:lang w:val="id-ID"/>
        </w:rPr>
      </w:pPr>
    </w:p>
    <w:p w14:paraId="3833FE08">
      <w:pPr>
        <w:pStyle w:val="2"/>
        <w:spacing w:before="84"/>
        <w:ind w:left="105" w:right="217" w:hanging="5"/>
        <w:jc w:val="center"/>
        <w:rPr>
          <w:rFonts w:ascii="Times New Roman" w:hAnsi="Times New Roman" w:cs="Times New Roman"/>
        </w:rPr>
      </w:pPr>
      <w:r>
        <w:rPr>
          <w:rFonts w:ascii="Times New Roman" w:hAnsi="Times New Roman" w:cs="Times New Roman"/>
        </w:rPr>
        <w:t>PENYULUHAN PENTINGNYA PENYUSUNAN LAPORAN KEUANGAN BAGI PENGUSAHA KECIL</w:t>
      </w:r>
    </w:p>
    <w:p w14:paraId="2D476109">
      <w:pPr>
        <w:pStyle w:val="2"/>
        <w:spacing w:before="84"/>
        <w:ind w:left="105" w:right="217" w:hanging="5"/>
        <w:jc w:val="center"/>
        <w:rPr>
          <w:rFonts w:ascii="Times New Roman" w:hAnsi="Times New Roman" w:cs="Times New Roman"/>
        </w:rPr>
      </w:pPr>
      <w:r>
        <w:rPr>
          <w:rFonts w:ascii="Times New Roman" w:hAnsi="Times New Roman" w:cs="Times New Roman"/>
        </w:rPr>
        <w:t>DI</w:t>
      </w:r>
      <w:r>
        <w:rPr>
          <w:rFonts w:ascii="Times New Roman" w:hAnsi="Times New Roman" w:cs="Times New Roman"/>
          <w:spacing w:val="-5"/>
        </w:rPr>
        <w:t xml:space="preserve"> </w:t>
      </w:r>
      <w:r>
        <w:rPr>
          <w:rFonts w:ascii="Times New Roman" w:hAnsi="Times New Roman" w:cs="Times New Roman"/>
        </w:rPr>
        <w:t>RT.32</w:t>
      </w:r>
      <w:r>
        <w:rPr>
          <w:rFonts w:ascii="Times New Roman" w:hAnsi="Times New Roman" w:cs="Times New Roman"/>
          <w:spacing w:val="-7"/>
        </w:rPr>
        <w:t xml:space="preserve"> </w:t>
      </w:r>
      <w:r>
        <w:rPr>
          <w:rFonts w:ascii="Times New Roman" w:hAnsi="Times New Roman" w:cs="Times New Roman"/>
        </w:rPr>
        <w:t>KELURAHAN</w:t>
      </w:r>
      <w:r>
        <w:rPr>
          <w:rFonts w:ascii="Times New Roman" w:hAnsi="Times New Roman" w:cs="Times New Roman"/>
          <w:spacing w:val="-4"/>
        </w:rPr>
        <w:t xml:space="preserve"> </w:t>
      </w:r>
      <w:r>
        <w:rPr>
          <w:rFonts w:ascii="Times New Roman" w:hAnsi="Times New Roman" w:cs="Times New Roman"/>
          <w:spacing w:val="-7"/>
        </w:rPr>
        <w:t xml:space="preserve"> </w:t>
      </w:r>
      <w:r>
        <w:rPr>
          <w:rFonts w:ascii="Times New Roman" w:hAnsi="Times New Roman" w:cs="Times New Roman"/>
        </w:rPr>
        <w:t>DEMANG LEBAR DAUN CAMATAN</w:t>
      </w:r>
      <w:r>
        <w:rPr>
          <w:rFonts w:ascii="Times New Roman" w:hAnsi="Times New Roman" w:cs="Times New Roman"/>
          <w:spacing w:val="-4"/>
        </w:rPr>
        <w:t xml:space="preserve"> </w:t>
      </w:r>
      <w:r>
        <w:rPr>
          <w:rFonts w:ascii="Times New Roman" w:hAnsi="Times New Roman" w:cs="Times New Roman"/>
        </w:rPr>
        <w:t>ILIR</w:t>
      </w:r>
      <w:r>
        <w:rPr>
          <w:rFonts w:ascii="Times New Roman" w:hAnsi="Times New Roman" w:cs="Times New Roman"/>
          <w:spacing w:val="-4"/>
        </w:rPr>
        <w:t xml:space="preserve"> BARAT I PALEMBANG</w:t>
      </w:r>
    </w:p>
    <w:p w14:paraId="344ECDAD">
      <w:pPr>
        <w:jc w:val="center"/>
        <w:rPr>
          <w:rFonts w:ascii="Times New Roman" w:hAnsi="Times New Roman" w:cs="Times New Roman"/>
          <w:b/>
          <w:sz w:val="28"/>
          <w:szCs w:val="28"/>
          <w:lang w:val="id-ID"/>
        </w:rPr>
      </w:pPr>
    </w:p>
    <w:p w14:paraId="79DD97EA">
      <w:pPr>
        <w:spacing w:after="0" w:line="240" w:lineRule="auto"/>
        <w:jc w:val="center"/>
        <w:rPr>
          <w:rFonts w:ascii="Times New Roman" w:hAnsi="Times New Roman" w:eastAsia="Times New Roman" w:cs="Times New Roman"/>
          <w:bCs/>
          <w:sz w:val="24"/>
          <w:szCs w:val="24"/>
          <w:lang w:val="en-US" w:eastAsia="en-GB"/>
        </w:rPr>
      </w:pPr>
      <w:r>
        <w:rPr>
          <w:rFonts w:ascii="Times New Roman" w:hAnsi="Times New Roman" w:eastAsia="Times New Roman" w:cs="Times New Roman"/>
          <w:bCs/>
          <w:sz w:val="24"/>
          <w:szCs w:val="24"/>
          <w:lang w:val="en-US" w:eastAsia="en-GB"/>
        </w:rPr>
        <w:t xml:space="preserve">Shelly F Tobing,  Firdaus Sianipar,  Noviarni, Yunidar Erlina, </w:t>
      </w:r>
    </w:p>
    <w:p w14:paraId="326B46A0">
      <w:pPr>
        <w:spacing w:after="0" w:line="240" w:lineRule="auto"/>
        <w:jc w:val="center"/>
        <w:rPr>
          <w:rFonts w:ascii="Times New Roman" w:hAnsi="Times New Roman" w:eastAsia="Times New Roman" w:cs="Times New Roman"/>
          <w:bCs/>
          <w:sz w:val="24"/>
          <w:szCs w:val="24"/>
          <w:lang w:val="en-US" w:eastAsia="en-GB"/>
        </w:rPr>
      </w:pPr>
      <w:r>
        <w:rPr>
          <w:rFonts w:ascii="Times New Roman" w:hAnsi="Times New Roman" w:eastAsia="Times New Roman" w:cs="Times New Roman"/>
          <w:bCs/>
          <w:sz w:val="24"/>
          <w:szCs w:val="24"/>
          <w:lang w:val="en-US" w:eastAsia="en-GB"/>
        </w:rPr>
        <w:t>Mariyam Zanariah</w:t>
      </w:r>
    </w:p>
    <w:p w14:paraId="58813E24">
      <w:pPr>
        <w:spacing w:after="0" w:line="240" w:lineRule="auto"/>
        <w:jc w:val="center"/>
        <w:rPr>
          <w:rFonts w:ascii="Times New Roman" w:hAnsi="Times New Roman" w:eastAsia="Times New Roman" w:cs="Times New Roman"/>
          <w:bCs/>
          <w:sz w:val="24"/>
          <w:szCs w:val="24"/>
          <w:lang w:val="en-US" w:eastAsia="en-GB"/>
        </w:rPr>
      </w:pPr>
    </w:p>
    <w:p w14:paraId="7139D8FF">
      <w:pPr>
        <w:spacing w:after="0" w:line="240" w:lineRule="auto"/>
        <w:jc w:val="center"/>
        <w:rPr>
          <w:rFonts w:ascii="Times New Roman" w:hAnsi="Times New Roman" w:eastAsia="Times New Roman" w:cs="Times New Roman"/>
          <w:bCs/>
          <w:sz w:val="24"/>
          <w:szCs w:val="24"/>
          <w:lang w:val="en-US" w:eastAsia="en-GB"/>
        </w:rPr>
      </w:pPr>
      <w:r>
        <w:rPr>
          <w:rFonts w:ascii="Times New Roman" w:hAnsi="Times New Roman" w:eastAsia="Times New Roman" w:cs="Times New Roman"/>
          <w:bCs/>
          <w:sz w:val="24"/>
          <w:szCs w:val="24"/>
          <w:lang w:val="en-US" w:eastAsia="en-GB"/>
        </w:rPr>
        <w:t>Email Koresponden : 1. shelly_farida_tobing@univ-tridinanti.ac.id</w:t>
      </w:r>
    </w:p>
    <w:p w14:paraId="53469A62">
      <w:pPr>
        <w:spacing w:after="0" w:line="240" w:lineRule="auto"/>
        <w:jc w:val="center"/>
        <w:rPr>
          <w:rFonts w:ascii="Times New Roman" w:hAnsi="Times New Roman" w:eastAsia="Times New Roman" w:cs="Times New Roman"/>
          <w:bCs/>
          <w:sz w:val="24"/>
          <w:szCs w:val="24"/>
          <w:lang w:val="en-US" w:eastAsia="en-GB"/>
        </w:rPr>
      </w:pPr>
      <w:r>
        <w:rPr>
          <w:rFonts w:ascii="Times New Roman" w:hAnsi="Times New Roman" w:eastAsia="Times New Roman" w:cs="Times New Roman"/>
          <w:bCs/>
          <w:sz w:val="24"/>
          <w:szCs w:val="24"/>
          <w:lang w:val="en-US" w:eastAsia="en-GB"/>
        </w:rPr>
        <w:t>(Fakultas Ekonomi dan Bisnis, Universitas Tridinanti, Sumatera Selatan 1,2,3,4,5)</w:t>
      </w:r>
    </w:p>
    <w:p w14:paraId="2C2020AA">
      <w:pPr>
        <w:pStyle w:val="2"/>
        <w:spacing w:line="275" w:lineRule="exact"/>
        <w:rPr>
          <w:sz w:val="24"/>
          <w:lang w:val="id-ID"/>
        </w:rPr>
      </w:pPr>
      <w:r>
        <w:rPr>
          <w:lang w:val="id-ID"/>
        </w:rPr>
        <w:t>Abstrak</w:t>
      </w:r>
    </w:p>
    <w:p w14:paraId="0549DA0F">
      <w:pPr>
        <w:ind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sangatlah dibutuhkan terkhusus untuk menumbuhkan minat berwira usaha dalam rangka meningkatkan penghasilan. Memberikan penyuluhan pencatatan pembukuan dan pengelolaan keuangan  bertujuan untuk memberikan pengetahuan, pedoman pengelolaan keuangan. Metode yang digunakan dalam pengabdian kepada masyarakat ini adalah metode pendidikan masyarakat, dimana metode ini digunakan untuk kegiatan-kegiatan dalam bentuk penyuluhan yang bertujuan meningkatkan pemahaman tentang pentingnya laporan keuangan didalam suatu bisnis. </w:t>
      </w:r>
      <w:r>
        <w:t>Sasaran dalam pengabdian ini adalah masayarakat Rt 32 Kelurahan Demang Lebar Daun Kecamatan Ilir Barat I. Kegiatan ini</w:t>
      </w:r>
      <w:r>
        <w:rPr>
          <w:spacing w:val="-5"/>
        </w:rPr>
        <w:t xml:space="preserve"> </w:t>
      </w:r>
      <w:r>
        <w:t>dilaksanakan pada hari</w:t>
      </w:r>
      <w:r>
        <w:rPr>
          <w:spacing w:val="-5"/>
        </w:rPr>
        <w:t xml:space="preserve"> </w:t>
      </w:r>
      <w:r>
        <w:t xml:space="preserve">Sabtu : 04 April 2026 jam 09.00 Wib sampai dengan selesai. </w:t>
      </w:r>
      <w:r>
        <w:rPr>
          <w:rFonts w:ascii="Times New Roman" w:hAnsi="Times New Roman" w:cs="Times New Roman"/>
          <w:bCs/>
          <w:sz w:val="24"/>
          <w:szCs w:val="24"/>
          <w:lang w:val="id-ID"/>
        </w:rPr>
        <w:t>Dengan demikian melalui pengabdian kepada masyarakat ini diharapkan memberikan pengetahuan pembuatan laporan keuangan yang baik dan benar.</w:t>
      </w:r>
    </w:p>
    <w:p w14:paraId="7D3F1483">
      <w:pPr>
        <w:rPr>
          <w:rFonts w:ascii="Times New Roman" w:hAnsi="Times New Roman" w:cs="Times New Roman"/>
          <w:bCs/>
          <w:sz w:val="24"/>
          <w:szCs w:val="24"/>
          <w:lang w:val="id-ID"/>
        </w:rPr>
      </w:pPr>
      <w:r>
        <w:rPr>
          <w:rFonts w:ascii="Times New Roman" w:hAnsi="Times New Roman" w:cs="Times New Roman"/>
          <w:bCs/>
          <w:sz w:val="24"/>
          <w:szCs w:val="24"/>
          <w:lang w:val="id-ID"/>
        </w:rPr>
        <w:t>Kata Kunci: Usaha Kecil, Laporan Keuangan.</w:t>
      </w:r>
    </w:p>
    <w:p w14:paraId="3AA25AE9">
      <w:pPr>
        <w:pStyle w:val="2"/>
        <w:rPr>
          <w:rFonts w:ascii="Times New Roman" w:hAnsi="Times New Roman" w:cs="Times New Roman"/>
          <w:sz w:val="24"/>
          <w:lang w:val="id-ID"/>
        </w:rPr>
      </w:pPr>
      <w:r>
        <w:rPr>
          <w:rFonts w:ascii="Times New Roman" w:hAnsi="Times New Roman" w:cs="Times New Roman"/>
          <w:lang w:val="id-ID"/>
        </w:rPr>
        <w:t>PENDAHULUAN</w:t>
      </w:r>
    </w:p>
    <w:p w14:paraId="01866DCC">
      <w:pPr>
        <w:pStyle w:val="9"/>
        <w:spacing w:before="10"/>
        <w:jc w:val="left"/>
        <w:rPr>
          <w:b/>
          <w:sz w:val="21"/>
          <w:lang w:val="id-ID"/>
        </w:rPr>
      </w:pPr>
    </w:p>
    <w:p w14:paraId="521AE7B6">
      <w:pPr>
        <w:pStyle w:val="19"/>
        <w:numPr>
          <w:ilvl w:val="0"/>
          <w:numId w:val="2"/>
        </w:numPr>
        <w:spacing w:after="0" w:line="480" w:lineRule="auto"/>
        <w:ind w:left="426" w:hanging="426"/>
        <w:rPr>
          <w:rFonts w:ascii="Times New Roman" w:hAnsi="Times New Roman" w:cs="Times New Roman"/>
          <w:b/>
          <w:bCs/>
          <w:sz w:val="24"/>
          <w:szCs w:val="24"/>
        </w:rPr>
      </w:pPr>
      <w:r>
        <w:rPr>
          <w:rFonts w:ascii="Times New Roman" w:hAnsi="Times New Roman" w:cs="Times New Roman"/>
          <w:b/>
          <w:bCs/>
          <w:sz w:val="24"/>
          <w:szCs w:val="24"/>
        </w:rPr>
        <w:t xml:space="preserve">PENDAHULUAN </w:t>
      </w:r>
      <w:r>
        <w:commentReference w:id="0"/>
      </w:r>
    </w:p>
    <w:p w14:paraId="6D3800C3">
      <w:pPr>
        <w:spacing w:after="0" w:line="480" w:lineRule="auto"/>
        <w:ind w:firstLine="993"/>
        <w:jc w:val="both"/>
        <w:rPr>
          <w:rFonts w:ascii="Times New Roman" w:hAnsi="Times New Roman" w:cs="Times New Roman"/>
          <w:sz w:val="24"/>
          <w:szCs w:val="24"/>
          <w:lang w:val="id-ID"/>
        </w:rPr>
      </w:pPr>
      <w:r>
        <w:rPr>
          <w:rFonts w:ascii="Times New Roman" w:hAnsi="Times New Roman" w:cs="Times New Roman"/>
          <w:sz w:val="24"/>
          <w:szCs w:val="24"/>
        </w:rPr>
        <w:t>Bagi usaha kecil dan mene</w:t>
      </w:r>
      <w:r>
        <w:rPr>
          <w:rFonts w:ascii="Times New Roman" w:hAnsi="Times New Roman" w:cs="Times New Roman"/>
          <w:sz w:val="24"/>
          <w:szCs w:val="24"/>
          <w:lang w:val="id-ID"/>
        </w:rPr>
        <w:t>nga</w:t>
      </w:r>
      <w:r>
        <w:rPr>
          <w:rFonts w:ascii="Times New Roman" w:hAnsi="Times New Roman" w:cs="Times New Roman"/>
          <w:sz w:val="24"/>
          <w:szCs w:val="24"/>
        </w:rPr>
        <w:t xml:space="preserve">h </w:t>
      </w:r>
      <w:r>
        <w:rPr>
          <w:rFonts w:ascii="Times New Roman" w:hAnsi="Times New Roman" w:cs="Times New Roman"/>
          <w:sz w:val="24"/>
          <w:szCs w:val="24"/>
          <w:lang w:val="id-ID"/>
        </w:rPr>
        <w:t xml:space="preserve">Laporan </w:t>
      </w:r>
      <w:r>
        <w:rPr>
          <w:rFonts w:ascii="Times New Roman" w:hAnsi="Times New Roman" w:cs="Times New Roman"/>
          <w:sz w:val="24"/>
          <w:szCs w:val="24"/>
          <w:lang w:val="en-US"/>
        </w:rPr>
        <w:t>K</w:t>
      </w:r>
      <w:r>
        <w:rPr>
          <w:rFonts w:ascii="Times New Roman" w:hAnsi="Times New Roman" w:cs="Times New Roman"/>
          <w:sz w:val="24"/>
          <w:szCs w:val="24"/>
          <w:lang w:val="id-ID"/>
        </w:rPr>
        <w:t xml:space="preserve">euangan sangatlah diperlukan.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Dengan semakin besarnya skala usaha pengusaha kecil, maka sangatlah penting untuk menilai laporan posisi keuangan yang dulunya disebut Neraca. Melihat perlunya pengusaha kecil dalam berbisnis dan perlunya laporan posisi keuangan sebagai salah satu alat pengambilan keputusan, terutama untuk menentukan likuiditas, dan leverage maka materi pengabdian masyarakat ini disusun dengan judul Manfaat Penilaian Laporaan Posisi Keuangan (Neraca) Bagi Pengusaha Kecil. </w:t>
      </w:r>
    </w:p>
    <w:p w14:paraId="18823C44">
      <w:pPr>
        <w:spacing w:after="0" w:line="480" w:lineRule="auto"/>
        <w:ind w:firstLine="993"/>
        <w:jc w:val="both"/>
        <w:rPr>
          <w:rFonts w:ascii="Times New Roman" w:hAnsi="Times New Roman" w:cs="Times New Roman"/>
          <w:sz w:val="24"/>
          <w:szCs w:val="24"/>
          <w:lang w:val="id-ID"/>
        </w:rPr>
      </w:pPr>
      <w:r>
        <w:commentReference w:id="1"/>
      </w:r>
    </w:p>
    <w:p w14:paraId="574EC741">
      <w:pPr>
        <w:spacing w:after="0" w:line="48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B</w:t>
      </w:r>
      <w:r>
        <w:rPr>
          <w:rFonts w:ascii="Times New Roman" w:hAnsi="Times New Roman" w:cs="Times New Roman"/>
          <w:sz w:val="24"/>
          <w:szCs w:val="24"/>
          <w:lang w:val="id-ID"/>
        </w:rPr>
        <w:t xml:space="preserve">.  </w:t>
      </w:r>
      <w:r>
        <w:rPr>
          <w:rFonts w:ascii="Times New Roman" w:hAnsi="Times New Roman" w:cs="Times New Roman"/>
          <w:b/>
          <w:sz w:val="24"/>
          <w:szCs w:val="24"/>
          <w:lang w:val="id-ID"/>
        </w:rPr>
        <w:t>PENGUSAHA KECIL</w:t>
      </w:r>
    </w:p>
    <w:p w14:paraId="043EFE8E">
      <w:pPr>
        <w:spacing w:after="0" w:line="48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Pengertian pengusaha. Pengusaha meruapakan seseorang yang menjalankan aktivitas usaha baik usaha jual beli maupun usaha jasa produksi yang memiliki tujuan utama untuk memperoleh keuntungan. IAI, Brevet A, B Terpadu (2018 :21). Pengusaha juga harus siap menanggung risiko yang akan terjadi dalam aktivitas usahanya.  Aktivitas yang dilakukan pengusaha yaitu menghasilkan barang, Melakukan impor atau ekspor yang melakukan barang atau jasa dan memanfaatkan barang tidak berwujud dari luar daerah pabean. Berdasarkan skalanya pengusaha dapat dibagi menjadi pengusaha kecil, pengusaha mikro, dan pengusaha menengah.  Dalam materi pelatihan ini yang menjadi fokus bahasan adalah pengusaha kecil. </w:t>
      </w:r>
    </w:p>
    <w:p w14:paraId="02E356C7">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Menurut Peraturan Menteri Keuangan No. 197/PMK.03/2013, Pengusaha kecil adalah pengusaha yang melakukan penyerahan barang kena pajak atau jasa kena pajak (BKP/JKP) dengan jumlah peredran Bruto /Penerimaan Bruto tidak lebih dari Rp 4.800.000.000</w:t>
      </w:r>
    </w:p>
    <w:p w14:paraId="6684CC75">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penerimaan bruto yang dimaksud adalah jumlah keseluruhan penyerahan BKP/JKP  yang dilakukan pengusaha saat melakukan kegiatan usahanya. </w:t>
      </w:r>
    </w:p>
    <w:p w14:paraId="70C7C85B">
      <w:pPr>
        <w:spacing w:after="0" w:line="480" w:lineRule="auto"/>
        <w:rPr>
          <w:rFonts w:ascii="Times New Roman" w:hAnsi="Times New Roman" w:cs="Times New Roman"/>
          <w:b/>
          <w:bCs/>
          <w:sz w:val="24"/>
          <w:szCs w:val="24"/>
          <w:lang w:val="id-ID"/>
        </w:rPr>
      </w:pPr>
    </w:p>
    <w:p w14:paraId="397DC5DF">
      <w:pPr>
        <w:spacing w:after="0" w:line="480" w:lineRule="auto"/>
        <w:rPr>
          <w:rFonts w:ascii="Times New Roman" w:hAnsi="Times New Roman" w:cs="Times New Roman"/>
          <w:b/>
          <w:bCs/>
          <w:sz w:val="24"/>
          <w:szCs w:val="24"/>
        </w:rPr>
      </w:pPr>
      <w:r>
        <w:rPr>
          <w:rFonts w:ascii="Times New Roman" w:hAnsi="Times New Roman" w:cs="Times New Roman"/>
          <w:b/>
          <w:bCs/>
          <w:sz w:val="24"/>
          <w:szCs w:val="24"/>
          <w:lang w:val="id-ID"/>
        </w:rPr>
        <w:t xml:space="preserve">C.  </w:t>
      </w:r>
      <w:r>
        <w:rPr>
          <w:rFonts w:ascii="Times New Roman" w:hAnsi="Times New Roman" w:cs="Times New Roman"/>
          <w:b/>
          <w:bCs/>
          <w:sz w:val="24"/>
          <w:szCs w:val="24"/>
        </w:rPr>
        <w:t xml:space="preserve">JENIS USAHA KECIL </w:t>
      </w:r>
    </w:p>
    <w:p w14:paraId="291CC644">
      <w:pPr>
        <w:pStyle w:val="19"/>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Usaha kecil atau Pengusaha kecil merupakan pengusaha yang selama tahun buku melakukan penyerahan barang kena pajak dan atau jasa kena pajak dengan jumlah peredaran bruto dan atau penerimaan bruto tidak lebih dari Rp 600.000.000 (Enamratus juta rupiah).  Terdapat berbagai jenis usaha kecil antara lain :</w:t>
      </w:r>
    </w:p>
    <w:p w14:paraId="4FEEF8C4">
      <w:pPr>
        <w:pStyle w:val="19"/>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Toko / Warung Sembako</w:t>
      </w:r>
    </w:p>
    <w:p w14:paraId="1DCA5DC8">
      <w:pPr>
        <w:pStyle w:val="19"/>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Toko/warung sembako merupakan usaha yang banyak diminati hal ini dapat memberikan keuntungan dan pemasukan yang besar bila banyak terjadinya penjualan. Usaha ini dilakukan tidak memerlukan kantor dan dapat membagi waktu dalam kegiatan usahanya. Usahanya ini memerlukan modal guna tersedianya stock barang dengan berbagai jenis sehingga menimbulkan banyak minat pembeli. </w:t>
      </w:r>
      <w:r>
        <w:rPr>
          <w:rFonts w:ascii="Times New Roman" w:hAnsi="Times New Roman" w:cs="Times New Roman"/>
          <w:sz w:val="24"/>
          <w:szCs w:val="24"/>
          <w:lang w:val="id-ID"/>
        </w:rPr>
        <w:t xml:space="preserve">Banyaknya  minat pembeli tentunya menimbulkan akun persediaan yang memerlukan pencatatan sehingga keluar masuknya barang dapat dikelola dan pada akhirnya memberikan data yang akurat akan tersusunnya laporan keuangan yang berguna sebagai penilai keberhasilan penjualan warung/Toko </w:t>
      </w:r>
    </w:p>
    <w:p w14:paraId="777C8EAE">
      <w:pPr>
        <w:pStyle w:val="19"/>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Usaha-Usaha Laundry </w:t>
      </w:r>
    </w:p>
    <w:p w14:paraId="67D5F3B6">
      <w:pPr>
        <w:pStyle w:val="19"/>
        <w:spacing w:after="0" w:line="480" w:lineRule="auto"/>
        <w:ind w:left="660"/>
        <w:jc w:val="both"/>
        <w:rPr>
          <w:rFonts w:ascii="Times New Roman" w:hAnsi="Times New Roman" w:cs="Times New Roman"/>
          <w:sz w:val="24"/>
          <w:szCs w:val="24"/>
        </w:rPr>
      </w:pPr>
      <w:r>
        <w:rPr>
          <w:rFonts w:ascii="Times New Roman" w:hAnsi="Times New Roman" w:cs="Times New Roman"/>
          <w:sz w:val="24"/>
          <w:szCs w:val="24"/>
        </w:rPr>
        <w:t>Usaha laundry merupakan usaha kecil yang dapat membantu kehidupan ekonomi keluarga.Untuk mendapatkan pendapatan yang besar usaha ini harus memperhatikan  :</w:t>
      </w:r>
    </w:p>
    <w:p w14:paraId="15F378F1">
      <w:pPr>
        <w:pStyle w:val="19"/>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Seluk beluk Laundry</w:t>
      </w:r>
    </w:p>
    <w:p w14:paraId="387377A3">
      <w:pPr>
        <w:pStyle w:val="19"/>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Menentukan lokasi usaha</w:t>
      </w:r>
    </w:p>
    <w:p w14:paraId="40C189FF">
      <w:pPr>
        <w:pStyle w:val="19"/>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Mengamati competitor disekitarnya</w:t>
      </w:r>
    </w:p>
    <w:p w14:paraId="5BD7D70C">
      <w:pPr>
        <w:pStyle w:val="19"/>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Penentuantarif laundry</w:t>
      </w:r>
    </w:p>
    <w:p w14:paraId="0261D848">
      <w:pPr>
        <w:pStyle w:val="19"/>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Pelayanan</w:t>
      </w:r>
    </w:p>
    <w:p w14:paraId="7EB2EB5D">
      <w:pPr>
        <w:pStyle w:val="19"/>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Marketing</w:t>
      </w:r>
    </w:p>
    <w:p w14:paraId="30FC4B3F">
      <w:pPr>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Melalui beberapa faktor di atas akan dapat meningkatkan pendapatan usaha, dengan meningkatnya pendapatan usaha maka pihak laundry </w:t>
      </w:r>
      <w:r>
        <w:rPr>
          <w:rFonts w:ascii="Times New Roman" w:hAnsi="Times New Roman" w:cs="Times New Roman"/>
          <w:sz w:val="24"/>
          <w:szCs w:val="24"/>
          <w:lang w:val="id-ID"/>
        </w:rPr>
        <w:t xml:space="preserve">harus pula membuat catatan yang meliputi semua transaksi laundry yang terjadi berkenaan dengan penerimaan dan pengeluaran sehingga keakuratan data laundry dapat diandalkan dan dapat disusn laporan keuangan bagi usaha jasa laundry tersebut. </w:t>
      </w:r>
    </w:p>
    <w:p w14:paraId="59DF6F0D">
      <w:pPr>
        <w:pStyle w:val="19"/>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Usaha Bengkel Motor</w:t>
      </w:r>
    </w:p>
    <w:p w14:paraId="6BB42448">
      <w:pPr>
        <w:pStyle w:val="19"/>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Usaha bengkel motor merupakan usaha jasa, yaitu jasa perbaikan kendaraan bermotor. Disamping itu usaha bengkel motor juga menyiapkan suku cadang seperti; spare part, onderdil-onderdil, oli dan sejenisnya sehinga tidak hanya jasa service kendaraan yang diberikan namun hasil penjualan sparepart juga dapat memberikan pendapatan kepada usaha bengkel tersebut. </w:t>
      </w:r>
      <w:r>
        <w:rPr>
          <w:rFonts w:ascii="Times New Roman" w:hAnsi="Times New Roman" w:cs="Times New Roman"/>
          <w:sz w:val="24"/>
          <w:szCs w:val="24"/>
          <w:lang w:val="id-ID"/>
        </w:rPr>
        <w:t xml:space="preserve">Untuk mengontrol usaha bengkel ini perlu pula dibuat catatan yang memadai mengenai penerimaan dan pengeluaran uang yang terjadi disuaha bengkel tersebut. Melalui catatan penerimaan dan pengeluaran usaha jasa bengkel ini akan dapat dilihata laba atau rugi usaha melalui penyusunan laporan keuangan yang berguna bagi pengusaha kecil. </w:t>
      </w:r>
    </w:p>
    <w:p w14:paraId="78E0C0D5">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Usaha Kuliner </w:t>
      </w:r>
    </w:p>
    <w:p w14:paraId="20E81E85">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Saat ini dalam menggalakkan usaha pendapatan dari pariwisata, maka usaha jasa kuliner salah satu hal yang mendukung pendapatan bagi pengusaha kecil. </w:t>
      </w:r>
    </w:p>
    <w:p w14:paraId="03E78E9D">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kuliner ini dalam bentuk makanan sehari-hari (jajanan pasar) dan berbagai makan khas daerah misalnya di Palembang dalam bentuk makanan empek-empek Palembang, bugro, celimpongan, Putu Ayu  dan berbagai jenis makanan khas palembang lainnya. Sebagai Pebisnis atau Pengusaha kecil harus memerlukan pencatatan untuk melihat keuntungan atau kerugian usaha, hal ini diperlukan pemahaman konsep akuntansi hingga dari konsep akuntansi tersebut akan tersususn laporan keuangan usaha kuliner yang sangat berguna bagi pengusaha sebagai alat pengambilan keputusan. </w:t>
      </w:r>
    </w:p>
    <w:p w14:paraId="6556DCA6">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Usaha Rumah Makan </w:t>
      </w:r>
    </w:p>
    <w:p w14:paraId="505BAE4F">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rumah makan merupakan usaha yang sangat menguntungkan bagi pengusaha kecil. Rumah makan akan memberikan pelayanan kepada konsumen pembeli produk rumah makan, misalnya berbagai jenis nasi bungkus yang ada di rumah makan tersebut. Pelayanan pembeli dapat dilakukan pada pembeli langsung maupun pesanan yang dilakukan pembeli. Hal ini akan membuat palak pusing bagi pengusaha kecil. Oleh karena itu, diperlukan pencatatan penerimaan dan pengeluaran uang rumah makan dan bergabagai kegiatan lainnya yang ada di rumah makan, dan dengan akuratnya pencatatan maka data  tersebut dapat disusun menjadi laporan keuangan melalui ilmu akuntansi yang sangat berguna bagi pengusaha kecil  dalam menilai kinerja rumah makan. Kinerja rumah makan dapat dinilai dari laporan keunagan ini misalnya bagaimana laba yang terjadi, bagaimana gaji karyawan, bagaimana pajak rumah makan dan lain-lain yang dapat dilihat dari laporan keuangan. </w:t>
      </w:r>
    </w:p>
    <w:p w14:paraId="35E86E10">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Berbagai usaha lainnya yang dapat dilakukan oleh pengusaha kecil, misalnya membuka usaha toko souvenir, usaha salon kecantikan, Toko Kerajinan, Toko Pakaian, Usaha Jasa penjahit pakaian (Konveksi), Toko Pulsa dan lain-lainya. </w:t>
      </w:r>
    </w:p>
    <w:p w14:paraId="30D322B2">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Semua usaha kecil ini yang dilakukan oleh pengusaha kecil haruslah memerlukan pencatatan penerimaan dan pengeluaran uang yang terjadi. Dari data tersebut dapat disusun laporan keuanga yang berguna bagi pengusaha kecil dari sisi intern dan ekstern. Dari sisi intern sebagai penilai keberhasilan yang dilihat dari dalam usaha, sedangkan sisi ekstern yang berguna antara lain sebagai perluasan usaha dimana laporan keuangan sebagai penjamin usaha kecil. </w:t>
      </w:r>
    </w:p>
    <w:p w14:paraId="2EE6DA10">
      <w:pPr>
        <w:spacing w:after="0" w:line="480" w:lineRule="auto"/>
        <w:ind w:left="284"/>
        <w:jc w:val="both"/>
        <w:rPr>
          <w:rFonts w:ascii="Times New Roman" w:hAnsi="Times New Roman" w:cs="Times New Roman"/>
          <w:sz w:val="24"/>
          <w:szCs w:val="24"/>
          <w:lang w:val="id-ID"/>
        </w:rPr>
      </w:pPr>
    </w:p>
    <w:p w14:paraId="694851A8">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D. </w:t>
      </w:r>
      <w:r>
        <w:rPr>
          <w:rFonts w:ascii="Times New Roman" w:hAnsi="Times New Roman" w:cs="Times New Roman"/>
          <w:b/>
          <w:sz w:val="24"/>
          <w:szCs w:val="24"/>
          <w:lang w:val="id-ID"/>
        </w:rPr>
        <w:t>LAPORAN KEUANGAN (NERACA)</w:t>
      </w:r>
    </w:p>
    <w:p w14:paraId="16717C91">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Laporan posisi keuangan (</w:t>
      </w:r>
      <w:r>
        <w:rPr>
          <w:rFonts w:ascii="Times New Roman" w:hAnsi="Times New Roman" w:cs="Times New Roman"/>
          <w:i/>
          <w:sz w:val="24"/>
          <w:szCs w:val="24"/>
          <w:lang w:val="id-ID"/>
        </w:rPr>
        <w:t>Staetment of financial position</w:t>
      </w:r>
      <w:r>
        <w:rPr>
          <w:rFonts w:ascii="Times New Roman" w:hAnsi="Times New Roman" w:cs="Times New Roman"/>
          <w:sz w:val="24"/>
          <w:szCs w:val="24"/>
          <w:lang w:val="id-ID"/>
        </w:rPr>
        <w:t>) yang dulunya disebut Neraca (</w:t>
      </w:r>
      <w:r>
        <w:rPr>
          <w:rFonts w:ascii="Times New Roman" w:hAnsi="Times New Roman" w:cs="Times New Roman"/>
          <w:i/>
          <w:sz w:val="24"/>
          <w:szCs w:val="24"/>
          <w:lang w:val="id-ID"/>
        </w:rPr>
        <w:t>Balanvce Sheet</w:t>
      </w:r>
      <w:r>
        <w:rPr>
          <w:rFonts w:ascii="Times New Roman" w:hAnsi="Times New Roman" w:cs="Times New Roman"/>
          <w:sz w:val="24"/>
          <w:szCs w:val="24"/>
          <w:lang w:val="id-ID"/>
        </w:rPr>
        <w:t xml:space="preserve">), merupakan suatu daftar yang menggambarkan poisisi kekayaan perusahaan pada suatu saat tertentu (Kieso </w:t>
      </w:r>
      <w:r>
        <w:rPr>
          <w:rFonts w:ascii="Times New Roman" w:hAnsi="Times New Roman" w:cs="Times New Roman"/>
          <w:sz w:val="24"/>
          <w:szCs w:val="24"/>
          <w:lang w:val="en-US"/>
        </w:rPr>
        <w:t>W</w:t>
      </w:r>
      <w:r>
        <w:rPr>
          <w:rFonts w:ascii="Times New Roman" w:hAnsi="Times New Roman" w:cs="Times New Roman"/>
          <w:sz w:val="24"/>
          <w:szCs w:val="24"/>
          <w:lang w:val="id-ID"/>
        </w:rPr>
        <w:t xml:space="preserve">eygandt, 2017:238). Laporan Posisi keuangan ini terdiri dari Aset, Liablitas, dan equitas perusahaan bisnis pada tanggal tertentu. Laporan Posisi Keuangan ini membantu dalam memprediksi jumlah, waktu dan ketidak pastian arus kas masa depan. Laporan posisi keuangan ini terdiri dari : Aset, Liabilitas dan Equitas. </w:t>
      </w:r>
    </w:p>
    <w:p w14:paraId="1AC474AF">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Aset,</w:t>
      </w:r>
      <w:r>
        <w:rPr>
          <w:rFonts w:ascii="Times New Roman" w:hAnsi="Times New Roman" w:cs="Times New Roman"/>
          <w:sz w:val="24"/>
          <w:szCs w:val="24"/>
          <w:lang w:val="id-ID"/>
        </w:rPr>
        <w:t xml:space="preserve"> merupakan sumber daya yang dikendalikan oleh entitas sebagai akibat dari peristiwa masa lalu dan darimana manfaat ekonomi masa depan diharapkan akan mengalir ke entitas. Aset terdiri dari : Aset Lancar, Aset Tidak lancar dan Aset lainnya. </w:t>
      </w:r>
    </w:p>
    <w:p w14:paraId="7DBD2547">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Aset Lancar</w:t>
      </w:r>
      <w:r>
        <w:rPr>
          <w:rFonts w:ascii="Times New Roman" w:hAnsi="Times New Roman" w:cs="Times New Roman"/>
          <w:sz w:val="24"/>
          <w:szCs w:val="24"/>
          <w:lang w:val="id-ID"/>
        </w:rPr>
        <w:t xml:space="preserve"> (</w:t>
      </w:r>
      <w:r>
        <w:rPr>
          <w:rFonts w:ascii="Times New Roman" w:hAnsi="Times New Roman" w:cs="Times New Roman"/>
          <w:i/>
          <w:sz w:val="24"/>
          <w:szCs w:val="24"/>
          <w:lang w:val="id-ID"/>
        </w:rPr>
        <w:t>Current Asset</w:t>
      </w:r>
      <w:r>
        <w:rPr>
          <w:rFonts w:ascii="Times New Roman" w:hAnsi="Times New Roman" w:cs="Times New Roman"/>
          <w:sz w:val="24"/>
          <w:szCs w:val="24"/>
          <w:lang w:val="id-ID"/>
        </w:rPr>
        <w:t xml:space="preserve">) adalah kas dan aset lain yang diharapkan oleh perusahaan dapat dikonversi menjadi kas, dijual atau dikonsumsi dalam satu tahun atau dalam siklus operasi, manapun yang lebih lama (Kieso, 2016 :245). Misalnya kas, piutang, persediaan, perlengkapan, biaya dibayar dimuka dan sejenisnya. </w:t>
      </w:r>
    </w:p>
    <w:p w14:paraId="374E9B17">
      <w:pPr>
        <w:spacing w:after="0" w:line="480" w:lineRule="auto"/>
        <w:ind w:left="284"/>
        <w:jc w:val="both"/>
        <w:rPr>
          <w:rFonts w:ascii="Times New Roman" w:hAnsi="Times New Roman" w:cs="Times New Roman"/>
          <w:sz w:val="24"/>
          <w:szCs w:val="24"/>
          <w:lang w:val="en-US"/>
        </w:rPr>
      </w:pPr>
      <w:r>
        <w:rPr>
          <w:rFonts w:ascii="Times New Roman" w:hAnsi="Times New Roman" w:cs="Times New Roman"/>
          <w:b/>
          <w:i/>
          <w:sz w:val="24"/>
          <w:szCs w:val="24"/>
          <w:lang w:val="id-ID"/>
        </w:rPr>
        <w:t xml:space="preserve">Aset tidak lancar (Non Current Aset) </w:t>
      </w:r>
      <w:r>
        <w:rPr>
          <w:rFonts w:ascii="Times New Roman" w:hAnsi="Times New Roman" w:cs="Times New Roman"/>
          <w:sz w:val="24"/>
          <w:szCs w:val="24"/>
          <w:lang w:val="id-ID"/>
        </w:rPr>
        <w:t xml:space="preserve">adalah aset yang tidak memenuhi definisi aset lancat, aset tidak lancar mencakup berbagai pos, misalnya; investasi, aset tetap, aset tak berwujud dan aset lainnya. </w:t>
      </w:r>
    </w:p>
    <w:p w14:paraId="5DA09A85">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Liabilitas, </w:t>
      </w:r>
      <w:r>
        <w:rPr>
          <w:rFonts w:ascii="Times New Roman" w:hAnsi="Times New Roman" w:cs="Times New Roman"/>
          <w:sz w:val="24"/>
          <w:szCs w:val="24"/>
          <w:lang w:val="id-ID"/>
        </w:rPr>
        <w:t xml:space="preserve">Merupakan kewajiban entitas masa kini yang timbul dari peristiwa masa lalu, penyelesaiannya diperkirakan mengakibatkan arus keluar dari sumberdaya entitas yang mengandung manfaat ekonomi.Liabilitas dbagi menjadi liabilitas jangka pendek dan libilitas jangka panjang. </w:t>
      </w:r>
    </w:p>
    <w:p w14:paraId="7554BFFF">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Liabilitas jangka pendek (Curren liabilities), </w:t>
      </w:r>
      <w:r>
        <w:rPr>
          <w:rFonts w:ascii="Times New Roman" w:hAnsi="Times New Roman" w:cs="Times New Roman"/>
          <w:sz w:val="24"/>
          <w:szCs w:val="24"/>
          <w:lang w:val="id-ID"/>
        </w:rPr>
        <w:t xml:space="preserve">kwajiban yang pada umumnya diharapkan oleh perusahaan untuk diselesaikan dalam siklus operasi normal, seperti ; Hutang gaji, Hutang Pajak, Hutang dagang dan sejenisnya. </w:t>
      </w:r>
    </w:p>
    <w:p w14:paraId="4F56981D">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Liabilitas Jangka Panjang (Non current liabilities),</w:t>
      </w:r>
      <w:r>
        <w:rPr>
          <w:rFonts w:ascii="Times New Roman" w:hAnsi="Times New Roman" w:cs="Times New Roman"/>
          <w:sz w:val="24"/>
          <w:szCs w:val="24"/>
          <w:lang w:val="id-ID"/>
        </w:rPr>
        <w:t xml:space="preserve">merupakan salah satu produk hutang yang pembayaran atau pelunasannya diberikan tenggat aktu yang cukup lama, atau bisa dibilang waktu pelun asan dan pinjaman diatas satu tahun atau satu periode akuntansi. Jenis hutang ini misalnya hutang hipotik atau hutang obligasi. </w:t>
      </w:r>
    </w:p>
    <w:p w14:paraId="481681C0">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Equitas , </w:t>
      </w:r>
      <w:r>
        <w:rPr>
          <w:rFonts w:ascii="Times New Roman" w:hAnsi="Times New Roman" w:cs="Times New Roman"/>
          <w:sz w:val="24"/>
          <w:szCs w:val="24"/>
          <w:lang w:val="id-ID"/>
        </w:rPr>
        <w:t xml:space="preserve">Ekuitas adalah modal. Dalam arti yang luas, ekuitas adalah jumlah hak atau aset yang dikeluarkan oleh perusahaan untuk melakukan operasinya. Hal ini berarti bahwa aset tersebut telah dialihkan untuk disimpan sehubungan dengan kwajibannya. Rumus ekuitas sangatlah sederhana yaitu Aset dikurangi kewajiban. Dari rumus ini dapat ditarik makna bahwa aset merupakan seluruh harta yang dapat dikembalikan pada pemilik modal jika perusahaan dilikuidasi. </w:t>
      </w:r>
    </w:p>
    <w:p w14:paraId="227C8E3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Unsur-unsur equitas misalnya modal dsisetor, laba ditahan, modal penilaian kembali, modal sumbangan, dan modal lain. Sedangkan berbagai jenis ekuitas meliputi ; ekuitas pemegang saham, ekuitas pembiayaan, dam ekuitas pemilik perusahaan.</w:t>
      </w:r>
    </w:p>
    <w:p w14:paraId="1F680023">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E. </w:t>
      </w:r>
      <w:r>
        <w:rPr>
          <w:rFonts w:ascii="Times New Roman" w:hAnsi="Times New Roman" w:cs="Times New Roman"/>
          <w:b/>
          <w:sz w:val="24"/>
          <w:szCs w:val="24"/>
          <w:lang w:val="id-ID"/>
        </w:rPr>
        <w:t xml:space="preserve">Kegunaan Laporan Posisi Keuangan </w:t>
      </w:r>
    </w:p>
    <w:p w14:paraId="73DA0EBC">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Laporan posisi keuangan </w:t>
      </w:r>
      <w:r>
        <w:rPr>
          <w:rFonts w:ascii="Times New Roman" w:hAnsi="Times New Roman" w:cs="Times New Roman"/>
          <w:i/>
          <w:sz w:val="24"/>
          <w:szCs w:val="24"/>
          <w:lang w:val="id-ID"/>
        </w:rPr>
        <w:t>(Staetment of financial posaition</w:t>
      </w:r>
      <w:r>
        <w:rPr>
          <w:rFonts w:ascii="Times New Roman" w:hAnsi="Times New Roman" w:cs="Times New Roman"/>
          <w:sz w:val="24"/>
          <w:szCs w:val="24"/>
          <w:lang w:val="id-ID"/>
        </w:rPr>
        <w:t>) atau Neraca (</w:t>
      </w:r>
      <w:r>
        <w:rPr>
          <w:rFonts w:ascii="Times New Roman" w:hAnsi="Times New Roman" w:cs="Times New Roman"/>
          <w:i/>
          <w:sz w:val="24"/>
          <w:szCs w:val="24"/>
          <w:lang w:val="id-ID"/>
        </w:rPr>
        <w:t>balance sheet</w:t>
      </w:r>
      <w:r>
        <w:rPr>
          <w:rFonts w:ascii="Times New Roman" w:hAnsi="Times New Roman" w:cs="Times New Roman"/>
          <w:sz w:val="24"/>
          <w:szCs w:val="24"/>
          <w:lang w:val="id-ID"/>
        </w:rPr>
        <w:t xml:space="preserve">) memberikan dasar untuk menghitung antara lain : Likuiditas dan </w:t>
      </w:r>
      <w:r>
        <w:rPr>
          <w:rFonts w:ascii="Times New Roman" w:hAnsi="Times New Roman" w:cs="Times New Roman"/>
          <w:i/>
          <w:sz w:val="24"/>
          <w:szCs w:val="24"/>
          <w:lang w:val="id-ID"/>
        </w:rPr>
        <w:t>Leverage. Likuiditas (Liquidity</w:t>
      </w:r>
      <w:r>
        <w:rPr>
          <w:rFonts w:ascii="Times New Roman" w:hAnsi="Times New Roman" w:cs="Times New Roman"/>
          <w:sz w:val="24"/>
          <w:szCs w:val="24"/>
          <w:lang w:val="id-ID"/>
        </w:rPr>
        <w:t xml:space="preserve">) merupakan jumlah waktu yang diharapkan untuk berlalu sampai aset direalisasikan atau dikonversi menjadi uang tunai atau sampai liabilitas yang harus dibayar. </w:t>
      </w:r>
    </w:p>
    <w:p w14:paraId="7A1C7AC3">
      <w:pPr>
        <w:spacing w:after="0" w:line="480" w:lineRule="auto"/>
        <w:ind w:left="284"/>
        <w:jc w:val="both"/>
        <w:rPr>
          <w:rFonts w:ascii="Times New Roman" w:hAnsi="Times New Roman" w:cs="Times New Roman"/>
          <w:sz w:val="24"/>
          <w:szCs w:val="24"/>
          <w:lang w:val="en-US"/>
        </w:rPr>
      </w:pPr>
    </w:p>
    <w:p w14:paraId="319E7BAF">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Kreditor tertarik pada rasio liabilitas jangka pendek seperti rasio kas terhadap liabilitas jangka pendek. Rasio ini menunjukkan apakah suatu perusahaan, akan memiliki sumber daya untuk membayar kewajiban bila terjadi jatuh tempo. Pemegang saham berkepenitingan terhadap rasio likuiditas berkemungkinan akan adanya deviden tunai masa depan atau adanya pembelian saham kembali. </w:t>
      </w:r>
    </w:p>
    <w:p w14:paraId="27FBB155">
      <w:pPr>
        <w:spacing w:after="0" w:line="480" w:lineRule="auto"/>
        <w:ind w:left="284"/>
        <w:jc w:val="both"/>
        <w:rPr>
          <w:rFonts w:ascii="Times New Roman" w:hAnsi="Times New Roman" w:cs="Times New Roman"/>
          <w:sz w:val="24"/>
          <w:szCs w:val="24"/>
          <w:lang w:val="id-ID"/>
        </w:rPr>
      </w:pPr>
      <w:r>
        <w:rPr>
          <w:rFonts w:ascii="Times New Roman" w:hAnsi="Times New Roman" w:cs="Times New Roman"/>
          <w:i/>
          <w:sz w:val="24"/>
          <w:szCs w:val="24"/>
          <w:lang w:val="id-ID"/>
        </w:rPr>
        <w:t>Leverage</w:t>
      </w:r>
      <w:r>
        <w:rPr>
          <w:rFonts w:ascii="Times New Roman" w:hAnsi="Times New Roman" w:cs="Times New Roman"/>
          <w:sz w:val="24"/>
          <w:szCs w:val="24"/>
          <w:lang w:val="id-ID"/>
        </w:rPr>
        <w:t xml:space="preserve"> merupakan penggunaan pinjaman dana atau modal untuk meningkatkan keuntungan atau bisnis. </w:t>
      </w:r>
      <w:r>
        <w:rPr>
          <w:rFonts w:ascii="Times New Roman" w:hAnsi="Times New Roman" w:cs="Times New Roman"/>
          <w:i/>
          <w:sz w:val="24"/>
          <w:szCs w:val="24"/>
          <w:lang w:val="id-ID"/>
        </w:rPr>
        <w:t>Rasio leverage</w:t>
      </w:r>
      <w:r>
        <w:rPr>
          <w:rFonts w:ascii="Times New Roman" w:hAnsi="Times New Roman" w:cs="Times New Roman"/>
          <w:sz w:val="24"/>
          <w:szCs w:val="24"/>
          <w:lang w:val="id-ID"/>
        </w:rPr>
        <w:t xml:space="preserve"> adalah mengukur seberapa besar perusahaan dibiayai dengan Hutang (Irham Fahmi, 2018:32). Penggunaan utang yang terlalu tinggi akan membahayakan perusahaan karena perusahaan akan masuk dalam kategori </w:t>
      </w:r>
      <w:r>
        <w:rPr>
          <w:rFonts w:ascii="Times New Roman" w:hAnsi="Times New Roman" w:cs="Times New Roman"/>
          <w:i/>
          <w:sz w:val="24"/>
          <w:szCs w:val="24"/>
          <w:lang w:val="id-ID"/>
        </w:rPr>
        <w:t>extreme leverage</w:t>
      </w:r>
      <w:r>
        <w:rPr>
          <w:rFonts w:ascii="Times New Roman" w:hAnsi="Times New Roman" w:cs="Times New Roman"/>
          <w:sz w:val="24"/>
          <w:szCs w:val="24"/>
          <w:lang w:val="id-ID"/>
        </w:rPr>
        <w:t xml:space="preserve"> (Hutang ekstrem) yaitu perusahaan terjebak dalam tingkat hutang yang tinggi dan sulit untuk melepaskan beban tersebut. Oleh karena itu, sebaiknya perusahaan harus menyeimbangkan berapa hutang yang harus diambil dan dari mana srmber yang dapat dipakai untuk membayarnya. </w:t>
      </w:r>
    </w:p>
    <w:p w14:paraId="7DCECBAA">
      <w:pPr>
        <w:pStyle w:val="16"/>
        <w:shd w:val="clear" w:color="auto" w:fill="FFFFFF"/>
        <w:spacing w:before="0" w:beforeAutospacing="0" w:after="0" w:afterAutospacing="0" w:line="480" w:lineRule="auto"/>
        <w:ind w:left="284" w:hanging="284"/>
        <w:jc w:val="both"/>
        <w:rPr>
          <w:b/>
          <w:lang w:val="id-ID"/>
        </w:rPr>
      </w:pPr>
      <w:r>
        <w:rPr>
          <w:lang w:val="id-ID"/>
        </w:rPr>
        <w:t xml:space="preserve">F.  </w:t>
      </w:r>
      <w:r>
        <w:rPr>
          <w:b/>
          <w:lang w:val="id-ID"/>
        </w:rPr>
        <w:t xml:space="preserve">Jenis-Jenis Rasio Keuangan </w:t>
      </w:r>
    </w:p>
    <w:p w14:paraId="1B19BCFB">
      <w:pPr>
        <w:pStyle w:val="16"/>
        <w:shd w:val="clear" w:color="auto" w:fill="FFFFFF"/>
        <w:spacing w:before="0" w:beforeAutospacing="0" w:after="0" w:afterAutospacing="0" w:line="480" w:lineRule="auto"/>
        <w:ind w:left="284" w:hanging="284"/>
        <w:jc w:val="both"/>
        <w:rPr>
          <w:lang w:val="en-US"/>
        </w:rPr>
      </w:pPr>
      <w:r>
        <w:rPr>
          <w:lang w:val="id-ID"/>
        </w:rPr>
        <w:tab/>
      </w:r>
      <w:r>
        <w:rPr>
          <w:lang w:val="id-ID"/>
        </w:rPr>
        <w:t xml:space="preserve">  Rasio- rasio keuangan yang umumnya digunakan pada dasarnya terdiri atas dua jenis, yaitu : 1. Rasio Neraca </w:t>
      </w:r>
      <w:r>
        <w:rPr>
          <w:i/>
          <w:lang w:val="id-ID"/>
        </w:rPr>
        <w:t>(Balance Sheet Rasio</w:t>
      </w:r>
      <w:r>
        <w:rPr>
          <w:lang w:val="id-ID"/>
        </w:rPr>
        <w:t xml:space="preserve">) 2. Rasio laporan laba rugi ( </w:t>
      </w:r>
      <w:r>
        <w:rPr>
          <w:i/>
          <w:lang w:val="id-ID"/>
        </w:rPr>
        <w:t>income statetment ratio</w:t>
      </w:r>
      <w:r>
        <w:rPr>
          <w:lang w:val="id-ID"/>
        </w:rPr>
        <w:t>). (James Van Hoerne, 2016:164). Rasio neraca meringkas beberapa aspek dari kondisi keuangan untuk suatu titik tertentu, yaitu saat laporan posisi keuangan telah dibuat. Rasio ini disebut rasio laporan posisi keuangan karena angka pembilang dan penyebut dalam setiap rasio berasal dari neraca. Rasio laba rugi meringkas beberapa aspek kinerja perusahaan selama waktu periode tertentu, biasanya satu tahun. Rasio ini merupakan gabungan dari rasio neraca maupun rasio laba rugi, karena angka yang dijadikan rasio mengukur kinerja perusahaan berasal dari keduanya.</w:t>
      </w:r>
    </w:p>
    <w:p w14:paraId="4573A7DC">
      <w:pPr>
        <w:pStyle w:val="16"/>
        <w:shd w:val="clear" w:color="auto" w:fill="FFFFFF"/>
        <w:spacing w:before="0" w:beforeAutospacing="0" w:after="0" w:afterAutospacing="0" w:line="480" w:lineRule="auto"/>
        <w:ind w:left="284" w:hanging="284"/>
        <w:jc w:val="both"/>
        <w:rPr>
          <w:lang w:val="en-US"/>
        </w:rPr>
      </w:pPr>
    </w:p>
    <w:p w14:paraId="00FB8DBC">
      <w:pPr>
        <w:pStyle w:val="16"/>
        <w:shd w:val="clear" w:color="auto" w:fill="FFFFFF"/>
        <w:spacing w:before="0" w:beforeAutospacing="0" w:after="0" w:afterAutospacing="0" w:line="480" w:lineRule="auto"/>
        <w:ind w:left="284" w:hanging="284"/>
        <w:jc w:val="both"/>
        <w:rPr>
          <w:lang w:val="id-ID"/>
        </w:rPr>
      </w:pPr>
      <w:r>
        <w:rPr>
          <w:lang w:val="id-ID"/>
        </w:rPr>
        <w:t xml:space="preserve"> Rasio yang digunakan sebagai pengukur kinerja keuangan Pengusaha kecil dilihat dari rasio Posisi Keuangan atau rasio neraca yang terdiri dari : 1. Rasio Likuiditas dan 2. Rasio Leverage (Varn Horn, 2016 :21). </w:t>
      </w:r>
    </w:p>
    <w:p w14:paraId="4D79292E">
      <w:pPr>
        <w:pStyle w:val="16"/>
        <w:numPr>
          <w:ilvl w:val="0"/>
          <w:numId w:val="5"/>
        </w:numPr>
        <w:shd w:val="clear" w:color="auto" w:fill="FFFFFF"/>
        <w:spacing w:before="0" w:beforeAutospacing="0" w:after="0" w:afterAutospacing="0" w:line="480" w:lineRule="auto"/>
        <w:jc w:val="both"/>
        <w:rPr>
          <w:lang w:val="id-ID"/>
        </w:rPr>
      </w:pPr>
      <w:r>
        <w:rPr>
          <w:lang w:val="id-ID"/>
        </w:rPr>
        <w:t>Rasio Likuiditas</w:t>
      </w:r>
    </w:p>
    <w:p w14:paraId="3C2DB948">
      <w:pPr>
        <w:pStyle w:val="16"/>
        <w:shd w:val="clear" w:color="auto" w:fill="FFFFFF"/>
        <w:spacing w:before="0" w:beforeAutospacing="0" w:after="0" w:afterAutospacing="0" w:line="480" w:lineRule="auto"/>
        <w:ind w:left="645"/>
        <w:jc w:val="both"/>
        <w:rPr>
          <w:lang w:val="id-ID"/>
        </w:rPr>
      </w:pPr>
      <w:r>
        <w:rPr>
          <w:lang w:val="id-ID"/>
        </w:rPr>
        <w:t xml:space="preserve">Rasio likuiditas (Likuidity Rasio) merupakan kemampuan suatu perusahaan memenuhi kewajiban jangka pendeknya secara tepat waktu. Misalnya membayar listrik, Telpon, air, gaji karyawan dan sebagainya. Rasio likuiditas ini sering disebut </w:t>
      </w:r>
      <w:r>
        <w:rPr>
          <w:i/>
          <w:lang w:val="id-ID"/>
        </w:rPr>
        <w:t>Short term liquidity.</w:t>
      </w:r>
      <w:r>
        <w:rPr>
          <w:lang w:val="id-ID"/>
        </w:rPr>
        <w:t xml:space="preserve">Rasio ini pada umumnya ada dua (2) yaitu adalah sebagai berikut : </w:t>
      </w:r>
    </w:p>
    <w:p w14:paraId="4129CFDB">
      <w:pPr>
        <w:pStyle w:val="16"/>
        <w:numPr>
          <w:ilvl w:val="0"/>
          <w:numId w:val="6"/>
        </w:numPr>
        <w:shd w:val="clear" w:color="auto" w:fill="FFFFFF"/>
        <w:spacing w:before="0" w:beforeAutospacing="0" w:after="0" w:afterAutospacing="0"/>
        <w:ind w:left="1003" w:hanging="357"/>
        <w:jc w:val="both"/>
        <w:rPr>
          <w:lang w:val="id-ID"/>
        </w:rPr>
      </w:pPr>
      <w:r>
        <w:rPr>
          <w:lang w:val="id-ID"/>
        </w:rPr>
        <w:t xml:space="preserve">Current Ratio </w:t>
      </w:r>
    </w:p>
    <w:p w14:paraId="7C17D015">
      <w:pPr>
        <w:pStyle w:val="16"/>
        <w:shd w:val="clear" w:color="auto" w:fill="FFFFFF"/>
        <w:spacing w:before="0" w:beforeAutospacing="0" w:after="0" w:afterAutospacing="0"/>
        <w:ind w:left="1005"/>
        <w:jc w:val="both"/>
        <w:rPr>
          <w:lang w:val="id-ID"/>
        </w:rPr>
      </w:pPr>
      <w:r>
        <w:rPr>
          <w:lang w:val="id-ID"/>
        </w:rPr>
        <w:t xml:space="preserve">Rumus Current Rasio adalah : </w:t>
      </w:r>
    </w:p>
    <w:p w14:paraId="3896B96E">
      <w:pPr>
        <w:pStyle w:val="16"/>
        <w:shd w:val="clear" w:color="auto" w:fill="FFFFFF"/>
        <w:spacing w:before="0" w:beforeAutospacing="0" w:after="0" w:afterAutospacing="0"/>
        <w:ind w:left="1005"/>
        <w:jc w:val="both"/>
        <w:rPr>
          <w:lang w:val="id-ID"/>
        </w:rPr>
      </w:pPr>
      <w:r>
        <w:rPr>
          <w:color w:val="FFFFFF" w:themeColor="background1"/>
          <w:lang w:val="id-ID" w:eastAsia="id-ID"/>
          <w14:textFill>
            <w14:solidFill>
              <w14:schemeClr w14:val="bg1"/>
            </w14:solidFill>
          </w14:textFill>
        </w:rPr>
        <mc:AlternateContent>
          <mc:Choice Requires="wps">
            <w:drawing>
              <wp:anchor distT="0" distB="0" distL="114300" distR="114300" simplePos="0" relativeHeight="251659264" behindDoc="0" locked="0" layoutInCell="1" allowOverlap="1">
                <wp:simplePos x="0" y="0"/>
                <wp:positionH relativeFrom="column">
                  <wp:posOffset>1889760</wp:posOffset>
                </wp:positionH>
                <wp:positionV relativeFrom="paragraph">
                  <wp:posOffset>84455</wp:posOffset>
                </wp:positionV>
                <wp:extent cx="2204085" cy="560070"/>
                <wp:effectExtent l="0" t="0" r="24765" b="11430"/>
                <wp:wrapNone/>
                <wp:docPr id="7" name="Rectangle 58"/>
                <wp:cNvGraphicFramePr/>
                <a:graphic xmlns:a="http://schemas.openxmlformats.org/drawingml/2006/main">
                  <a:graphicData uri="http://schemas.microsoft.com/office/word/2010/wordprocessingShape">
                    <wps:wsp>
                      <wps:cNvSpPr>
                        <a:spLocks noChangeArrowheads="1"/>
                      </wps:cNvSpPr>
                      <wps:spPr bwMode="auto">
                        <a:xfrm>
                          <a:off x="0" y="0"/>
                          <a:ext cx="2204085" cy="56007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8" o:spid="_x0000_s1026" o:spt="1" style="position:absolute;left:0pt;margin-left:148.8pt;margin-top:6.65pt;height:44.1pt;width:173.55pt;z-index:251659264;mso-width-relative:page;mso-height-relative:page;" filled="f" stroked="t" coordsize="21600,21600" o:gfxdata="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sqD/NgAAAAKAQAADwAAAAAAAAABACAAAAAiAAAAZHJzL2Rvd25yZXYueG1sUEsBAhQAFAAAAAgA&#10;h07iQLWi7fwlAgAASgQAAA4AAAAAAAAAAQAgAAAAJwEAAGRycy9lMm9Eb2MueG1sUEsFBgAAAAAG&#10;AAYAWQEAAL4FAAAAAA==&#10;">
                <v:fill on="f" focussize="0,0"/>
                <v:stroke color="#000000" miterlimit="8" joinstyle="miter"/>
                <v:imagedata o:title=""/>
                <o:lock v:ext="edit" aspectratio="f"/>
              </v:rect>
            </w:pict>
          </mc:Fallback>
        </mc:AlternateContent>
      </w:r>
    </w:p>
    <w:p w14:paraId="095477EC">
      <w:pPr>
        <w:pStyle w:val="16"/>
        <w:shd w:val="clear" w:color="auto" w:fill="FFFFFF"/>
        <w:spacing w:before="0" w:beforeAutospacing="0" w:after="0" w:afterAutospacing="0"/>
        <w:ind w:left="1005"/>
        <w:jc w:val="both"/>
        <w:rPr>
          <w:lang w:val="id-ID"/>
        </w:rPr>
      </w:pPr>
      <m:oMathPara>
        <m:oMath>
          <m:f>
            <m:fPr>
              <m:ctrlPr>
                <w:rPr>
                  <w:rFonts w:ascii="Cambria Math" w:hAnsi="Cambria Math"/>
                  <w:i/>
                  <w:lang w:val="id-ID"/>
                </w:rPr>
              </m:ctrlPr>
            </m:fPr>
            <m:num>
              <m:r>
                <m:rPr/>
                <w:rPr>
                  <w:rFonts w:ascii="Cambria Math" w:hAnsi="Cambria Math"/>
                  <w:lang w:val="id-ID"/>
                </w:rPr>
                <m:t xml:space="preserve">Current Aseet </m:t>
              </m:r>
              <m:ctrlPr>
                <w:rPr>
                  <w:rFonts w:ascii="Cambria Math" w:hAnsi="Cambria Math"/>
                  <w:i/>
                  <w:lang w:val="id-ID"/>
                </w:rPr>
              </m:ctrlPr>
            </m:num>
            <m:den>
              <m:r>
                <m:rPr/>
                <w:rPr>
                  <w:rFonts w:ascii="Cambria Math" w:hAnsi="Cambria Math"/>
                  <w:lang w:val="id-ID"/>
                </w:rPr>
                <m:t xml:space="preserve">Current Liabilities </m:t>
              </m:r>
              <m:ctrlPr>
                <w:rPr>
                  <w:rFonts w:ascii="Cambria Math" w:hAnsi="Cambria Math"/>
                  <w:i/>
                  <w:lang w:val="id-ID"/>
                </w:rPr>
              </m:ctrlPr>
            </m:den>
          </m:f>
        </m:oMath>
      </m:oMathPara>
    </w:p>
    <w:p w14:paraId="08894CBD">
      <w:pPr>
        <w:pStyle w:val="16"/>
        <w:shd w:val="clear" w:color="auto" w:fill="FFFFFF"/>
        <w:spacing w:before="0" w:beforeAutospacing="0" w:after="0" w:afterAutospacing="0" w:line="480" w:lineRule="auto"/>
        <w:ind w:left="1005"/>
        <w:jc w:val="both"/>
        <w:rPr>
          <w:lang w:val="id-ID"/>
        </w:rPr>
      </w:pPr>
    </w:p>
    <w:p w14:paraId="1651A463">
      <w:pPr>
        <w:pStyle w:val="16"/>
        <w:shd w:val="clear" w:color="auto" w:fill="FFFFFF"/>
        <w:spacing w:before="0" w:beforeAutospacing="0" w:after="0" w:afterAutospacing="0" w:line="480" w:lineRule="auto"/>
        <w:ind w:left="1005"/>
        <w:jc w:val="both"/>
        <w:rPr>
          <w:lang w:val="id-ID"/>
        </w:rPr>
      </w:pPr>
      <w:r>
        <w:rPr>
          <w:lang w:val="id-ID"/>
        </w:rPr>
        <w:t xml:space="preserve">Ukuran dari Curren rasio ditetapkan bahwa harus dipertahankan 3 :1 yang memberikan arti bahwa setiap Rp 1 hutang lancar dijamin dengan aktiva lancar Rp 3 (Bambang Riyanto, 2001 :23). </w:t>
      </w:r>
    </w:p>
    <w:p w14:paraId="551C2682">
      <w:pPr>
        <w:pStyle w:val="16"/>
        <w:numPr>
          <w:ilvl w:val="0"/>
          <w:numId w:val="6"/>
        </w:numPr>
        <w:shd w:val="clear" w:color="auto" w:fill="FFFFFF"/>
        <w:spacing w:before="0" w:beforeAutospacing="0" w:after="0" w:afterAutospacing="0" w:line="480" w:lineRule="auto"/>
        <w:jc w:val="both"/>
        <w:rPr>
          <w:lang w:val="id-ID"/>
        </w:rPr>
      </w:pPr>
      <w:r>
        <w:rPr>
          <w:lang w:val="id-ID"/>
        </w:rPr>
        <w:t>Quick Ratio (Acit Test Ratio)</w:t>
      </w:r>
    </w:p>
    <w:p w14:paraId="33FE1A13">
      <w:pPr>
        <w:pStyle w:val="16"/>
        <w:shd w:val="clear" w:color="auto" w:fill="FFFFFF"/>
        <w:spacing w:before="0" w:beforeAutospacing="0" w:after="0" w:afterAutospacing="0" w:line="480" w:lineRule="auto"/>
        <w:ind w:left="1005"/>
        <w:jc w:val="both"/>
        <w:rPr>
          <w:lang w:val="id-ID"/>
        </w:rPr>
      </w:pPr>
      <w:r>
        <w:rPr>
          <w:lang w:val="id-ID" w:eastAsia="id-ID"/>
        </w:rPr>
        <mc:AlternateContent>
          <mc:Choice Requires="wps">
            <w:drawing>
              <wp:anchor distT="0" distB="0" distL="114300" distR="114300" simplePos="0" relativeHeight="251660288" behindDoc="0" locked="0" layoutInCell="1" allowOverlap="1">
                <wp:simplePos x="0" y="0"/>
                <wp:positionH relativeFrom="column">
                  <wp:posOffset>1767205</wp:posOffset>
                </wp:positionH>
                <wp:positionV relativeFrom="paragraph">
                  <wp:posOffset>263525</wp:posOffset>
                </wp:positionV>
                <wp:extent cx="2326640" cy="518795"/>
                <wp:effectExtent l="0" t="0" r="16510" b="14605"/>
                <wp:wrapNone/>
                <wp:docPr id="6" name="Rectangle 56"/>
                <wp:cNvGraphicFramePr/>
                <a:graphic xmlns:a="http://schemas.openxmlformats.org/drawingml/2006/main">
                  <a:graphicData uri="http://schemas.microsoft.com/office/word/2010/wordprocessingShape">
                    <wps:wsp>
                      <wps:cNvSpPr>
                        <a:spLocks noChangeArrowheads="1"/>
                      </wps:cNvSpPr>
                      <wps:spPr bwMode="auto">
                        <a:xfrm>
                          <a:off x="0" y="0"/>
                          <a:ext cx="2326640" cy="51879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6" o:spid="_x0000_s1026" o:spt="1" style="position:absolute;left:0pt;margin-left:139.15pt;margin-top:20.75pt;height:40.85pt;width:183.2pt;z-index:251660288;mso-width-relative:page;mso-height-relative:page;" filled="f" stroked="t" coordsize="21600,21600" o:gfxdata="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h&#10;a3q+2QAAAAoBAAAPAAAAAAAAAAEAIAAAACIAAABkcnMvZG93bnJldi54bWxQSwECFAAUAAAACACH&#10;TuJAlpVkZyMCAABKBAAADgAAAAAAAAABACAAAAAoAQAAZHJzL2Uyb0RvYy54bWxQSwUGAAAAAAYA&#10;BgBZAQAAvQUAAAAA&#10;">
                <v:fill on="f" focussize="0,0"/>
                <v:stroke color="#000000" miterlimit="8" joinstyle="miter"/>
                <v:imagedata o:title=""/>
                <o:lock v:ext="edit" aspectratio="f"/>
              </v:rect>
            </w:pict>
          </mc:Fallback>
        </mc:AlternateContent>
      </w:r>
      <w:r>
        <w:rPr>
          <w:lang w:val="id-ID"/>
        </w:rPr>
        <w:t xml:space="preserve">Rumus Quick Rasio adalah : </w:t>
      </w:r>
    </w:p>
    <w:p w14:paraId="363B245E">
      <w:pPr>
        <w:pStyle w:val="16"/>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m:rPr/>
                <w:rPr>
                  <w:rFonts w:ascii="Cambria Math" w:hAnsi="Cambria Math"/>
                  <w:lang w:val="id-ID"/>
                </w:rPr>
                <m:t>Current Asset−Inventories</m:t>
              </m:r>
              <m:ctrlPr>
                <w:rPr>
                  <w:rFonts w:ascii="Cambria Math" w:hAnsi="Cambria Math"/>
                  <w:i/>
                  <w:lang w:val="id-ID"/>
                </w:rPr>
              </m:ctrlPr>
            </m:num>
            <m:den>
              <m:r>
                <m:rPr/>
                <w:rPr>
                  <w:rFonts w:ascii="Cambria Math" w:hAnsi="Cambria Math"/>
                  <w:lang w:val="id-ID"/>
                </w:rPr>
                <m:t>Current Liabilities</m:t>
              </m:r>
              <m:ctrlPr>
                <w:rPr>
                  <w:rFonts w:ascii="Cambria Math" w:hAnsi="Cambria Math"/>
                  <w:i/>
                  <w:lang w:val="id-ID"/>
                </w:rPr>
              </m:ctrlPr>
            </m:den>
          </m:f>
        </m:oMath>
      </m:oMathPara>
    </w:p>
    <w:p w14:paraId="15EEFF58">
      <w:pPr>
        <w:pStyle w:val="16"/>
        <w:shd w:val="clear" w:color="auto" w:fill="FFFFFF"/>
        <w:spacing w:before="0" w:beforeAutospacing="0" w:after="0" w:afterAutospacing="0" w:line="480" w:lineRule="auto"/>
        <w:ind w:left="993"/>
        <w:jc w:val="both"/>
        <w:rPr>
          <w:lang w:val="en-US"/>
        </w:rPr>
      </w:pPr>
      <w:r>
        <w:rPr>
          <w:lang w:val="id-ID"/>
        </w:rPr>
        <w:t xml:space="preserve">Rasio ini merupakan rasio uji solevnsi jangka pendek yang lebiih teliti dari pada rasio lancar karena pembilangnya mengeleminasi persediaan yang dianggap aktiva lancar tidak likuid  dan kemungkinan menjadi sumber kerugian. Rasio ini secara umum dapat dikatakan bahwa apabila rasio quick rasio kurang dari 100% atau 1 : 1  dianggap kurang baik tingkat likuiditasnya (Bambang Riyanto, 2001 : 24). Persediaan pada rasio ini terdiri dari : Persediaan bahan baku (Raw material), Persediaan barang dalam proses (in process goods) dan Finished goods atau barang jadi.  Untuk persediaan yang efisien diperlukan manajemen persediaan. </w:t>
      </w:r>
    </w:p>
    <w:p w14:paraId="3A25D24C">
      <w:pPr>
        <w:pStyle w:val="16"/>
        <w:shd w:val="clear" w:color="auto" w:fill="FFFFFF"/>
        <w:spacing w:before="0" w:beforeAutospacing="0" w:after="0" w:afterAutospacing="0" w:line="480" w:lineRule="auto"/>
        <w:ind w:left="993"/>
        <w:jc w:val="both"/>
        <w:rPr>
          <w:lang w:val="en-US"/>
        </w:rPr>
      </w:pPr>
    </w:p>
    <w:p w14:paraId="58018AF8">
      <w:pPr>
        <w:pStyle w:val="16"/>
        <w:numPr>
          <w:ilvl w:val="0"/>
          <w:numId w:val="5"/>
        </w:numPr>
        <w:shd w:val="clear" w:color="auto" w:fill="FFFFFF"/>
        <w:spacing w:before="0" w:beforeAutospacing="0" w:after="0" w:afterAutospacing="0" w:line="480" w:lineRule="auto"/>
        <w:jc w:val="both"/>
        <w:rPr>
          <w:lang w:val="id-ID"/>
        </w:rPr>
      </w:pPr>
      <w:r>
        <w:rPr>
          <w:lang w:val="id-ID"/>
        </w:rPr>
        <w:t xml:space="preserve">Rasio Leverage. Rasio leverage adalah mengukur seberapa besar perusahaan dibiayai dengan hutang (Munawir, 2002 :24). Rasio leverage secara umum ada 8 (delapan) namun yang penulis gunakan dalam penilaian laporan posisi keuangan hanya dua rasio yaitu : </w:t>
      </w:r>
    </w:p>
    <w:p w14:paraId="4E3D325F">
      <w:pPr>
        <w:pStyle w:val="16"/>
        <w:numPr>
          <w:ilvl w:val="0"/>
          <w:numId w:val="7"/>
        </w:numPr>
        <w:shd w:val="clear" w:color="auto" w:fill="FFFFFF"/>
        <w:spacing w:before="0" w:beforeAutospacing="0" w:after="0" w:afterAutospacing="0" w:line="480" w:lineRule="auto"/>
        <w:jc w:val="both"/>
        <w:rPr>
          <w:lang w:val="id-ID"/>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1712595</wp:posOffset>
                </wp:positionH>
                <wp:positionV relativeFrom="paragraph">
                  <wp:posOffset>287655</wp:posOffset>
                </wp:positionV>
                <wp:extent cx="2367915" cy="546100"/>
                <wp:effectExtent l="0" t="0" r="13335" b="25400"/>
                <wp:wrapNone/>
                <wp:docPr id="5" name="Rectangle 54"/>
                <wp:cNvGraphicFramePr/>
                <a:graphic xmlns:a="http://schemas.openxmlformats.org/drawingml/2006/main">
                  <a:graphicData uri="http://schemas.microsoft.com/office/word/2010/wordprocessingShape">
                    <wps:wsp>
                      <wps:cNvSpPr>
                        <a:spLocks noChangeArrowheads="1"/>
                      </wps:cNvSpPr>
                      <wps:spPr bwMode="auto">
                        <a:xfrm>
                          <a:off x="0" y="0"/>
                          <a:ext cx="2367915" cy="54610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4" o:spid="_x0000_s1026" o:spt="1" style="position:absolute;left:0pt;margin-left:134.85pt;margin-top:22.65pt;height:43pt;width:186.45pt;z-index:251661312;mso-width-relative:page;mso-height-relative:page;" filled="f" stroked="t" coordsize="21600,21600" o:gfxdata="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GLUbbZAAAACgEAAA8AAAAAAAAAAQAgAAAAIgAAAGRycy9kb3ducmV2LnhtbFBLAQIUABQAAAAI&#10;AIdO4kCTgHC+JQIAAEoEAAAOAAAAAAAAAAEAIAAAACgBAABkcnMvZTJvRG9jLnhtbFBLBQYAAAAA&#10;BgAGAFkBAAC/BQAAAAA=&#10;">
                <v:fill on="f" focussize="0,0"/>
                <v:stroke color="#000000" miterlimit="8" joinstyle="miter"/>
                <v:imagedata o:title=""/>
                <o:lock v:ext="edit" aspectratio="f"/>
              </v:rect>
            </w:pict>
          </mc:Fallback>
        </mc:AlternateContent>
      </w:r>
      <w:r>
        <w:rPr>
          <w:lang w:val="id-ID"/>
        </w:rPr>
        <w:t xml:space="preserve">Debt to total Aset  atau Debt Ratio </w:t>
      </w:r>
    </w:p>
    <w:p w14:paraId="1CC23E08">
      <w:pPr>
        <w:pStyle w:val="16"/>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m:rPr/>
                <w:rPr>
                  <w:rFonts w:ascii="Cambria Math" w:hAnsi="Cambria Math"/>
                  <w:lang w:val="id-ID"/>
                </w:rPr>
                <m:t>Total liabilities</m:t>
              </m:r>
              <m:ctrlPr>
                <w:rPr>
                  <w:rFonts w:ascii="Cambria Math" w:hAnsi="Cambria Math"/>
                  <w:i/>
                  <w:lang w:val="id-ID"/>
                </w:rPr>
              </m:ctrlPr>
            </m:num>
            <m:den>
              <m:r>
                <m:rPr/>
                <w:rPr>
                  <w:rFonts w:ascii="Cambria Math" w:hAnsi="Cambria Math"/>
                  <w:lang w:val="id-ID"/>
                </w:rPr>
                <m:t>Total Assets</m:t>
              </m:r>
              <m:ctrlPr>
                <w:rPr>
                  <w:rFonts w:ascii="Cambria Math" w:hAnsi="Cambria Math"/>
                  <w:i/>
                  <w:lang w:val="id-ID"/>
                </w:rPr>
              </m:ctrlPr>
            </m:den>
          </m:f>
        </m:oMath>
      </m:oMathPara>
    </w:p>
    <w:p w14:paraId="62D27260">
      <w:pPr>
        <w:pStyle w:val="16"/>
        <w:numPr>
          <w:ilvl w:val="0"/>
          <w:numId w:val="7"/>
        </w:numPr>
        <w:spacing w:before="0" w:beforeAutospacing="0" w:after="0" w:afterAutospacing="0" w:line="480" w:lineRule="auto"/>
        <w:jc w:val="both"/>
        <w:rPr>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1712595</wp:posOffset>
                </wp:positionH>
                <wp:positionV relativeFrom="paragraph">
                  <wp:posOffset>291465</wp:posOffset>
                </wp:positionV>
                <wp:extent cx="2367915" cy="553085"/>
                <wp:effectExtent l="0" t="0" r="13335" b="18415"/>
                <wp:wrapNone/>
                <wp:docPr id="4" name="Rectangle 52"/>
                <wp:cNvGraphicFramePr/>
                <a:graphic xmlns:a="http://schemas.openxmlformats.org/drawingml/2006/main">
                  <a:graphicData uri="http://schemas.microsoft.com/office/word/2010/wordprocessingShape">
                    <wps:wsp>
                      <wps:cNvSpPr>
                        <a:spLocks noChangeArrowheads="1"/>
                      </wps:cNvSpPr>
                      <wps:spPr bwMode="auto">
                        <a:xfrm>
                          <a:off x="0" y="0"/>
                          <a:ext cx="2367915" cy="55308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2" o:spid="_x0000_s1026" o:spt="1" style="position:absolute;left:0pt;margin-left:134.85pt;margin-top:22.95pt;height:43.55pt;width:186.45pt;z-index:251662336;mso-width-relative:page;mso-height-relative:page;" filled="f" stroked="t" coordsize="21600,21600" o:gfxdata="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f7+2dkAAAAKAQAADwAAAAAAAAABACAAAAAiAAAAZHJzL2Rvd25yZXYueG1sUEsBAhQAFAAAAAgA&#10;h07iQFa5BA8kAgAASgQAAA4AAAAAAAAAAQAgAAAAKAEAAGRycy9lMm9Eb2MueG1sUEsFBgAAAAAG&#10;AAYAWQEAAL4FAAAAAA==&#10;">
                <v:fill on="f" focussize="0,0"/>
                <v:stroke color="#000000" miterlimit="8" joinstyle="miter"/>
                <v:imagedata o:title=""/>
                <o:lock v:ext="edit" aspectratio="f"/>
              </v:rect>
            </w:pict>
          </mc:Fallback>
        </mc:AlternateContent>
      </w:r>
      <w:r>
        <w:rPr>
          <w:lang w:val="id-ID"/>
        </w:rPr>
        <w:t xml:space="preserve">Debt Equity Ratio </w:t>
      </w:r>
    </w:p>
    <w:p w14:paraId="3E7AB2EE">
      <w:pPr>
        <w:pStyle w:val="16"/>
        <w:spacing w:before="0" w:beforeAutospacing="0" w:after="0" w:afterAutospacing="0" w:line="480" w:lineRule="auto"/>
        <w:ind w:left="1005"/>
        <w:jc w:val="both"/>
        <w:rPr>
          <w:lang w:val="id-ID"/>
        </w:rPr>
      </w:pPr>
      <m:oMathPara>
        <m:oMath>
          <m:f>
            <m:fPr>
              <m:ctrlPr>
                <w:rPr>
                  <w:rFonts w:ascii="Cambria Math" w:hAnsi="Cambria Math"/>
                  <w:i/>
                  <w:lang w:val="id-ID"/>
                </w:rPr>
              </m:ctrlPr>
            </m:fPr>
            <m:num>
              <m:r>
                <m:rPr/>
                <w:rPr>
                  <w:rFonts w:ascii="Cambria Math" w:hAnsi="Cambria Math"/>
                  <w:lang w:val="id-ID"/>
                </w:rPr>
                <m:t>Total Liabilities</m:t>
              </m:r>
              <m:ctrlPr>
                <w:rPr>
                  <w:rFonts w:ascii="Cambria Math" w:hAnsi="Cambria Math"/>
                  <w:i/>
                  <w:lang w:val="id-ID"/>
                </w:rPr>
              </m:ctrlPr>
            </m:num>
            <m:den>
              <m:r>
                <m:rPr/>
                <w:rPr>
                  <w:rFonts w:ascii="Cambria Math" w:hAnsi="Cambria Math"/>
                  <w:lang w:val="id-ID"/>
                </w:rPr>
                <m:t>Total Shareholde</m:t>
              </m:r>
              <m:sSup>
                <m:sSupPr>
                  <m:ctrlPr>
                    <w:rPr>
                      <w:rFonts w:ascii="Cambria Math" w:hAnsi="Cambria Math"/>
                      <w:i/>
                      <w:lang w:val="id-ID"/>
                    </w:rPr>
                  </m:ctrlPr>
                </m:sSupPr>
                <m:e>
                  <m:r>
                    <m:rPr/>
                    <w:rPr>
                      <w:rFonts w:ascii="Cambria Math" w:hAnsi="Cambria Math"/>
                      <w:lang w:val="id-ID"/>
                    </w:rPr>
                    <m:t>r</m:t>
                  </m:r>
                  <m:ctrlPr>
                    <w:rPr>
                      <w:rFonts w:ascii="Cambria Math" w:hAnsi="Cambria Math"/>
                      <w:i/>
                      <w:lang w:val="id-ID"/>
                    </w:rPr>
                  </m:ctrlPr>
                </m:e>
                <m:sup>
                  <m:r>
                    <m:rPr/>
                    <w:rPr>
                      <w:rFonts w:ascii="Cambria Math" w:hAnsi="Cambria Math"/>
                      <w:lang w:val="id-ID"/>
                    </w:rPr>
                    <m:t>'</m:t>
                  </m:r>
                  <m:ctrlPr>
                    <w:rPr>
                      <w:rFonts w:ascii="Cambria Math" w:hAnsi="Cambria Math"/>
                      <w:i/>
                      <w:lang w:val="id-ID"/>
                    </w:rPr>
                  </m:ctrlPr>
                </m:sup>
              </m:sSup>
              <m:r>
                <m:rPr/>
                <w:rPr>
                  <w:rFonts w:ascii="Cambria Math" w:hAnsi="Cambria Math"/>
                  <w:lang w:val="id-ID"/>
                </w:rPr>
                <m:t>sEquity</m:t>
              </m:r>
              <m:ctrlPr>
                <w:rPr>
                  <w:rFonts w:ascii="Cambria Math" w:hAnsi="Cambria Math"/>
                  <w:i/>
                  <w:lang w:val="id-ID"/>
                </w:rPr>
              </m:ctrlPr>
            </m:den>
          </m:f>
        </m:oMath>
      </m:oMathPara>
    </w:p>
    <w:p w14:paraId="042F1713">
      <w:pPr>
        <w:pStyle w:val="16"/>
        <w:numPr>
          <w:ilvl w:val="0"/>
          <w:numId w:val="7"/>
        </w:numPr>
        <w:shd w:val="clear" w:color="auto" w:fill="FFFFFF"/>
        <w:spacing w:before="0" w:beforeAutospacing="0" w:after="0" w:afterAutospacing="0" w:line="480" w:lineRule="auto"/>
        <w:jc w:val="both"/>
        <w:rPr>
          <w:lang w:val="id-ID"/>
        </w:rPr>
      </w:pPr>
      <w:r>
        <w:rPr>
          <w:lang w:val="id-ID" w:eastAsia="id-ID"/>
        </w:rPr>
        <mc:AlternateContent>
          <mc:Choice Requires="wps">
            <w:drawing>
              <wp:anchor distT="0" distB="0" distL="114300" distR="114300" simplePos="0" relativeHeight="251663360" behindDoc="0" locked="0" layoutInCell="1" allowOverlap="1">
                <wp:simplePos x="0" y="0"/>
                <wp:positionH relativeFrom="column">
                  <wp:posOffset>1712595</wp:posOffset>
                </wp:positionH>
                <wp:positionV relativeFrom="paragraph">
                  <wp:posOffset>571500</wp:posOffset>
                </wp:positionV>
                <wp:extent cx="2545080" cy="477520"/>
                <wp:effectExtent l="0" t="0" r="26670" b="17780"/>
                <wp:wrapNone/>
                <wp:docPr id="3" name="Rectangle 50"/>
                <wp:cNvGraphicFramePr/>
                <a:graphic xmlns:a="http://schemas.openxmlformats.org/drawingml/2006/main">
                  <a:graphicData uri="http://schemas.microsoft.com/office/word/2010/wordprocessingShape">
                    <wps:wsp>
                      <wps:cNvSpPr>
                        <a:spLocks noChangeArrowheads="1"/>
                      </wps:cNvSpPr>
                      <wps:spPr bwMode="auto">
                        <a:xfrm>
                          <a:off x="0" y="0"/>
                          <a:ext cx="2545080" cy="47752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0" o:spid="_x0000_s1026" o:spt="1" style="position:absolute;left:0pt;margin-left:134.85pt;margin-top:45pt;height:37.6pt;width:200.4pt;z-index:251663360;mso-width-relative:page;mso-height-relative:page;" filled="f" stroked="t" coordsize="21600,21600" o:gfxdata="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8&#10;vFMY2AAAAAoBAAAPAAAAAAAAAAEAIAAAACIAAABkcnMvZG93bnJldi54bWxQSwECFAAUAAAACACH&#10;TuJAJfMZCiQCAABKBAAADgAAAAAAAAABACAAAAAnAQAAZHJzL2Uyb0RvYy54bWxQSwUGAAAAAAYA&#10;BgBZAQAAvQUAAAAA&#10;">
                <v:fill on="f" focussize="0,0"/>
                <v:stroke color="#000000" miterlimit="8" joinstyle="miter"/>
                <v:imagedata o:title=""/>
                <o:lock v:ext="edit" aspectratio="f"/>
              </v:rect>
            </w:pict>
          </mc:Fallback>
        </mc:AlternateContent>
      </w:r>
      <w:r>
        <w:rPr>
          <w:lang w:val="id-ID"/>
        </w:rPr>
        <w:t xml:space="preserve">Net working capital rasio. Merupakan rasio lainnya dalam mengukur modal kerja bersih. Rumusnya adalah sebagai berikut : </w:t>
      </w:r>
    </w:p>
    <w:p w14:paraId="1D94F9BD">
      <w:pPr>
        <w:pStyle w:val="16"/>
        <w:shd w:val="clear" w:color="auto" w:fill="FFFFFF"/>
        <w:spacing w:before="0" w:beforeAutospacing="0" w:after="0" w:afterAutospacing="0" w:line="480" w:lineRule="auto"/>
        <w:jc w:val="both"/>
        <w:rPr>
          <w:lang w:val="id-ID"/>
        </w:rPr>
      </w:pPr>
      <w:r>
        <w:rPr>
          <w:lang w:val="en-US"/>
        </w:rPr>
        <w:t xml:space="preserve">                                                   </w:t>
      </w:r>
      <m:oMath>
        <m:r>
          <m:rPr/>
          <w:rPr>
            <w:rFonts w:ascii="Cambria Math" w:hAnsi="Cambria Math"/>
            <w:lang w:val="id-ID"/>
          </w:rPr>
          <m:t xml:space="preserve">Curren Aset−Curent liabilities </m:t>
        </m:r>
      </m:oMath>
    </w:p>
    <w:p w14:paraId="773D8639">
      <w:pPr>
        <w:pStyle w:val="16"/>
        <w:shd w:val="clear" w:color="auto" w:fill="FFFFFF"/>
        <w:spacing w:before="0" w:beforeAutospacing="0" w:after="0" w:afterAutospacing="0" w:line="480" w:lineRule="auto"/>
        <w:ind w:left="709" w:firstLine="11"/>
        <w:jc w:val="both"/>
        <w:rPr>
          <w:lang w:val="id-ID"/>
        </w:rPr>
      </w:pPr>
    </w:p>
    <w:p w14:paraId="0E532C40">
      <w:pPr>
        <w:pStyle w:val="16"/>
        <w:shd w:val="clear" w:color="auto" w:fill="FFFFFF"/>
        <w:spacing w:before="0" w:beforeAutospacing="0" w:after="0" w:afterAutospacing="0" w:line="480" w:lineRule="auto"/>
        <w:ind w:left="709" w:firstLine="11"/>
        <w:jc w:val="both"/>
        <w:rPr>
          <w:lang w:val="id-ID"/>
        </w:rPr>
      </w:pPr>
      <w:r>
        <w:rPr>
          <w:lang w:val="id-ID"/>
        </w:rPr>
        <w:t>Dalam debt ratio semakin rendah debt rasio akan semakin baik, karena aman bagi  kreditor saat likuidasi. Sedangkan  pada debt to equty rasio perlu dipahami bahwa tidak ada batasan debt to equty rasio yang aman, namun biasanya debt to equity rasio yang lewat 66% atau 2/3 sudah dianggap berresiko (</w:t>
      </w:r>
      <w:r>
        <w:fldChar w:fldCharType="begin"/>
      </w:r>
      <w:r>
        <w:instrText xml:space="preserve"> HYPERLINK "http://www.e-samuel.com,2004" </w:instrText>
      </w:r>
      <w:r>
        <w:fldChar w:fldCharType="separate"/>
      </w:r>
      <w:r>
        <w:rPr>
          <w:rStyle w:val="15"/>
          <w:lang w:val="id-ID"/>
        </w:rPr>
        <w:t>www.e-samuel.com,2004</w:t>
      </w:r>
      <w:r>
        <w:rPr>
          <w:rStyle w:val="15"/>
          <w:lang w:val="id-ID"/>
        </w:rPr>
        <w:fldChar w:fldCharType="end"/>
      </w:r>
      <w:r>
        <w:rPr>
          <w:lang w:val="id-ID"/>
        </w:rPr>
        <w:t xml:space="preserve">). </w:t>
      </w:r>
    </w:p>
    <w:p w14:paraId="27D54A53">
      <w:pPr>
        <w:pStyle w:val="16"/>
        <w:shd w:val="clear" w:color="auto" w:fill="FFFFFF"/>
        <w:spacing w:before="0" w:beforeAutospacing="0" w:after="0" w:afterAutospacing="0" w:line="480" w:lineRule="auto"/>
        <w:jc w:val="both"/>
        <w:rPr>
          <w:lang w:val="id-ID"/>
        </w:rPr>
      </w:pPr>
      <w:r>
        <w:rPr>
          <w:lang w:val="id-ID"/>
        </w:rPr>
        <w:t xml:space="preserve">G. </w:t>
      </w:r>
      <w:r>
        <w:rPr>
          <w:b/>
          <w:lang w:val="id-ID"/>
        </w:rPr>
        <w:t>Kelemahan Analisis Rasio Keuangan</w:t>
      </w:r>
    </w:p>
    <w:p w14:paraId="3C911909">
      <w:pPr>
        <w:pStyle w:val="16"/>
        <w:shd w:val="clear" w:color="auto" w:fill="FFFFFF"/>
        <w:spacing w:before="0" w:beforeAutospacing="0" w:after="0" w:afterAutospacing="0" w:line="480" w:lineRule="auto"/>
        <w:jc w:val="both"/>
        <w:rPr>
          <w:lang w:val="id-ID"/>
        </w:rPr>
      </w:pPr>
      <w:r>
        <w:rPr>
          <w:lang w:val="id-ID"/>
        </w:rPr>
        <w:tab/>
      </w:r>
      <w:r>
        <w:rPr>
          <w:lang w:val="id-ID"/>
        </w:rPr>
        <w:t xml:space="preserve">Ada beberapa kelemahan dengan digunakannya analisis secara rasio keuangan yaitu : </w:t>
      </w:r>
    </w:p>
    <w:p w14:paraId="257A41AB">
      <w:pPr>
        <w:pStyle w:val="16"/>
        <w:numPr>
          <w:ilvl w:val="0"/>
          <w:numId w:val="8"/>
        </w:numPr>
        <w:shd w:val="clear" w:color="auto" w:fill="FFFFFF"/>
        <w:spacing w:before="0" w:beforeAutospacing="0" w:after="0" w:afterAutospacing="0" w:line="480" w:lineRule="auto"/>
        <w:jc w:val="both"/>
        <w:rPr>
          <w:lang w:val="id-ID"/>
        </w:rPr>
      </w:pPr>
      <w:r>
        <w:rPr>
          <w:lang w:val="id-ID"/>
        </w:rPr>
        <w:t>Penggunaan rasio keuangan akan memberikan pengukuran yang realtip terhadap kondisi suatu perusahaan. Sisi relatip yang dimaksud dimana rasio-rasio keuangan bukanlah kriteriaa yang mutlak. Pada kenyatannya rasio keuangan hanyalah titik awal dalam analisis keuangan perusahaan.</w:t>
      </w:r>
    </w:p>
    <w:p w14:paraId="5E35F6F7">
      <w:pPr>
        <w:pStyle w:val="16"/>
        <w:numPr>
          <w:ilvl w:val="0"/>
          <w:numId w:val="8"/>
        </w:numPr>
        <w:shd w:val="clear" w:color="auto" w:fill="FFFFFF"/>
        <w:spacing w:before="0" w:beforeAutospacing="0" w:after="0" w:afterAutospacing="0" w:line="480" w:lineRule="auto"/>
        <w:jc w:val="both"/>
        <w:rPr>
          <w:lang w:val="id-ID"/>
        </w:rPr>
      </w:pPr>
      <w:r>
        <w:rPr>
          <w:lang w:val="id-ID"/>
        </w:rPr>
        <w:t xml:space="preserve">Analisis rasio keuangan hanya dapat djadikan peringatan awal bukan kesimpulan akhir. Analisis ini hanya menyediakan rambu – rambu tentang apa yang seharusya diharapkan. </w:t>
      </w:r>
    </w:p>
    <w:p w14:paraId="57504443">
      <w:pPr>
        <w:pStyle w:val="16"/>
        <w:numPr>
          <w:ilvl w:val="0"/>
          <w:numId w:val="8"/>
        </w:numPr>
        <w:shd w:val="clear" w:color="auto" w:fill="FFFFFF"/>
        <w:spacing w:before="0" w:beforeAutospacing="0" w:after="0" w:afterAutospacing="0" w:line="480" w:lineRule="auto"/>
        <w:jc w:val="both"/>
        <w:rPr>
          <w:lang w:val="id-ID"/>
        </w:rPr>
      </w:pPr>
      <w:r>
        <w:rPr>
          <w:lang w:val="id-ID"/>
        </w:rPr>
        <w:t xml:space="preserve">Setiap data yang diperoleh dan dipergunakan dalam menganalisis adalah bersumber dari laporan keuangan, bisa jadi berkemungkinan data tersebut diolah sesuai dengan kebutuhan. </w:t>
      </w:r>
    </w:p>
    <w:p w14:paraId="3D5792B6">
      <w:pPr>
        <w:pStyle w:val="16"/>
        <w:numPr>
          <w:ilvl w:val="0"/>
          <w:numId w:val="8"/>
        </w:numPr>
        <w:shd w:val="clear" w:color="auto" w:fill="FFFFFF"/>
        <w:spacing w:before="0" w:beforeAutospacing="0" w:after="0" w:afterAutospacing="0" w:line="480" w:lineRule="auto"/>
        <w:jc w:val="both"/>
        <w:rPr>
          <w:lang w:val="id-ID"/>
        </w:rPr>
      </w:pPr>
      <w:r>
        <w:rPr>
          <w:lang w:val="id-ID"/>
        </w:rPr>
        <w:t xml:space="preserve">Pengukuran rasio keuangan banyak yang bersifat artifisial. Artifisial disini artinya perhitungan rasio keuangan tersebut ditentukan oleh manusia, dan setiap pihak memiliki pandangan yang berbeda-beda dalam menempatkan ukuran dan terutama justifikasi digunakannya rasio-rasio tersebut.  Dimana kadangkala justifikasi penggunaan rasio tersebut sering tidak mampu secara maksimal menjawab kasus-kasus yang dianalisis. </w:t>
      </w:r>
    </w:p>
    <w:p w14:paraId="63A417D2">
      <w:pPr>
        <w:pStyle w:val="16"/>
        <w:shd w:val="clear" w:color="auto" w:fill="FFFFFF"/>
        <w:spacing w:before="0" w:beforeAutospacing="0" w:after="0" w:afterAutospacing="0" w:line="480" w:lineRule="auto"/>
        <w:ind w:left="720"/>
        <w:jc w:val="both"/>
        <w:rPr>
          <w:lang w:val="id-ID"/>
        </w:rPr>
      </w:pPr>
    </w:p>
    <w:p w14:paraId="2932CCF9">
      <w:pPr>
        <w:pStyle w:val="16"/>
        <w:shd w:val="clear" w:color="auto" w:fill="FFFFFF"/>
        <w:spacing w:before="0" w:beforeAutospacing="0" w:after="250" w:afterAutospacing="0"/>
        <w:rPr>
          <w:b/>
          <w:lang w:val="id-ID"/>
        </w:rPr>
      </w:pPr>
      <w:r>
        <w:rPr>
          <w:b/>
          <w:lang w:val="id-ID"/>
        </w:rPr>
        <w:t xml:space="preserve">Berikut Ilustrasi Penilaian Laporan Posisi Keuangan </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1456"/>
        <w:gridCol w:w="1456"/>
        <w:gridCol w:w="1596"/>
      </w:tblGrid>
      <w:tr w14:paraId="7401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8" w:type="dxa"/>
            <w:gridSpan w:val="4"/>
          </w:tcPr>
          <w:p w14:paraId="1CEE45B3">
            <w:pPr>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PT. Kembang Setangan</w:t>
            </w:r>
          </w:p>
          <w:p w14:paraId="7BF4A450">
            <w:pPr>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Laporan Posisi Keuangan</w:t>
            </w:r>
          </w:p>
          <w:p w14:paraId="73508B6B">
            <w:pPr>
              <w:spacing w:after="0" w:line="240" w:lineRule="auto"/>
              <w:jc w:val="center"/>
              <w:rPr>
                <w:b/>
                <w:lang w:val="id-ID"/>
              </w:rPr>
            </w:pPr>
            <w:r>
              <w:rPr>
                <w:rFonts w:ascii="Times New Roman" w:hAnsi="Times New Roman" w:cs="Times New Roman"/>
                <w:b/>
                <w:sz w:val="24"/>
                <w:szCs w:val="24"/>
                <w:lang w:val="id-ID"/>
              </w:rPr>
              <w:t>31 Desember 2023, 31 Desember 2024 dan 31 Desember 2025</w:t>
            </w:r>
          </w:p>
        </w:tc>
      </w:tr>
      <w:tr w14:paraId="6190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A06BBC">
            <w:pPr>
              <w:pStyle w:val="25"/>
              <w:rPr>
                <w:rFonts w:ascii="Times New Roman" w:hAnsi="Times New Roman" w:cs="Times New Roman"/>
                <w:sz w:val="24"/>
                <w:szCs w:val="24"/>
                <w:lang w:val="id-ID"/>
              </w:rPr>
            </w:pPr>
          </w:p>
        </w:tc>
        <w:tc>
          <w:tcPr>
            <w:tcW w:w="1417" w:type="dxa"/>
          </w:tcPr>
          <w:p w14:paraId="60520BF2">
            <w:pPr>
              <w:pStyle w:val="25"/>
              <w:jc w:val="center"/>
              <w:rPr>
                <w:rFonts w:ascii="Times New Roman" w:hAnsi="Times New Roman" w:cs="Times New Roman"/>
                <w:sz w:val="24"/>
                <w:szCs w:val="24"/>
                <w:lang w:val="id-ID"/>
              </w:rPr>
            </w:pPr>
            <w:r>
              <w:rPr>
                <w:rFonts w:ascii="Times New Roman" w:hAnsi="Times New Roman" w:cs="Times New Roman"/>
                <w:sz w:val="24"/>
                <w:szCs w:val="24"/>
                <w:lang w:val="id-ID"/>
              </w:rPr>
              <w:t>2023</w:t>
            </w:r>
          </w:p>
          <w:p w14:paraId="46A13E79">
            <w:pPr>
              <w:pStyle w:val="25"/>
              <w:jc w:val="center"/>
              <w:rPr>
                <w:rFonts w:ascii="Times New Roman" w:hAnsi="Times New Roman" w:cs="Times New Roman"/>
                <w:sz w:val="24"/>
                <w:szCs w:val="24"/>
                <w:lang w:val="id-ID"/>
              </w:rPr>
            </w:pPr>
            <w:r>
              <w:rPr>
                <w:rFonts w:ascii="Times New Roman" w:hAnsi="Times New Roman" w:cs="Times New Roman"/>
                <w:sz w:val="24"/>
                <w:szCs w:val="24"/>
                <w:lang w:val="id-ID"/>
              </w:rPr>
              <w:t>Rp</w:t>
            </w:r>
          </w:p>
        </w:tc>
        <w:tc>
          <w:tcPr>
            <w:tcW w:w="1418" w:type="dxa"/>
          </w:tcPr>
          <w:p w14:paraId="32E66F97">
            <w:pPr>
              <w:pStyle w:val="25"/>
              <w:jc w:val="center"/>
              <w:rPr>
                <w:rFonts w:ascii="Times New Roman" w:hAnsi="Times New Roman" w:cs="Times New Roman"/>
                <w:sz w:val="24"/>
                <w:szCs w:val="24"/>
                <w:lang w:val="id-ID"/>
              </w:rPr>
            </w:pPr>
            <w:r>
              <w:rPr>
                <w:rFonts w:ascii="Times New Roman" w:hAnsi="Times New Roman" w:cs="Times New Roman"/>
                <w:sz w:val="24"/>
                <w:szCs w:val="24"/>
                <w:lang w:val="id-ID"/>
              </w:rPr>
              <w:t>2024</w:t>
            </w:r>
          </w:p>
          <w:p w14:paraId="4D53C035">
            <w:pPr>
              <w:pStyle w:val="25"/>
              <w:jc w:val="center"/>
              <w:rPr>
                <w:rFonts w:ascii="Times New Roman" w:hAnsi="Times New Roman" w:cs="Times New Roman"/>
                <w:sz w:val="24"/>
                <w:szCs w:val="24"/>
                <w:lang w:val="id-ID"/>
              </w:rPr>
            </w:pPr>
            <w:r>
              <w:rPr>
                <w:rFonts w:ascii="Times New Roman" w:hAnsi="Times New Roman" w:cs="Times New Roman"/>
                <w:sz w:val="24"/>
                <w:szCs w:val="24"/>
                <w:lang w:val="id-ID"/>
              </w:rPr>
              <w:t>Rp</w:t>
            </w:r>
          </w:p>
        </w:tc>
        <w:tc>
          <w:tcPr>
            <w:tcW w:w="1417" w:type="dxa"/>
          </w:tcPr>
          <w:p w14:paraId="21018E9E">
            <w:pPr>
              <w:pStyle w:val="25"/>
              <w:jc w:val="center"/>
              <w:rPr>
                <w:rFonts w:ascii="Times New Roman" w:hAnsi="Times New Roman" w:cs="Times New Roman"/>
                <w:sz w:val="24"/>
                <w:szCs w:val="24"/>
                <w:lang w:val="id-ID"/>
              </w:rPr>
            </w:pPr>
            <w:r>
              <w:rPr>
                <w:rFonts w:ascii="Times New Roman" w:hAnsi="Times New Roman" w:cs="Times New Roman"/>
                <w:sz w:val="24"/>
                <w:szCs w:val="24"/>
                <w:lang w:val="id-ID"/>
              </w:rPr>
              <w:t>2025</w:t>
            </w:r>
          </w:p>
          <w:p w14:paraId="53C90350">
            <w:pPr>
              <w:pStyle w:val="25"/>
              <w:jc w:val="center"/>
              <w:rPr>
                <w:rFonts w:ascii="Times New Roman" w:hAnsi="Times New Roman" w:cs="Times New Roman"/>
                <w:sz w:val="24"/>
                <w:szCs w:val="24"/>
                <w:lang w:val="id-ID"/>
              </w:rPr>
            </w:pPr>
            <w:r>
              <w:rPr>
                <w:rFonts w:ascii="Times New Roman" w:hAnsi="Times New Roman" w:cs="Times New Roman"/>
                <w:sz w:val="24"/>
                <w:szCs w:val="24"/>
                <w:lang w:val="id-ID"/>
              </w:rPr>
              <w:t>Rp</w:t>
            </w:r>
          </w:p>
        </w:tc>
      </w:tr>
      <w:tr w14:paraId="34DD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FAA6C9A">
            <w:pPr>
              <w:pStyle w:val="25"/>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1417" w:type="dxa"/>
          </w:tcPr>
          <w:p w14:paraId="18150FA3">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50.000.000</w:t>
            </w:r>
          </w:p>
        </w:tc>
        <w:tc>
          <w:tcPr>
            <w:tcW w:w="1418" w:type="dxa"/>
          </w:tcPr>
          <w:p w14:paraId="7B05A2D3">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1417" w:type="dxa"/>
          </w:tcPr>
          <w:p w14:paraId="224464DA">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14:paraId="15D7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9C5AF04">
            <w:pPr>
              <w:pStyle w:val="25"/>
              <w:rPr>
                <w:rFonts w:ascii="Times New Roman" w:hAnsi="Times New Roman" w:cs="Times New Roman"/>
                <w:sz w:val="24"/>
                <w:szCs w:val="24"/>
                <w:lang w:val="id-ID"/>
              </w:rPr>
            </w:pPr>
            <w:r>
              <w:rPr>
                <w:rFonts w:ascii="Times New Roman" w:hAnsi="Times New Roman" w:cs="Times New Roman"/>
                <w:sz w:val="24"/>
                <w:szCs w:val="24"/>
                <w:lang w:val="id-ID"/>
              </w:rPr>
              <w:t>Piutang dagang</w:t>
            </w:r>
          </w:p>
        </w:tc>
        <w:tc>
          <w:tcPr>
            <w:tcW w:w="1417" w:type="dxa"/>
          </w:tcPr>
          <w:p w14:paraId="6FD809BC">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418" w:type="dxa"/>
          </w:tcPr>
          <w:p w14:paraId="4DFA76F8">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1417" w:type="dxa"/>
          </w:tcPr>
          <w:p w14:paraId="1CB2E3BC">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14:paraId="336C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20051E8">
            <w:pPr>
              <w:pStyle w:val="25"/>
              <w:rPr>
                <w:rFonts w:ascii="Times New Roman" w:hAnsi="Times New Roman" w:cs="Times New Roman"/>
                <w:sz w:val="24"/>
                <w:szCs w:val="24"/>
                <w:lang w:val="id-ID"/>
              </w:rPr>
            </w:pPr>
            <w:r>
              <w:rPr>
                <w:rFonts w:ascii="Times New Roman" w:hAnsi="Times New Roman" w:cs="Times New Roman"/>
                <w:sz w:val="24"/>
                <w:szCs w:val="24"/>
                <w:lang w:val="id-ID"/>
              </w:rPr>
              <w:t>Persediaan</w:t>
            </w:r>
          </w:p>
        </w:tc>
        <w:tc>
          <w:tcPr>
            <w:tcW w:w="1417" w:type="dxa"/>
          </w:tcPr>
          <w:p w14:paraId="6152E222">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c>
          <w:tcPr>
            <w:tcW w:w="1418" w:type="dxa"/>
          </w:tcPr>
          <w:p w14:paraId="43BA1CAD">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175.000.000</w:t>
            </w:r>
          </w:p>
        </w:tc>
        <w:tc>
          <w:tcPr>
            <w:tcW w:w="1417" w:type="dxa"/>
          </w:tcPr>
          <w:p w14:paraId="55EB0006">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r>
      <w:tr w14:paraId="3B5E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EBEA999">
            <w:pPr>
              <w:pStyle w:val="25"/>
              <w:rPr>
                <w:rFonts w:ascii="Times New Roman" w:hAnsi="Times New Roman" w:cs="Times New Roman"/>
                <w:sz w:val="24"/>
                <w:szCs w:val="24"/>
                <w:lang w:val="id-ID"/>
              </w:rPr>
            </w:pPr>
            <w:r>
              <w:rPr>
                <w:rFonts w:ascii="Times New Roman" w:hAnsi="Times New Roman" w:cs="Times New Roman"/>
                <w:sz w:val="24"/>
                <w:szCs w:val="24"/>
                <w:lang w:val="id-ID"/>
              </w:rPr>
              <w:t>Beban dibayar dimuka</w:t>
            </w:r>
          </w:p>
        </w:tc>
        <w:tc>
          <w:tcPr>
            <w:tcW w:w="1417" w:type="dxa"/>
          </w:tcPr>
          <w:p w14:paraId="237D3D22">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1418" w:type="dxa"/>
          </w:tcPr>
          <w:p w14:paraId="169F0038">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417" w:type="dxa"/>
          </w:tcPr>
          <w:p w14:paraId="6CD8270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14:paraId="38773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69942A3">
            <w:pPr>
              <w:pStyle w:val="25"/>
              <w:rPr>
                <w:rFonts w:ascii="Times New Roman" w:hAnsi="Times New Roman" w:cs="Times New Roman"/>
                <w:b/>
                <w:sz w:val="24"/>
                <w:szCs w:val="24"/>
                <w:lang w:val="id-ID"/>
              </w:rPr>
            </w:pPr>
            <w:r>
              <w:rPr>
                <w:rFonts w:ascii="Times New Roman" w:hAnsi="Times New Roman" w:cs="Times New Roman"/>
                <w:b/>
                <w:sz w:val="24"/>
                <w:szCs w:val="24"/>
                <w:lang w:val="id-ID"/>
              </w:rPr>
              <w:t>Total Aktiva Lancar</w:t>
            </w:r>
          </w:p>
        </w:tc>
        <w:tc>
          <w:tcPr>
            <w:tcW w:w="1417" w:type="dxa"/>
          </w:tcPr>
          <w:p w14:paraId="609E3BBB">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375.000.000</w:t>
            </w:r>
          </w:p>
        </w:tc>
        <w:tc>
          <w:tcPr>
            <w:tcW w:w="1418" w:type="dxa"/>
          </w:tcPr>
          <w:p w14:paraId="316670F1">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425.000.000</w:t>
            </w:r>
          </w:p>
        </w:tc>
        <w:tc>
          <w:tcPr>
            <w:tcW w:w="1417" w:type="dxa"/>
          </w:tcPr>
          <w:p w14:paraId="420798A1">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750.000.000</w:t>
            </w:r>
          </w:p>
        </w:tc>
      </w:tr>
      <w:tr w14:paraId="468F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FD851EE">
            <w:pPr>
              <w:pStyle w:val="25"/>
              <w:rPr>
                <w:rFonts w:ascii="Times New Roman" w:hAnsi="Times New Roman" w:cs="Times New Roman"/>
                <w:sz w:val="24"/>
                <w:szCs w:val="24"/>
                <w:lang w:val="id-ID"/>
              </w:rPr>
            </w:pPr>
            <w:r>
              <w:rPr>
                <w:rFonts w:ascii="Times New Roman" w:hAnsi="Times New Roman" w:cs="Times New Roman"/>
                <w:sz w:val="24"/>
                <w:szCs w:val="24"/>
                <w:lang w:val="id-ID"/>
              </w:rPr>
              <w:t>Tanah</w:t>
            </w:r>
          </w:p>
        </w:tc>
        <w:tc>
          <w:tcPr>
            <w:tcW w:w="1417" w:type="dxa"/>
          </w:tcPr>
          <w:p w14:paraId="38CBE89C">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c>
          <w:tcPr>
            <w:tcW w:w="1418" w:type="dxa"/>
          </w:tcPr>
          <w:p w14:paraId="01A777A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250.000.000</w:t>
            </w:r>
          </w:p>
        </w:tc>
        <w:tc>
          <w:tcPr>
            <w:tcW w:w="1417" w:type="dxa"/>
          </w:tcPr>
          <w:p w14:paraId="10A5E004">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r>
      <w:tr w14:paraId="21AD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428BE43">
            <w:pPr>
              <w:pStyle w:val="25"/>
              <w:rPr>
                <w:rFonts w:ascii="Times New Roman" w:hAnsi="Times New Roman" w:cs="Times New Roman"/>
                <w:sz w:val="24"/>
                <w:szCs w:val="24"/>
                <w:lang w:val="id-ID"/>
              </w:rPr>
            </w:pPr>
            <w:r>
              <w:rPr>
                <w:rFonts w:ascii="Times New Roman" w:hAnsi="Times New Roman" w:cs="Times New Roman"/>
                <w:sz w:val="24"/>
                <w:szCs w:val="24"/>
                <w:lang w:val="id-ID"/>
              </w:rPr>
              <w:t>Bangunan</w:t>
            </w:r>
          </w:p>
        </w:tc>
        <w:tc>
          <w:tcPr>
            <w:tcW w:w="1417" w:type="dxa"/>
          </w:tcPr>
          <w:p w14:paraId="7A17D053">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c>
          <w:tcPr>
            <w:tcW w:w="1418" w:type="dxa"/>
          </w:tcPr>
          <w:p w14:paraId="7EA004FF">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250.000.000</w:t>
            </w:r>
          </w:p>
        </w:tc>
        <w:tc>
          <w:tcPr>
            <w:tcW w:w="1417" w:type="dxa"/>
          </w:tcPr>
          <w:p w14:paraId="5BECACC9">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r>
      <w:tr w14:paraId="4EF3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95A0BB7">
            <w:pPr>
              <w:pStyle w:val="25"/>
              <w:rPr>
                <w:rFonts w:ascii="Times New Roman" w:hAnsi="Times New Roman" w:cs="Times New Roman"/>
                <w:sz w:val="24"/>
                <w:szCs w:val="24"/>
                <w:lang w:val="id-ID"/>
              </w:rPr>
            </w:pPr>
            <w:r>
              <w:rPr>
                <w:rFonts w:ascii="Times New Roman" w:hAnsi="Times New Roman" w:cs="Times New Roman"/>
                <w:sz w:val="24"/>
                <w:szCs w:val="24"/>
                <w:lang w:val="id-ID"/>
              </w:rPr>
              <w:t>Akumulasi penyusutan bangunan</w:t>
            </w:r>
          </w:p>
        </w:tc>
        <w:tc>
          <w:tcPr>
            <w:tcW w:w="1417" w:type="dxa"/>
          </w:tcPr>
          <w:p w14:paraId="2E8018F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(50.000.000)</w:t>
            </w:r>
          </w:p>
        </w:tc>
        <w:tc>
          <w:tcPr>
            <w:tcW w:w="1418" w:type="dxa"/>
          </w:tcPr>
          <w:p w14:paraId="034A790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1417" w:type="dxa"/>
          </w:tcPr>
          <w:p w14:paraId="5B11A4FC">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14:paraId="0AC4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23EF133">
            <w:pPr>
              <w:pStyle w:val="25"/>
              <w:rPr>
                <w:rFonts w:ascii="Times New Roman" w:hAnsi="Times New Roman" w:cs="Times New Roman"/>
                <w:sz w:val="24"/>
                <w:szCs w:val="24"/>
                <w:lang w:val="id-ID"/>
              </w:rPr>
            </w:pPr>
            <w:r>
              <w:rPr>
                <w:rFonts w:ascii="Times New Roman" w:hAnsi="Times New Roman" w:cs="Times New Roman"/>
                <w:sz w:val="24"/>
                <w:szCs w:val="24"/>
                <w:lang w:val="id-ID"/>
              </w:rPr>
              <w:t>Paten</w:t>
            </w:r>
          </w:p>
        </w:tc>
        <w:tc>
          <w:tcPr>
            <w:tcW w:w="1417" w:type="dxa"/>
          </w:tcPr>
          <w:p w14:paraId="23B8199B">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418" w:type="dxa"/>
          </w:tcPr>
          <w:p w14:paraId="68BB0E3F">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90.000.000</w:t>
            </w:r>
          </w:p>
        </w:tc>
        <w:tc>
          <w:tcPr>
            <w:tcW w:w="1417" w:type="dxa"/>
          </w:tcPr>
          <w:p w14:paraId="6B1E76E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14:paraId="2646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C4840B3">
            <w:pPr>
              <w:pStyle w:val="25"/>
              <w:rPr>
                <w:rFonts w:ascii="Times New Roman" w:hAnsi="Times New Roman" w:cs="Times New Roman"/>
                <w:b/>
                <w:sz w:val="24"/>
                <w:szCs w:val="24"/>
                <w:lang w:val="id-ID"/>
              </w:rPr>
            </w:pPr>
            <w:r>
              <w:rPr>
                <w:rFonts w:ascii="Times New Roman" w:hAnsi="Times New Roman" w:cs="Times New Roman"/>
                <w:b/>
                <w:sz w:val="24"/>
                <w:szCs w:val="24"/>
                <w:lang w:val="id-ID"/>
              </w:rPr>
              <w:t>Total Aktiva Tidak Lancar</w:t>
            </w:r>
          </w:p>
        </w:tc>
        <w:tc>
          <w:tcPr>
            <w:tcW w:w="1417" w:type="dxa"/>
          </w:tcPr>
          <w:p w14:paraId="6AE6EAFE">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450.000.000</w:t>
            </w:r>
          </w:p>
        </w:tc>
        <w:tc>
          <w:tcPr>
            <w:tcW w:w="1418" w:type="dxa"/>
          </w:tcPr>
          <w:p w14:paraId="37D1F58E">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515.000.000</w:t>
            </w:r>
          </w:p>
        </w:tc>
        <w:tc>
          <w:tcPr>
            <w:tcW w:w="1417" w:type="dxa"/>
          </w:tcPr>
          <w:p w14:paraId="0CC615FE">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500.000.000</w:t>
            </w:r>
          </w:p>
        </w:tc>
      </w:tr>
      <w:tr w14:paraId="32DE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37A639A">
            <w:pPr>
              <w:pStyle w:val="25"/>
              <w:rPr>
                <w:rFonts w:ascii="Times New Roman" w:hAnsi="Times New Roman" w:cs="Times New Roman"/>
                <w:b/>
                <w:sz w:val="24"/>
                <w:szCs w:val="24"/>
                <w:lang w:val="id-ID"/>
              </w:rPr>
            </w:pPr>
            <w:r>
              <w:rPr>
                <w:rFonts w:ascii="Times New Roman" w:hAnsi="Times New Roman" w:cs="Times New Roman"/>
                <w:b/>
                <w:sz w:val="24"/>
                <w:szCs w:val="24"/>
                <w:lang w:val="id-ID"/>
              </w:rPr>
              <w:t>Total Aktiva</w:t>
            </w:r>
          </w:p>
        </w:tc>
        <w:tc>
          <w:tcPr>
            <w:tcW w:w="1417" w:type="dxa"/>
          </w:tcPr>
          <w:p w14:paraId="394C0E12">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825.000.000</w:t>
            </w:r>
          </w:p>
        </w:tc>
        <w:tc>
          <w:tcPr>
            <w:tcW w:w="1418" w:type="dxa"/>
          </w:tcPr>
          <w:p w14:paraId="35C49D95">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940.000.000</w:t>
            </w:r>
          </w:p>
        </w:tc>
        <w:tc>
          <w:tcPr>
            <w:tcW w:w="1417" w:type="dxa"/>
          </w:tcPr>
          <w:p w14:paraId="52DE3D30">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1.250.000.000</w:t>
            </w:r>
          </w:p>
        </w:tc>
      </w:tr>
      <w:tr w14:paraId="66C2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0BF2285">
            <w:pPr>
              <w:pStyle w:val="25"/>
              <w:rPr>
                <w:rFonts w:ascii="Times New Roman" w:hAnsi="Times New Roman" w:cs="Times New Roman"/>
                <w:sz w:val="24"/>
                <w:szCs w:val="24"/>
                <w:lang w:val="id-ID"/>
              </w:rPr>
            </w:pPr>
            <w:r>
              <w:rPr>
                <w:rFonts w:ascii="Times New Roman" w:hAnsi="Times New Roman" w:cs="Times New Roman"/>
                <w:sz w:val="24"/>
                <w:szCs w:val="24"/>
                <w:lang w:val="id-ID"/>
              </w:rPr>
              <w:t xml:space="preserve">Utang dagang </w:t>
            </w:r>
          </w:p>
        </w:tc>
        <w:tc>
          <w:tcPr>
            <w:tcW w:w="1417" w:type="dxa"/>
          </w:tcPr>
          <w:p w14:paraId="0F9C0F4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1418" w:type="dxa"/>
          </w:tcPr>
          <w:p w14:paraId="7102CACA">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125.000.000</w:t>
            </w:r>
          </w:p>
        </w:tc>
        <w:tc>
          <w:tcPr>
            <w:tcW w:w="1417" w:type="dxa"/>
          </w:tcPr>
          <w:p w14:paraId="132AA9D6">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14:paraId="00EA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339283D">
            <w:pPr>
              <w:pStyle w:val="25"/>
              <w:rPr>
                <w:rFonts w:ascii="Times New Roman" w:hAnsi="Times New Roman" w:cs="Times New Roman"/>
                <w:sz w:val="24"/>
                <w:szCs w:val="24"/>
                <w:lang w:val="id-ID"/>
              </w:rPr>
            </w:pPr>
            <w:r>
              <w:rPr>
                <w:rFonts w:ascii="Times New Roman" w:hAnsi="Times New Roman" w:cs="Times New Roman"/>
                <w:sz w:val="24"/>
                <w:szCs w:val="24"/>
                <w:lang w:val="id-ID"/>
              </w:rPr>
              <w:t>Pendapatan diterma dimuka</w:t>
            </w:r>
          </w:p>
        </w:tc>
        <w:tc>
          <w:tcPr>
            <w:tcW w:w="1417" w:type="dxa"/>
          </w:tcPr>
          <w:p w14:paraId="02C98182">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125.000.000</w:t>
            </w:r>
          </w:p>
        </w:tc>
        <w:tc>
          <w:tcPr>
            <w:tcW w:w="1418" w:type="dxa"/>
          </w:tcPr>
          <w:p w14:paraId="077A076F">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190.000.000</w:t>
            </w:r>
          </w:p>
        </w:tc>
        <w:tc>
          <w:tcPr>
            <w:tcW w:w="1417" w:type="dxa"/>
          </w:tcPr>
          <w:p w14:paraId="6F7BF16F">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14:paraId="4506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18456EB">
            <w:pPr>
              <w:pStyle w:val="25"/>
              <w:rPr>
                <w:rFonts w:ascii="Times New Roman" w:hAnsi="Times New Roman" w:cs="Times New Roman"/>
                <w:b/>
                <w:sz w:val="24"/>
                <w:szCs w:val="24"/>
                <w:lang w:val="id-ID"/>
              </w:rPr>
            </w:pPr>
            <w:r>
              <w:rPr>
                <w:rFonts w:ascii="Times New Roman" w:hAnsi="Times New Roman" w:cs="Times New Roman"/>
                <w:b/>
                <w:sz w:val="24"/>
                <w:szCs w:val="24"/>
                <w:lang w:val="id-ID"/>
              </w:rPr>
              <w:t>Total kewajiban lancar</w:t>
            </w:r>
          </w:p>
        </w:tc>
        <w:tc>
          <w:tcPr>
            <w:tcW w:w="1417" w:type="dxa"/>
          </w:tcPr>
          <w:p w14:paraId="3D074FBC">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c>
          <w:tcPr>
            <w:tcW w:w="1418" w:type="dxa"/>
          </w:tcPr>
          <w:p w14:paraId="5C8AC6E2">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315.000.000</w:t>
            </w:r>
          </w:p>
        </w:tc>
        <w:tc>
          <w:tcPr>
            <w:tcW w:w="1417" w:type="dxa"/>
          </w:tcPr>
          <w:p w14:paraId="52FCBDB1">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250.000.000</w:t>
            </w:r>
          </w:p>
        </w:tc>
      </w:tr>
      <w:tr w14:paraId="3839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5B5E371">
            <w:pPr>
              <w:pStyle w:val="25"/>
              <w:rPr>
                <w:rFonts w:ascii="Times New Roman" w:hAnsi="Times New Roman" w:cs="Times New Roman"/>
                <w:sz w:val="24"/>
                <w:szCs w:val="24"/>
                <w:lang w:val="id-ID"/>
              </w:rPr>
            </w:pPr>
            <w:r>
              <w:rPr>
                <w:rFonts w:ascii="Times New Roman" w:hAnsi="Times New Roman" w:cs="Times New Roman"/>
                <w:sz w:val="24"/>
                <w:szCs w:val="24"/>
                <w:lang w:val="id-ID"/>
              </w:rPr>
              <w:t>Utang bank jangka panjang</w:t>
            </w:r>
          </w:p>
        </w:tc>
        <w:tc>
          <w:tcPr>
            <w:tcW w:w="1417" w:type="dxa"/>
          </w:tcPr>
          <w:p w14:paraId="7DE31195">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225.000.000</w:t>
            </w:r>
          </w:p>
        </w:tc>
        <w:tc>
          <w:tcPr>
            <w:tcW w:w="1418" w:type="dxa"/>
          </w:tcPr>
          <w:p w14:paraId="0B266F6D">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c>
          <w:tcPr>
            <w:tcW w:w="1417" w:type="dxa"/>
          </w:tcPr>
          <w:p w14:paraId="5C8D6A75">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225.000.000</w:t>
            </w:r>
          </w:p>
        </w:tc>
      </w:tr>
      <w:tr w14:paraId="59DF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C849CD">
            <w:pPr>
              <w:pStyle w:val="25"/>
              <w:rPr>
                <w:rFonts w:ascii="Times New Roman" w:hAnsi="Times New Roman" w:cs="Times New Roman"/>
                <w:b/>
                <w:sz w:val="24"/>
                <w:szCs w:val="24"/>
                <w:lang w:val="id-ID"/>
              </w:rPr>
            </w:pPr>
            <w:r>
              <w:rPr>
                <w:rFonts w:ascii="Times New Roman" w:hAnsi="Times New Roman" w:cs="Times New Roman"/>
                <w:b/>
                <w:sz w:val="24"/>
                <w:szCs w:val="24"/>
                <w:lang w:val="id-ID"/>
              </w:rPr>
              <w:t>Total kewajiban jangka panjang</w:t>
            </w:r>
          </w:p>
        </w:tc>
        <w:tc>
          <w:tcPr>
            <w:tcW w:w="1417" w:type="dxa"/>
          </w:tcPr>
          <w:p w14:paraId="55C406E7">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225.000.000</w:t>
            </w:r>
          </w:p>
        </w:tc>
        <w:tc>
          <w:tcPr>
            <w:tcW w:w="1418" w:type="dxa"/>
          </w:tcPr>
          <w:p w14:paraId="5C49A60E">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c>
          <w:tcPr>
            <w:tcW w:w="1417" w:type="dxa"/>
          </w:tcPr>
          <w:p w14:paraId="107454A2">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225.000.000</w:t>
            </w:r>
          </w:p>
        </w:tc>
      </w:tr>
      <w:tr w14:paraId="33A9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1344933">
            <w:pPr>
              <w:pStyle w:val="25"/>
              <w:rPr>
                <w:rFonts w:ascii="Times New Roman" w:hAnsi="Times New Roman" w:cs="Times New Roman"/>
                <w:sz w:val="24"/>
                <w:szCs w:val="24"/>
                <w:lang w:val="id-ID"/>
              </w:rPr>
            </w:pPr>
            <w:r>
              <w:rPr>
                <w:rFonts w:ascii="Times New Roman" w:hAnsi="Times New Roman" w:cs="Times New Roman"/>
                <w:sz w:val="24"/>
                <w:szCs w:val="24"/>
                <w:lang w:val="id-ID"/>
              </w:rPr>
              <w:t>Saham biasa</w:t>
            </w:r>
          </w:p>
        </w:tc>
        <w:tc>
          <w:tcPr>
            <w:tcW w:w="1417" w:type="dxa"/>
          </w:tcPr>
          <w:p w14:paraId="7DE90D8E">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250.000.000</w:t>
            </w:r>
          </w:p>
        </w:tc>
        <w:tc>
          <w:tcPr>
            <w:tcW w:w="1418" w:type="dxa"/>
          </w:tcPr>
          <w:p w14:paraId="70B9ED4E">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c>
          <w:tcPr>
            <w:tcW w:w="1417" w:type="dxa"/>
          </w:tcPr>
          <w:p w14:paraId="27D1B8C2">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250.000.000</w:t>
            </w:r>
          </w:p>
        </w:tc>
      </w:tr>
      <w:tr w14:paraId="45FF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B2E497">
            <w:pPr>
              <w:pStyle w:val="25"/>
              <w:rPr>
                <w:rFonts w:ascii="Times New Roman" w:hAnsi="Times New Roman" w:cs="Times New Roman"/>
                <w:sz w:val="24"/>
                <w:szCs w:val="24"/>
                <w:lang w:val="id-ID"/>
              </w:rPr>
            </w:pPr>
            <w:r>
              <w:rPr>
                <w:rFonts w:ascii="Times New Roman" w:hAnsi="Times New Roman" w:cs="Times New Roman"/>
                <w:sz w:val="24"/>
                <w:szCs w:val="24"/>
                <w:lang w:val="id-ID"/>
              </w:rPr>
              <w:t>Laba yang ditahan</w:t>
            </w:r>
          </w:p>
        </w:tc>
        <w:tc>
          <w:tcPr>
            <w:tcW w:w="1417" w:type="dxa"/>
          </w:tcPr>
          <w:p w14:paraId="22F837C5">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c>
          <w:tcPr>
            <w:tcW w:w="1418" w:type="dxa"/>
          </w:tcPr>
          <w:p w14:paraId="27803BE9">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175.000.000</w:t>
            </w:r>
          </w:p>
        </w:tc>
        <w:tc>
          <w:tcPr>
            <w:tcW w:w="1417" w:type="dxa"/>
          </w:tcPr>
          <w:p w14:paraId="7D872E16">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175.000.000</w:t>
            </w:r>
          </w:p>
        </w:tc>
      </w:tr>
      <w:tr w14:paraId="46B3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7B4BD42">
            <w:pPr>
              <w:pStyle w:val="25"/>
              <w:rPr>
                <w:rFonts w:ascii="Times New Roman" w:hAnsi="Times New Roman" w:cs="Times New Roman"/>
                <w:sz w:val="24"/>
                <w:szCs w:val="24"/>
                <w:lang w:val="id-ID"/>
              </w:rPr>
            </w:pPr>
            <w:r>
              <w:rPr>
                <w:rFonts w:ascii="Times New Roman" w:hAnsi="Times New Roman" w:cs="Times New Roman"/>
                <w:sz w:val="24"/>
                <w:szCs w:val="24"/>
                <w:lang w:val="id-ID"/>
              </w:rPr>
              <w:t>Total ekuitas</w:t>
            </w:r>
          </w:p>
        </w:tc>
        <w:tc>
          <w:tcPr>
            <w:tcW w:w="1417" w:type="dxa"/>
          </w:tcPr>
          <w:p w14:paraId="3BCD4E2A">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400.000.000</w:t>
            </w:r>
          </w:p>
        </w:tc>
        <w:tc>
          <w:tcPr>
            <w:tcW w:w="1418" w:type="dxa"/>
          </w:tcPr>
          <w:p w14:paraId="4E3C7C25">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475.000.000</w:t>
            </w:r>
          </w:p>
        </w:tc>
        <w:tc>
          <w:tcPr>
            <w:tcW w:w="1417" w:type="dxa"/>
          </w:tcPr>
          <w:p w14:paraId="01737DF3">
            <w:pPr>
              <w:pStyle w:val="25"/>
              <w:jc w:val="right"/>
              <w:rPr>
                <w:rFonts w:ascii="Times New Roman" w:hAnsi="Times New Roman" w:cs="Times New Roman"/>
                <w:sz w:val="24"/>
                <w:szCs w:val="24"/>
                <w:lang w:val="id-ID"/>
              </w:rPr>
            </w:pPr>
            <w:r>
              <w:rPr>
                <w:rFonts w:ascii="Times New Roman" w:hAnsi="Times New Roman" w:cs="Times New Roman"/>
                <w:sz w:val="24"/>
                <w:szCs w:val="24"/>
                <w:lang w:val="id-ID"/>
              </w:rPr>
              <w:t>350.000.000</w:t>
            </w:r>
          </w:p>
        </w:tc>
      </w:tr>
      <w:tr w14:paraId="6C6A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D4E8DED">
            <w:pPr>
              <w:pStyle w:val="25"/>
              <w:rPr>
                <w:rFonts w:ascii="Times New Roman" w:hAnsi="Times New Roman" w:cs="Times New Roman"/>
                <w:sz w:val="24"/>
                <w:szCs w:val="24"/>
                <w:lang w:val="id-ID"/>
              </w:rPr>
            </w:pPr>
            <w:r>
              <w:rPr>
                <w:rFonts w:ascii="Times New Roman" w:hAnsi="Times New Roman" w:cs="Times New Roman"/>
                <w:sz w:val="24"/>
                <w:szCs w:val="24"/>
                <w:lang w:val="id-ID"/>
              </w:rPr>
              <w:t xml:space="preserve">Total kewajiban dan euitas </w:t>
            </w:r>
          </w:p>
        </w:tc>
        <w:tc>
          <w:tcPr>
            <w:tcW w:w="1417" w:type="dxa"/>
          </w:tcPr>
          <w:p w14:paraId="79A7AFBC">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825.000.000</w:t>
            </w:r>
          </w:p>
        </w:tc>
        <w:tc>
          <w:tcPr>
            <w:tcW w:w="1418" w:type="dxa"/>
          </w:tcPr>
          <w:p w14:paraId="310DBC34">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940.000.000</w:t>
            </w:r>
          </w:p>
        </w:tc>
        <w:tc>
          <w:tcPr>
            <w:tcW w:w="1417" w:type="dxa"/>
          </w:tcPr>
          <w:p w14:paraId="76F9E8EF">
            <w:pPr>
              <w:pStyle w:val="25"/>
              <w:jc w:val="right"/>
              <w:rPr>
                <w:rFonts w:ascii="Times New Roman" w:hAnsi="Times New Roman" w:cs="Times New Roman"/>
                <w:b/>
                <w:sz w:val="24"/>
                <w:szCs w:val="24"/>
                <w:lang w:val="id-ID"/>
              </w:rPr>
            </w:pPr>
            <w:r>
              <w:rPr>
                <w:rFonts w:ascii="Times New Roman" w:hAnsi="Times New Roman" w:cs="Times New Roman"/>
                <w:b/>
                <w:sz w:val="24"/>
                <w:szCs w:val="24"/>
                <w:lang w:val="id-ID"/>
              </w:rPr>
              <w:t>1.250.000.000</w:t>
            </w:r>
          </w:p>
        </w:tc>
      </w:tr>
    </w:tbl>
    <w:p w14:paraId="3CB69A38">
      <w:pPr>
        <w:pStyle w:val="16"/>
        <w:shd w:val="clear" w:color="auto" w:fill="FFFFFF"/>
        <w:spacing w:before="0" w:beforeAutospacing="0" w:after="250" w:afterAutospacing="0"/>
        <w:rPr>
          <w:b/>
          <w:lang w:val="en-US"/>
        </w:rPr>
      </w:pPr>
      <w:r>
        <w:rPr>
          <w:b/>
          <w:lang w:val="id-ID"/>
        </w:rPr>
        <w:t>Sumber : PT. Bunga Setaman, 2025</w:t>
      </w:r>
    </w:p>
    <w:p w14:paraId="444731FB">
      <w:pPr>
        <w:pStyle w:val="16"/>
        <w:shd w:val="clear" w:color="auto" w:fill="FFFFFF"/>
        <w:spacing w:before="0" w:beforeAutospacing="0" w:after="250" w:afterAutospacing="0"/>
        <w:rPr>
          <w:b/>
          <w:lang w:val="en-US"/>
        </w:rPr>
      </w:pPr>
    </w:p>
    <w:p w14:paraId="379657C0">
      <w:pPr>
        <w:pStyle w:val="16"/>
        <w:shd w:val="clear" w:color="auto" w:fill="FFFFFF"/>
        <w:spacing w:before="0" w:beforeAutospacing="0" w:after="0" w:afterAutospacing="0"/>
        <w:jc w:val="center"/>
        <w:rPr>
          <w:b/>
          <w:lang w:val="id-ID"/>
        </w:rPr>
      </w:pPr>
      <w:r>
        <w:rPr>
          <w:b/>
          <w:lang w:val="id-ID"/>
        </w:rPr>
        <w:t>PT. Bunga Setaman</w:t>
      </w:r>
    </w:p>
    <w:p w14:paraId="1DB12816">
      <w:pPr>
        <w:pStyle w:val="16"/>
        <w:shd w:val="clear" w:color="auto" w:fill="FFFFFF"/>
        <w:spacing w:before="0" w:beforeAutospacing="0" w:after="0" w:afterAutospacing="0"/>
        <w:jc w:val="center"/>
        <w:rPr>
          <w:b/>
          <w:lang w:val="id-ID"/>
        </w:rPr>
      </w:pPr>
      <w:r>
        <w:rPr>
          <w:b/>
          <w:lang w:val="id-ID"/>
        </w:rPr>
        <w:t>Laporan Laba Rugi 2023</w:t>
      </w:r>
    </w:p>
    <w:p w14:paraId="305B8479">
      <w:pPr>
        <w:pStyle w:val="16"/>
        <w:shd w:val="clear" w:color="auto" w:fill="FFFFFF"/>
        <w:spacing w:before="0" w:beforeAutospacing="0" w:after="0" w:afterAutospacing="0"/>
        <w:jc w:val="center"/>
        <w:rPr>
          <w:b/>
          <w:lang w:val="id-ID"/>
        </w:rPr>
      </w:pPr>
      <w:r>
        <w:rPr>
          <w:b/>
          <w:lang w:val="id-ID"/>
        </w:rPr>
        <w:t>Periode 1 Januari – 31 Desember 2023</w:t>
      </w:r>
    </w:p>
    <w:p w14:paraId="41F5DD70">
      <w:pPr>
        <w:pStyle w:val="16"/>
        <w:shd w:val="clear" w:color="auto" w:fill="FFFFFF"/>
        <w:spacing w:before="0" w:beforeAutospacing="0" w:after="0" w:afterAutospacing="0"/>
        <w:jc w:val="center"/>
        <w:rPr>
          <w:b/>
          <w:lang w:val="id-ID"/>
        </w:rPr>
      </w:pPr>
      <w:r>
        <w:rPr>
          <w:b/>
          <w:lang w:val="id-ID"/>
        </w:rPr>
        <w:t>Dalam Rupiah</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7"/>
        <w:gridCol w:w="2551"/>
      </w:tblGrid>
      <w:tr w14:paraId="49CD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7" w:type="dxa"/>
          </w:tcPr>
          <w:p w14:paraId="103CF678">
            <w:pPr>
              <w:pStyle w:val="16"/>
              <w:spacing w:before="0" w:beforeAutospacing="0" w:after="0" w:afterAutospacing="0"/>
              <w:rPr>
                <w:lang w:val="id-ID"/>
              </w:rPr>
            </w:pPr>
            <w:r>
              <w:rPr>
                <w:lang w:val="id-ID"/>
              </w:rPr>
              <w:t>Penjualan</w:t>
            </w:r>
          </w:p>
          <w:p w14:paraId="0DC818D6">
            <w:pPr>
              <w:pStyle w:val="16"/>
              <w:spacing w:before="0" w:beforeAutospacing="0" w:after="0" w:afterAutospacing="0"/>
              <w:rPr>
                <w:lang w:val="id-ID"/>
              </w:rPr>
            </w:pPr>
            <w:r>
              <w:rPr>
                <w:lang w:val="id-ID"/>
              </w:rPr>
              <w:t>Harga pokok penjualan</w:t>
            </w:r>
          </w:p>
          <w:p w14:paraId="506D88E8">
            <w:pPr>
              <w:pStyle w:val="16"/>
              <w:spacing w:before="0" w:beforeAutospacing="0" w:after="0" w:afterAutospacing="0"/>
              <w:rPr>
                <w:lang w:val="id-ID"/>
              </w:rPr>
            </w:pPr>
            <w:r>
              <w:rPr>
                <w:lang w:val="id-ID"/>
              </w:rPr>
              <w:t xml:space="preserve">Laba kotor </w:t>
            </w:r>
          </w:p>
          <w:p w14:paraId="152A0AD8">
            <w:pPr>
              <w:pStyle w:val="16"/>
              <w:spacing w:before="0" w:beforeAutospacing="0" w:after="0" w:afterAutospacing="0"/>
              <w:rPr>
                <w:lang w:val="id-ID"/>
              </w:rPr>
            </w:pPr>
            <w:r>
              <w:rPr>
                <w:lang w:val="id-ID"/>
              </w:rPr>
              <w:t>Beban operasi</w:t>
            </w:r>
          </w:p>
          <w:p w14:paraId="08EEBCCA">
            <w:pPr>
              <w:pStyle w:val="16"/>
              <w:spacing w:before="0" w:beforeAutospacing="0" w:after="0" w:afterAutospacing="0"/>
              <w:rPr>
                <w:lang w:val="id-ID"/>
              </w:rPr>
            </w:pPr>
            <w:r>
              <w:rPr>
                <w:lang w:val="id-ID"/>
              </w:rPr>
              <w:t xml:space="preserve">Beban bunga utang </w:t>
            </w:r>
          </w:p>
          <w:p w14:paraId="49CD4D53">
            <w:pPr>
              <w:pStyle w:val="16"/>
              <w:spacing w:before="0" w:beforeAutospacing="0" w:after="0" w:afterAutospacing="0"/>
              <w:rPr>
                <w:lang w:val="id-ID"/>
              </w:rPr>
            </w:pPr>
            <w:r>
              <w:rPr>
                <w:lang w:val="id-ID"/>
              </w:rPr>
              <w:t>Beban amortisasi paten</w:t>
            </w:r>
          </w:p>
          <w:p w14:paraId="641C4EFA">
            <w:pPr>
              <w:pStyle w:val="16"/>
              <w:spacing w:before="0" w:beforeAutospacing="0" w:after="0" w:afterAutospacing="0"/>
              <w:rPr>
                <w:lang w:val="id-ID"/>
              </w:rPr>
            </w:pPr>
            <w:r>
              <w:rPr>
                <w:lang w:val="id-ID"/>
              </w:rPr>
              <w:t>Beban penyusutan bangunan</w:t>
            </w:r>
          </w:p>
          <w:p w14:paraId="2D0EC741">
            <w:pPr>
              <w:pStyle w:val="16"/>
              <w:spacing w:before="0" w:beforeAutospacing="0" w:after="0" w:afterAutospacing="0"/>
              <w:rPr>
                <w:lang w:val="id-ID"/>
              </w:rPr>
            </w:pPr>
            <w:r>
              <w:rPr>
                <w:lang w:val="id-ID"/>
              </w:rPr>
              <w:t>Laba operasi</w:t>
            </w:r>
          </w:p>
          <w:p w14:paraId="2AFEDAD0">
            <w:pPr>
              <w:pStyle w:val="16"/>
              <w:spacing w:before="0" w:beforeAutospacing="0" w:after="0" w:afterAutospacing="0"/>
              <w:rPr>
                <w:lang w:val="id-ID"/>
              </w:rPr>
            </w:pPr>
            <w:r>
              <w:rPr>
                <w:lang w:val="id-ID"/>
              </w:rPr>
              <w:t xml:space="preserve">Keuntungan dar punjualan tanah </w:t>
            </w:r>
          </w:p>
          <w:p w14:paraId="0E1D1B02">
            <w:pPr>
              <w:pStyle w:val="16"/>
              <w:spacing w:before="0" w:beforeAutospacing="0" w:after="0" w:afterAutospacing="0"/>
              <w:rPr>
                <w:lang w:val="id-ID"/>
              </w:rPr>
            </w:pPr>
            <w:r>
              <w:rPr>
                <w:lang w:val="id-ID"/>
              </w:rPr>
              <w:t>Beban lain-lain</w:t>
            </w:r>
          </w:p>
          <w:p w14:paraId="0DA1CD1C">
            <w:pPr>
              <w:pStyle w:val="16"/>
              <w:spacing w:before="0" w:beforeAutospacing="0" w:after="0" w:afterAutospacing="0"/>
              <w:rPr>
                <w:lang w:val="id-ID"/>
              </w:rPr>
            </w:pPr>
            <w:r>
              <w:rPr>
                <w:lang w:val="id-ID"/>
              </w:rPr>
              <w:t xml:space="preserve">Laba sebelum pajak </w:t>
            </w:r>
          </w:p>
          <w:p w14:paraId="13465330">
            <w:pPr>
              <w:pStyle w:val="16"/>
              <w:spacing w:before="0" w:beforeAutospacing="0" w:after="0" w:afterAutospacing="0"/>
              <w:rPr>
                <w:lang w:val="id-ID"/>
              </w:rPr>
            </w:pPr>
            <w:r>
              <w:rPr>
                <w:lang w:val="id-ID"/>
              </w:rPr>
              <w:t>Beban pajak</w:t>
            </w:r>
          </w:p>
          <w:p w14:paraId="0BF20BC4">
            <w:pPr>
              <w:pStyle w:val="16"/>
              <w:spacing w:before="0" w:beforeAutospacing="0" w:after="0" w:afterAutospacing="0"/>
              <w:rPr>
                <w:lang w:val="id-ID"/>
              </w:rPr>
            </w:pPr>
            <w:r>
              <w:rPr>
                <w:lang w:val="id-ID"/>
              </w:rPr>
              <w:t xml:space="preserve">Laba bersih </w:t>
            </w:r>
          </w:p>
        </w:tc>
        <w:tc>
          <w:tcPr>
            <w:tcW w:w="2551" w:type="dxa"/>
          </w:tcPr>
          <w:p w14:paraId="5FBA21F0">
            <w:pPr>
              <w:pStyle w:val="16"/>
              <w:spacing w:before="0" w:beforeAutospacing="0" w:after="0" w:afterAutospacing="0"/>
              <w:jc w:val="right"/>
              <w:rPr>
                <w:lang w:val="id-ID"/>
              </w:rPr>
            </w:pPr>
            <w:r>
              <w:rPr>
                <w:lang w:val="id-ID"/>
              </w:rPr>
              <w:t>600.000.000</w:t>
            </w:r>
          </w:p>
          <w:p w14:paraId="02B4D5D3">
            <w:pPr>
              <w:pStyle w:val="16"/>
              <w:spacing w:before="0" w:beforeAutospacing="0" w:after="0" w:afterAutospacing="0"/>
              <w:jc w:val="right"/>
              <w:rPr>
                <w:u w:val="single"/>
                <w:lang w:val="id-ID"/>
              </w:rPr>
            </w:pPr>
            <w:r>
              <w:rPr>
                <w:u w:val="single"/>
                <w:lang w:val="id-ID"/>
              </w:rPr>
              <w:t>(250.000.000)</w:t>
            </w:r>
          </w:p>
          <w:p w14:paraId="6E7BA6C3">
            <w:pPr>
              <w:pStyle w:val="16"/>
              <w:spacing w:before="0" w:beforeAutospacing="0" w:after="0" w:afterAutospacing="0"/>
              <w:jc w:val="right"/>
              <w:rPr>
                <w:lang w:val="id-ID"/>
              </w:rPr>
            </w:pPr>
            <w:r>
              <w:rPr>
                <w:lang w:val="id-ID"/>
              </w:rPr>
              <w:t>350.000.000</w:t>
            </w:r>
          </w:p>
          <w:p w14:paraId="18B98001">
            <w:pPr>
              <w:pStyle w:val="16"/>
              <w:spacing w:before="0" w:beforeAutospacing="0" w:after="0" w:afterAutospacing="0"/>
              <w:jc w:val="right"/>
              <w:rPr>
                <w:lang w:val="id-ID"/>
              </w:rPr>
            </w:pPr>
            <w:r>
              <w:rPr>
                <w:lang w:val="id-ID"/>
              </w:rPr>
              <w:t>(150.000.000)</w:t>
            </w:r>
          </w:p>
          <w:p w14:paraId="1F7065D4">
            <w:pPr>
              <w:pStyle w:val="16"/>
              <w:spacing w:before="0" w:beforeAutospacing="0" w:after="0" w:afterAutospacing="0"/>
              <w:jc w:val="right"/>
              <w:rPr>
                <w:lang w:val="id-ID"/>
              </w:rPr>
            </w:pPr>
            <w:r>
              <w:rPr>
                <w:lang w:val="id-ID"/>
              </w:rPr>
              <w:t>(15.000.000)</w:t>
            </w:r>
          </w:p>
          <w:p w14:paraId="35FF4A16">
            <w:pPr>
              <w:pStyle w:val="16"/>
              <w:spacing w:before="0" w:beforeAutospacing="0" w:after="0" w:afterAutospacing="0"/>
              <w:jc w:val="right"/>
              <w:rPr>
                <w:lang w:val="id-ID"/>
              </w:rPr>
            </w:pPr>
            <w:r>
              <w:rPr>
                <w:lang w:val="id-ID"/>
              </w:rPr>
              <w:t>(10.000.000)</w:t>
            </w:r>
          </w:p>
          <w:p w14:paraId="1DCA0031">
            <w:pPr>
              <w:pStyle w:val="16"/>
              <w:spacing w:before="0" w:beforeAutospacing="0" w:after="0" w:afterAutospacing="0"/>
              <w:jc w:val="right"/>
              <w:rPr>
                <w:u w:val="single"/>
                <w:lang w:val="id-ID"/>
              </w:rPr>
            </w:pPr>
            <w:r>
              <w:rPr>
                <w:lang w:val="id-ID"/>
              </w:rPr>
              <w:t>(</w:t>
            </w:r>
            <w:r>
              <w:rPr>
                <w:u w:val="single"/>
                <w:lang w:val="id-ID"/>
              </w:rPr>
              <w:t>25.000.000)</w:t>
            </w:r>
          </w:p>
          <w:p w14:paraId="6976153D">
            <w:pPr>
              <w:pStyle w:val="16"/>
              <w:spacing w:before="0" w:beforeAutospacing="0" w:after="0" w:afterAutospacing="0"/>
              <w:jc w:val="right"/>
              <w:rPr>
                <w:lang w:val="id-ID"/>
              </w:rPr>
            </w:pPr>
            <w:r>
              <w:rPr>
                <w:lang w:val="id-ID"/>
              </w:rPr>
              <w:t>150.000.000</w:t>
            </w:r>
          </w:p>
          <w:p w14:paraId="7219C343">
            <w:pPr>
              <w:pStyle w:val="16"/>
              <w:spacing w:before="0" w:beforeAutospacing="0" w:after="0" w:afterAutospacing="0"/>
              <w:jc w:val="right"/>
              <w:rPr>
                <w:lang w:val="id-ID"/>
              </w:rPr>
            </w:pPr>
            <w:r>
              <w:rPr>
                <w:lang w:val="id-ID"/>
              </w:rPr>
              <w:t>25.000.000</w:t>
            </w:r>
          </w:p>
          <w:p w14:paraId="6164D614">
            <w:pPr>
              <w:pStyle w:val="16"/>
              <w:spacing w:before="0" w:beforeAutospacing="0" w:after="0" w:afterAutospacing="0"/>
              <w:jc w:val="right"/>
              <w:rPr>
                <w:u w:val="single"/>
                <w:lang w:val="id-ID"/>
              </w:rPr>
            </w:pPr>
            <w:r>
              <w:rPr>
                <w:u w:val="single"/>
                <w:lang w:val="id-ID"/>
              </w:rPr>
              <w:t>(50.000.000)</w:t>
            </w:r>
          </w:p>
          <w:p w14:paraId="7475971A">
            <w:pPr>
              <w:pStyle w:val="16"/>
              <w:spacing w:before="0" w:beforeAutospacing="0" w:after="0" w:afterAutospacing="0"/>
              <w:jc w:val="right"/>
              <w:rPr>
                <w:lang w:val="id-ID"/>
              </w:rPr>
            </w:pPr>
            <w:r>
              <w:rPr>
                <w:lang w:val="id-ID"/>
              </w:rPr>
              <w:t>125.000.000</w:t>
            </w:r>
          </w:p>
          <w:p w14:paraId="5E32B87B">
            <w:pPr>
              <w:pStyle w:val="16"/>
              <w:spacing w:before="0" w:beforeAutospacing="0" w:after="0" w:afterAutospacing="0"/>
              <w:jc w:val="right"/>
              <w:rPr>
                <w:lang w:val="id-ID"/>
              </w:rPr>
            </w:pPr>
            <w:r>
              <w:rPr>
                <w:lang w:val="id-ID"/>
              </w:rPr>
              <w:t>(25.000.000)</w:t>
            </w:r>
          </w:p>
          <w:p w14:paraId="5ADC2039">
            <w:pPr>
              <w:pStyle w:val="16"/>
              <w:spacing w:before="0" w:beforeAutospacing="0" w:after="0" w:afterAutospacing="0"/>
              <w:jc w:val="right"/>
              <w:rPr>
                <w:b/>
                <w:lang w:val="id-ID"/>
              </w:rPr>
            </w:pPr>
            <w:r>
              <w:rPr>
                <w:b/>
                <w:lang w:val="id-ID"/>
              </w:rPr>
              <w:t>100.000.000</w:t>
            </w:r>
          </w:p>
        </w:tc>
      </w:tr>
    </w:tbl>
    <w:p w14:paraId="598D5C85">
      <w:pPr>
        <w:pStyle w:val="16"/>
        <w:shd w:val="clear" w:color="auto" w:fill="FFFFFF"/>
        <w:spacing w:before="0" w:beforeAutospacing="0" w:after="250" w:afterAutospacing="0"/>
        <w:rPr>
          <w:b/>
          <w:lang w:val="id-ID"/>
        </w:rPr>
      </w:pPr>
    </w:p>
    <w:p w14:paraId="1F234D69">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14:paraId="285D689F">
      <w:pPr>
        <w:pStyle w:val="19"/>
        <w:numPr>
          <w:ilvl w:val="0"/>
          <w:numId w:val="9"/>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Bagaimanakah penilaian terhadap laporan posisi keuangan diatas:</w:t>
      </w:r>
    </w:p>
    <w:p w14:paraId="22836D70">
      <w:pPr>
        <w:pStyle w:val="19"/>
        <w:numPr>
          <w:ilvl w:val="0"/>
          <w:numId w:val="10"/>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penilaian kemampuan perusahaan membayar hutang jangka pendek yang dilihat dari likuiditas yang berupa current rasio dan quick rasio. </w:t>
      </w:r>
    </w:p>
    <w:p w14:paraId="270A14B7">
      <w:pPr>
        <w:pStyle w:val="19"/>
        <w:numPr>
          <w:ilvl w:val="0"/>
          <w:numId w:val="10"/>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melihat seberapa besar perusahaan dibiayai dengan hutang, melalui : Debt ratio dan Debt to equity rasio. </w:t>
      </w:r>
    </w:p>
    <w:p w14:paraId="48C97EB5">
      <w:pPr>
        <w:pStyle w:val="19"/>
        <w:numPr>
          <w:ilvl w:val="0"/>
          <w:numId w:val="10"/>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Untuk melihat modal kerja bersih selama menjalankan usaha</w:t>
      </w:r>
    </w:p>
    <w:p w14:paraId="750EB181">
      <w:pPr>
        <w:spacing w:after="0" w:line="240" w:lineRule="auto"/>
        <w:jc w:val="both"/>
        <w:rPr>
          <w:rFonts w:ascii="Times New Roman" w:hAnsi="Times New Roman" w:cs="Times New Roman"/>
          <w:sz w:val="24"/>
          <w:szCs w:val="24"/>
          <w:lang w:val="id-ID"/>
        </w:rPr>
      </w:pPr>
    </w:p>
    <w:p w14:paraId="4FBC9434">
      <w:pPr>
        <w:spacing w:after="0" w:line="240" w:lineRule="auto"/>
        <w:jc w:val="both"/>
        <w:rPr>
          <w:rFonts w:ascii="Times New Roman" w:hAnsi="Times New Roman" w:cs="Times New Roman"/>
          <w:sz w:val="24"/>
          <w:szCs w:val="24"/>
          <w:lang w:val="id-ID"/>
        </w:rPr>
      </w:pPr>
    </w:p>
    <w:p w14:paraId="108E6FED">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Penyelesaian : </w:t>
      </w:r>
    </w:p>
    <w:p w14:paraId="43689331">
      <w:pPr>
        <w:spacing w:after="0" w:line="240" w:lineRule="auto"/>
        <w:jc w:val="both"/>
        <w:rPr>
          <w:rFonts w:ascii="Times New Roman" w:hAnsi="Times New Roman" w:cs="Times New Roman"/>
          <w:sz w:val="24"/>
          <w:szCs w:val="24"/>
          <w:lang w:val="id-ID"/>
        </w:rPr>
      </w:pPr>
    </w:p>
    <w:p w14:paraId="1DE38C34">
      <w:pPr>
        <w:pStyle w:val="19"/>
        <w:numPr>
          <w:ilvl w:val="0"/>
          <w:numId w:val="11"/>
        </w:num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Rasio Likuiditas </w:t>
      </w:r>
    </w:p>
    <w:p w14:paraId="3D8672B8">
      <w:pPr>
        <w:pStyle w:val="19"/>
        <w:spacing w:after="0" w:line="240" w:lineRule="auto"/>
        <w:jc w:val="both"/>
        <w:rPr>
          <w:rFonts w:ascii="Times New Roman" w:hAnsi="Times New Roman" w:cs="Times New Roman"/>
          <w:sz w:val="24"/>
          <w:szCs w:val="24"/>
          <w:lang w:val="id-ID"/>
        </w:rPr>
      </w:pPr>
    </w:p>
    <w:p w14:paraId="69EBCFCA">
      <w:pPr>
        <w:pStyle w:val="19"/>
        <w:numPr>
          <w:ilvl w:val="0"/>
          <w:numId w:val="12"/>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Kemampuan perusahaan membayar hutang jangka pendek yang dilihat dari </w:t>
      </w:r>
      <w:r>
        <w:rPr>
          <w:rFonts w:ascii="Times New Roman" w:hAnsi="Times New Roman" w:cs="Times New Roman"/>
          <w:b/>
          <w:sz w:val="24"/>
          <w:szCs w:val="24"/>
          <w:lang w:val="id-ID"/>
        </w:rPr>
        <w:t>Current Rasio</w:t>
      </w:r>
      <w:r>
        <w:rPr>
          <w:rFonts w:ascii="Times New Roman" w:hAnsi="Times New Roman" w:cs="Times New Roman"/>
          <w:sz w:val="24"/>
          <w:szCs w:val="24"/>
          <w:lang w:val="id-ID"/>
        </w:rPr>
        <w:t xml:space="preserve"> Tahun 2023</w:t>
      </w:r>
    </w:p>
    <w:p w14:paraId="168F5526">
      <w:pPr>
        <w:pStyle w:val="19"/>
        <w:spacing w:after="0" w:line="240" w:lineRule="auto"/>
        <w:jc w:val="both"/>
        <w:rPr>
          <w:rFonts w:ascii="Times New Roman" w:hAnsi="Times New Roman" w:cs="Times New Roman" w:eastAsiaTheme="minorEastAsia"/>
          <w:sz w:val="24"/>
          <w:szCs w:val="24"/>
          <w:lang w:val="id-ID"/>
        </w:rPr>
      </w:pPr>
      <m:oMathPara>
        <m:oMath>
          <m:f>
            <m:fPr>
              <m:ctrlPr>
                <w:rPr>
                  <w:rFonts w:ascii="Cambria Math" w:hAnsi="Cambria Math" w:cs="Times New Roman"/>
                  <w:i/>
                  <w:sz w:val="24"/>
                  <w:szCs w:val="24"/>
                  <w:lang w:val="id-ID"/>
                </w:rPr>
              </m:ctrlPr>
            </m:fPr>
            <m:num>
              <m:r>
                <m:rPr/>
                <w:rPr>
                  <w:rFonts w:ascii="Cambria Math" w:hAnsi="Cambria Math" w:cs="Times New Roman"/>
                  <w:sz w:val="24"/>
                  <w:szCs w:val="24"/>
                  <w:lang w:val="id-ID"/>
                </w:rPr>
                <m:t>Current Asset</m:t>
              </m:r>
              <m:ctrlPr>
                <w:rPr>
                  <w:rFonts w:ascii="Cambria Math" w:hAnsi="Cambria Math" w:cs="Times New Roman"/>
                  <w:i/>
                  <w:sz w:val="24"/>
                  <w:szCs w:val="24"/>
                  <w:lang w:val="id-ID"/>
                </w:rPr>
              </m:ctrlPr>
            </m:num>
            <m:den>
              <m:r>
                <m:rPr/>
                <w:rPr>
                  <w:rFonts w:ascii="Cambria Math" w:hAnsi="Cambria Math" w:cs="Times New Roman"/>
                  <w:sz w:val="24"/>
                  <w:szCs w:val="24"/>
                  <w:lang w:val="id-ID"/>
                </w:rPr>
                <m:t>Current Liabilities</m:t>
              </m:r>
              <m:ctrlPr>
                <w:rPr>
                  <w:rFonts w:ascii="Cambria Math" w:hAnsi="Cambria Math" w:cs="Times New Roman"/>
                  <w:i/>
                  <w:sz w:val="24"/>
                  <w:szCs w:val="24"/>
                  <w:lang w:val="id-ID"/>
                </w:rPr>
              </m:ctrlPr>
            </m:den>
          </m:f>
        </m:oMath>
      </m:oMathPara>
    </w:p>
    <w:p w14:paraId="13C24157">
      <w:pPr>
        <w:spacing w:after="0" w:line="240" w:lineRule="auto"/>
        <w:jc w:val="both"/>
        <w:rPr>
          <w:rFonts w:ascii="Times New Roman" w:hAnsi="Times New Roman" w:cs="Times New Roman"/>
          <w:sz w:val="24"/>
          <w:szCs w:val="24"/>
          <w:lang w:val="id-ID"/>
        </w:rPr>
      </w:pPr>
    </w:p>
    <w:p w14:paraId="1E51525E">
      <w:pPr>
        <w:spacing w:after="0" w:line="480" w:lineRule="auto"/>
        <w:jc w:val="both"/>
        <w:rPr>
          <w:rFonts w:ascii="Times New Roman" w:hAnsi="Times New Roman" w:cs="Times New Roman" w:eastAsiaTheme="minorEastAsia"/>
          <w:sz w:val="24"/>
          <w:szCs w:val="24"/>
          <w:lang w:val="id-ID"/>
        </w:rPr>
      </w:pPr>
      <w:r>
        <w:rPr>
          <w:rFonts w:ascii="Times New Roman" w:hAnsi="Times New Roman" w:cs="Times New Roman"/>
          <w:sz w:val="24"/>
          <w:szCs w:val="24"/>
          <w:lang w:val="id-ID"/>
        </w:rPr>
        <w:tab/>
      </w:r>
      <m:oMath>
        <m:r>
          <m:rPr/>
          <w:rPr>
            <w:rFonts w:ascii="Cambria Math" w:hAnsi="Cambria Math" w:cs="Times New Roman"/>
            <w:sz w:val="24"/>
            <w:szCs w:val="24"/>
            <w:lang w:val="id-ID"/>
          </w:rPr>
          <m:t>Ta</m:t>
        </m:r>
        <m:r>
          <m:rPr/>
          <w:rPr>
            <w:rFonts w:ascii="Times New Roman" w:hAnsi="Cambria Math" w:cs="Times New Roman"/>
            <w:sz w:val="24"/>
            <w:szCs w:val="24"/>
            <w:lang w:val="id-ID"/>
          </w:rPr>
          <m:t>h</m:t>
        </m:r>
        <m:r>
          <m:rPr/>
          <w:rPr>
            <w:rFonts w:ascii="Cambria Math" w:hAnsi="Cambria Math" w:cs="Times New Roman"/>
            <w:sz w:val="24"/>
            <w:szCs w:val="24"/>
            <w:lang w:val="id-ID"/>
          </w:rPr>
          <m:t>un</m:t>
        </m:r>
        <m:r>
          <m:rPr/>
          <w:rPr>
            <w:rFonts w:ascii="Cambria Math" w:hAnsi="Times New Roman" w:cs="Times New Roman"/>
            <w:sz w:val="24"/>
            <w:szCs w:val="24"/>
            <w:lang w:val="id-ID"/>
          </w:rPr>
          <m:t xml:space="preserve"> 2023=</m:t>
        </m:r>
        <m:f>
          <m:fPr>
            <m:ctrlPr>
              <w:rPr>
                <w:rFonts w:ascii="Cambria Math" w:hAnsi="Times New Roman" w:cs="Times New Roman"/>
                <w:i/>
                <w:sz w:val="24"/>
                <w:szCs w:val="24"/>
                <w:lang w:val="id-ID"/>
              </w:rPr>
            </m:ctrlPr>
          </m:fPr>
          <m:num>
            <m:r>
              <m:rPr/>
              <w:rPr>
                <w:rFonts w:ascii="Cambria Math" w:hAnsi="Times New Roman" w:cs="Times New Roman"/>
                <w:sz w:val="24"/>
                <w:szCs w:val="24"/>
                <w:lang w:val="id-ID"/>
              </w:rPr>
              <m:t>300.000.000</m:t>
            </m:r>
            <m:ctrlPr>
              <w:rPr>
                <w:rFonts w:ascii="Cambria Math" w:hAnsi="Times New Roman" w:cs="Times New Roman"/>
                <w:i/>
                <w:sz w:val="24"/>
                <w:szCs w:val="24"/>
                <w:lang w:val="id-ID"/>
              </w:rPr>
            </m:ctrlPr>
          </m:num>
          <m:den>
            <m:r>
              <m:rPr/>
              <w:rPr>
                <w:rFonts w:ascii="Cambria Math" w:hAnsi="Times New Roman" w:cs="Times New Roman"/>
                <w:sz w:val="24"/>
                <w:szCs w:val="24"/>
                <w:lang w:val="id-ID"/>
              </w:rPr>
              <m:t>200.000.000</m:t>
            </m:r>
            <m:ctrlPr>
              <w:rPr>
                <w:rFonts w:ascii="Cambria Math" w:hAnsi="Times New Roman" w:cs="Times New Roman"/>
                <w:i/>
                <w:sz w:val="24"/>
                <w:szCs w:val="24"/>
                <w:lang w:val="id-ID"/>
              </w:rPr>
            </m:ctrlPr>
          </m:den>
        </m:f>
        <m:r>
          <m:rPr/>
          <w:rPr>
            <w:rFonts w:ascii="Cambria Math" w:hAnsi="Times New Roman" w:cs="Times New Roman"/>
            <w:sz w:val="24"/>
            <w:szCs w:val="24"/>
            <w:lang w:val="id-ID"/>
          </w:rPr>
          <m:t>=150%= 3  :2</m:t>
        </m:r>
      </m:oMath>
    </w:p>
    <w:p w14:paraId="30D1969F">
      <w:pPr>
        <w:spacing w:after="0" w:line="480" w:lineRule="auto"/>
        <w:ind w:left="709"/>
        <w:jc w:val="both"/>
        <w:rPr>
          <w:rFonts w:ascii="Times New Roman" w:hAnsi="Times New Roman" w:cs="Times New Roman" w:eastAsiaTheme="minorEastAsia"/>
          <w:sz w:val="24"/>
          <w:szCs w:val="24"/>
          <w:lang w:val="id-ID"/>
        </w:rPr>
      </w:pPr>
      <m:oMathPara>
        <m:oMathParaPr>
          <m:jc m:val="left"/>
        </m:oMathParaPr>
        <m:oMath>
          <m:r>
            <m:rPr/>
            <w:rPr>
              <w:rFonts w:ascii="Cambria Math" w:hAnsi="Cambria Math" w:cs="Times New Roman" w:eastAsiaTheme="minorEastAsia"/>
              <w:sz w:val="24"/>
              <w:szCs w:val="24"/>
              <w:lang w:val="id-ID"/>
            </w:rPr>
            <m:t>Tahun 2024=</m:t>
          </m:r>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 xml:space="preserve"> 425.000.000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315.000.000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=134%=1,3 :1</m:t>
          </m:r>
        </m:oMath>
      </m:oMathPara>
    </w:p>
    <w:p w14:paraId="738C2D9F">
      <w:pPr>
        <w:spacing w:after="0" w:line="480" w:lineRule="auto"/>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rPr>
        <w:tab/>
      </w:r>
      <w:r>
        <w:rPr>
          <w:rFonts w:ascii="Times New Roman" w:hAnsi="Times New Roman" w:cs="Times New Roman" w:eastAsiaTheme="minorEastAsia"/>
          <w:sz w:val="24"/>
          <w:szCs w:val="24"/>
          <w:lang w:val="id-ID"/>
        </w:rPr>
        <w:t>Tahun 2025 =</w:t>
      </w:r>
      <m:oMath>
        <m:r>
          <m:rPr/>
          <w:rPr>
            <w:rFonts w:ascii="Cambria Math" w:hAnsi="Cambria Math" w:cs="Times New Roman" w:eastAsiaTheme="minorEastAsia"/>
            <w:sz w:val="24"/>
            <w:szCs w:val="24"/>
            <w:lang w:val="id-ID"/>
          </w:rPr>
          <m:t xml:space="preserve"> </m:t>
        </m:r>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750.000.000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250.000.000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=300%=3 :1</m:t>
        </m:r>
      </m:oMath>
    </w:p>
    <w:p w14:paraId="63BF2120">
      <w:pPr>
        <w:pStyle w:val="19"/>
        <w:numPr>
          <w:ilvl w:val="0"/>
          <w:numId w:val="12"/>
        </w:numPr>
        <w:spacing w:after="0" w:line="480" w:lineRule="auto"/>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eastAsia="id-ID"/>
        </w:rPr>
        <mc:AlternateContent>
          <mc:Choice Requires="wps">
            <w:drawing>
              <wp:anchor distT="0" distB="0" distL="114300" distR="114300" simplePos="0" relativeHeight="251664384" behindDoc="0" locked="0" layoutInCell="1" allowOverlap="1">
                <wp:simplePos x="0" y="0"/>
                <wp:positionH relativeFrom="column">
                  <wp:posOffset>422910</wp:posOffset>
                </wp:positionH>
                <wp:positionV relativeFrom="paragraph">
                  <wp:posOffset>598805</wp:posOffset>
                </wp:positionV>
                <wp:extent cx="2517775" cy="450215"/>
                <wp:effectExtent l="0" t="0" r="15875" b="26035"/>
                <wp:wrapNone/>
                <wp:docPr id="2" name="Rectangle 48"/>
                <wp:cNvGraphicFramePr/>
                <a:graphic xmlns:a="http://schemas.openxmlformats.org/drawingml/2006/main">
                  <a:graphicData uri="http://schemas.microsoft.com/office/word/2010/wordprocessingShape">
                    <wps:wsp>
                      <wps:cNvSpPr>
                        <a:spLocks noChangeArrowheads="1"/>
                      </wps:cNvSpPr>
                      <wps:spPr bwMode="auto">
                        <a:xfrm>
                          <a:off x="0" y="0"/>
                          <a:ext cx="2517775" cy="45021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8" o:spid="_x0000_s1026" o:spt="1" style="position:absolute;left:0pt;margin-left:33.3pt;margin-top:47.15pt;height:35.45pt;width:198.25pt;z-index:251664384;mso-width-relative:page;mso-height-relative:page;" filled="f" stroked="t" coordsize="21600,21600" o:gfxdata="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4i&#10;0ynYAAAACQEAAA8AAAAAAAAAAQAgAAAAIgAAAGRycy9kb3ducmV2LnhtbFBLAQIUABQAAAAIAIdO&#10;4kAutWM/IwIAAEoEAAAOAAAAAAAAAAEAIAAAACcBAABkcnMvZTJvRG9jLnhtbFBLBQYAAAAABgAG&#10;AFkBAAC8BQAAAAA=&#10;">
                <v:fill on="f" focussize="0,0"/>
                <v:stroke color="#000000" miterlimit="8" joinstyle="miter"/>
                <v:imagedata o:title=""/>
                <o:lock v:ext="edit" aspectratio="f"/>
              </v:rect>
            </w:pict>
          </mc:Fallback>
        </mc:AlternateContent>
      </w:r>
      <w:r>
        <w:rPr>
          <w:rFonts w:ascii="Times New Roman" w:hAnsi="Times New Roman" w:cs="Times New Roman" w:eastAsiaTheme="minorEastAsia"/>
          <w:sz w:val="24"/>
          <w:szCs w:val="24"/>
          <w:lang w:val="id-ID"/>
        </w:rPr>
        <w:t xml:space="preserve">Kemampuan perusahaan membayar hutang jangka pendek yang dilihat dari </w:t>
      </w:r>
      <w:r>
        <w:rPr>
          <w:rFonts w:ascii="Times New Roman" w:hAnsi="Times New Roman" w:cs="Times New Roman" w:eastAsiaTheme="minorEastAsia"/>
          <w:b/>
          <w:sz w:val="24"/>
          <w:szCs w:val="24"/>
          <w:lang w:val="id-ID"/>
        </w:rPr>
        <w:t>quick rasio</w:t>
      </w:r>
      <w:r>
        <w:rPr>
          <w:rFonts w:ascii="Times New Roman" w:hAnsi="Times New Roman" w:cs="Times New Roman" w:eastAsiaTheme="minorEastAsia"/>
          <w:sz w:val="24"/>
          <w:szCs w:val="24"/>
          <w:lang w:val="id-ID"/>
        </w:rPr>
        <w:t xml:space="preserve"> : </w:t>
      </w:r>
    </w:p>
    <w:p w14:paraId="3666A5E9">
      <w:pPr>
        <w:pStyle w:val="19"/>
        <w:spacing w:after="0" w:line="480" w:lineRule="auto"/>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rPr>
        <w:t xml:space="preserve">Quick Rasio = </w:t>
      </w:r>
      <m:oMath>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Current Aset−Inventories</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 xml:space="preserve">Curren liabilities </m:t>
            </m:r>
            <m:ctrlPr>
              <w:rPr>
                <w:rFonts w:ascii="Cambria Math" w:hAnsi="Cambria Math" w:cs="Times New Roman" w:eastAsiaTheme="minorEastAsia"/>
                <w:i/>
                <w:sz w:val="24"/>
                <w:szCs w:val="24"/>
                <w:lang w:val="id-ID"/>
              </w:rPr>
            </m:ctrlPr>
          </m:den>
        </m:f>
      </m:oMath>
    </w:p>
    <w:p w14:paraId="3FF1C6DF">
      <w:pPr>
        <w:spacing w:after="0" w:line="480" w:lineRule="auto"/>
        <w:jc w:val="both"/>
        <w:rPr>
          <w:rFonts w:ascii="Times New Roman" w:hAnsi="Times New Roman" w:cs="Times New Roman" w:eastAsiaTheme="minorEastAsia"/>
          <w:sz w:val="24"/>
          <w:szCs w:val="24"/>
          <w:lang w:val="en-US"/>
        </w:rPr>
      </w:pPr>
      <w:r>
        <w:rPr>
          <w:rFonts w:ascii="Times New Roman" w:hAnsi="Times New Roman" w:cs="Times New Roman"/>
          <w:sz w:val="24"/>
          <w:szCs w:val="24"/>
          <w:lang w:val="id-ID"/>
        </w:rPr>
        <w:tab/>
      </w:r>
      <m:oMath>
        <m:r>
          <m:rP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m:rPr/>
              <w:rPr>
                <w:rFonts w:ascii="Cambria Math" w:hAnsi="Cambria Math" w:cs="Times New Roman"/>
                <w:sz w:val="24"/>
                <w:szCs w:val="24"/>
                <w:lang w:val="id-ID"/>
              </w:rPr>
              <m:t>375.000.000−150.000.000</m:t>
            </m:r>
            <m:ctrlPr>
              <w:rPr>
                <w:rFonts w:ascii="Cambria Math" w:hAnsi="Cambria Math" w:cs="Times New Roman"/>
                <w:i/>
                <w:sz w:val="24"/>
                <w:szCs w:val="24"/>
                <w:lang w:val="id-ID"/>
              </w:rPr>
            </m:ctrlPr>
          </m:num>
          <m:den>
            <m:r>
              <m:rPr/>
              <w:rPr>
                <w:rFonts w:ascii="Cambria Math" w:hAnsi="Cambria Math" w:cs="Times New Roman"/>
                <w:sz w:val="24"/>
                <w:szCs w:val="24"/>
                <w:lang w:val="id-ID"/>
              </w:rPr>
              <m:t>200.000.000</m:t>
            </m:r>
            <m:ctrlPr>
              <w:rPr>
                <w:rFonts w:ascii="Cambria Math" w:hAnsi="Cambria Math" w:cs="Times New Roman"/>
                <w:i/>
                <w:sz w:val="24"/>
                <w:szCs w:val="24"/>
                <w:lang w:val="id-ID"/>
              </w:rPr>
            </m:ctrlPr>
          </m:den>
        </m:f>
        <m:r>
          <m:rPr/>
          <w:rPr>
            <w:rFonts w:ascii="Cambria Math" w:hAnsi="Cambria Math" w:cs="Times New Roman"/>
            <w:sz w:val="24"/>
            <w:szCs w:val="24"/>
            <w:lang w:val="id-ID"/>
          </w:rPr>
          <m:t>=112,5%=1,1 :1</m:t>
        </m:r>
      </m:oMath>
    </w:p>
    <w:p w14:paraId="39671CF9">
      <w:pPr>
        <w:spacing w:after="0" w:line="480" w:lineRule="auto"/>
        <w:jc w:val="both"/>
        <w:rPr>
          <w:rFonts w:ascii="Times New Roman" w:hAnsi="Times New Roman" w:cs="Times New Roman"/>
          <w:sz w:val="24"/>
          <w:szCs w:val="24"/>
          <w:lang w:val="id-ID"/>
        </w:rPr>
      </w:pPr>
      <m:oMathPara>
        <m:oMath>
          <m:r>
            <m:rPr/>
            <w:rPr>
              <w:rFonts w:ascii="Cambria Math" w:hAnsi="Cambria Math" w:cs="Times New Roman" w:eastAsiaTheme="minorEastAsia"/>
              <w:sz w:val="24"/>
              <w:szCs w:val="24"/>
              <w:lang w:val="id-ID"/>
            </w:rPr>
            <m:t>Tahun 2024=</m:t>
          </m:r>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425.000.000−175.000.000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315.000.000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=79,3%=1 :1,2</m:t>
          </m:r>
        </m:oMath>
      </m:oMathPara>
    </w:p>
    <w:p w14:paraId="43CF4CA1">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m:oMath>
        <m:r>
          <m:rPr/>
          <w:rPr>
            <w:rFonts w:ascii="Cambria Math" w:hAnsi="Cambria Math" w:cs="Times New Roman"/>
            <w:sz w:val="24"/>
            <w:szCs w:val="24"/>
            <w:lang w:val="id-ID"/>
          </w:rPr>
          <m:t>Tahun 2025=</m:t>
        </m:r>
        <m:f>
          <m:fPr>
            <m:ctrlPr>
              <w:rPr>
                <w:rFonts w:ascii="Cambria Math" w:hAnsi="Cambria Math" w:cs="Times New Roman"/>
                <w:i/>
                <w:sz w:val="24"/>
                <w:szCs w:val="24"/>
                <w:lang w:val="id-ID"/>
              </w:rPr>
            </m:ctrlPr>
          </m:fPr>
          <m:num>
            <m:r>
              <m:rPr/>
              <w:rPr>
                <w:rFonts w:ascii="Cambria Math" w:hAnsi="Cambria Math" w:cs="Times New Roman"/>
                <w:sz w:val="24"/>
                <w:szCs w:val="24"/>
                <w:lang w:val="id-ID"/>
              </w:rPr>
              <m:t>750.000.000−300.000.000</m:t>
            </m:r>
            <m:ctrlPr>
              <w:rPr>
                <w:rFonts w:ascii="Cambria Math" w:hAnsi="Cambria Math" w:cs="Times New Roman"/>
                <w:i/>
                <w:sz w:val="24"/>
                <w:szCs w:val="24"/>
                <w:lang w:val="id-ID"/>
              </w:rPr>
            </m:ctrlPr>
          </m:num>
          <m:den>
            <m:r>
              <m:rPr/>
              <w:rPr>
                <w:rFonts w:ascii="Cambria Math" w:hAnsi="Cambria Math" w:cs="Times New Roman"/>
                <w:sz w:val="24"/>
                <w:szCs w:val="24"/>
                <w:lang w:val="id-ID"/>
              </w:rPr>
              <m:t>250.000.000</m:t>
            </m:r>
            <m:ctrlPr>
              <w:rPr>
                <w:rFonts w:ascii="Cambria Math" w:hAnsi="Cambria Math" w:cs="Times New Roman"/>
                <w:i/>
                <w:sz w:val="24"/>
                <w:szCs w:val="24"/>
                <w:lang w:val="id-ID"/>
              </w:rPr>
            </m:ctrlPr>
          </m:den>
        </m:f>
        <m:r>
          <m:rPr/>
          <w:rPr>
            <w:rFonts w:ascii="Cambria Math" w:hAnsi="Cambria Math" w:cs="Times New Roman"/>
            <w:sz w:val="24"/>
            <w:szCs w:val="24"/>
            <w:lang w:val="id-ID"/>
          </w:rPr>
          <m:t>=180%=1,8 :1</m:t>
        </m:r>
      </m:oMath>
    </w:p>
    <w:p w14:paraId="02BBA3F8">
      <w:pPr>
        <w:pStyle w:val="19"/>
        <w:numPr>
          <w:ilvl w:val="0"/>
          <w:numId w:val="11"/>
        </w:numPr>
        <w:spacing w:after="0" w:line="48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Rasio Leverage </w:t>
      </w:r>
    </w:p>
    <w:p w14:paraId="738E0EA6">
      <w:pPr>
        <w:pStyle w:val="19"/>
        <w:numPr>
          <w:ilvl w:val="1"/>
          <w:numId w:val="11"/>
        </w:numPr>
        <w:spacing w:after="0" w:line="480" w:lineRule="auto"/>
        <w:ind w:left="993" w:hanging="284"/>
        <w:jc w:val="both"/>
        <w:rPr>
          <w:rFonts w:ascii="Times New Roman" w:hAnsi="Times New Roman" w:cs="Times New Roman"/>
          <w:b/>
          <w:sz w:val="24"/>
          <w:szCs w:val="24"/>
          <w:lang w:val="id-ID"/>
        </w:rPr>
      </w:pPr>
      <w:r>
        <w:rPr>
          <w:rFonts w:ascii="Times New Roman" w:hAnsi="Times New Roman" w:cs="Times New Roman"/>
          <w:sz w:val="24"/>
          <w:szCs w:val="24"/>
          <w:lang w:val="id-ID"/>
        </w:rPr>
        <w:t>Seberapa besar perusahaan dibiayai dengan hutang (</w:t>
      </w:r>
      <w:r>
        <w:rPr>
          <w:rFonts w:ascii="Times New Roman" w:hAnsi="Times New Roman" w:cs="Times New Roman"/>
          <w:b/>
          <w:sz w:val="24"/>
          <w:szCs w:val="24"/>
          <w:lang w:val="id-ID"/>
        </w:rPr>
        <w:t>Debt Rasio</w:t>
      </w:r>
      <w:r>
        <w:rPr>
          <w:rFonts w:ascii="Times New Roman" w:hAnsi="Times New Roman" w:cs="Times New Roman"/>
          <w:sz w:val="24"/>
          <w:szCs w:val="24"/>
          <w:lang w:val="id-ID"/>
        </w:rPr>
        <w:t>) :</w:t>
      </w:r>
    </w:p>
    <w:p w14:paraId="2BD4E0EE">
      <w:pPr>
        <w:pStyle w:val="19"/>
        <w:spacing w:after="0" w:line="480" w:lineRule="auto"/>
        <w:ind w:left="993"/>
        <w:jc w:val="both"/>
        <w:rPr>
          <w:rFonts w:ascii="Times New Roman" w:hAnsi="Times New Roman" w:cs="Times New Roman"/>
          <w:sz w:val="24"/>
          <w:szCs w:val="24"/>
          <w:lang w:val="id-ID"/>
        </w:rPr>
      </w:pPr>
      <m:oMathPara>
        <m:oMath>
          <m:f>
            <m:fPr>
              <m:ctrlPr>
                <w:rPr>
                  <w:rFonts w:ascii="Cambria Math" w:hAnsi="Cambria Math" w:cs="Times New Roman"/>
                  <w:i/>
                  <w:sz w:val="24"/>
                  <w:szCs w:val="24"/>
                  <w:lang w:val="id-ID"/>
                </w:rPr>
              </m:ctrlPr>
            </m:fPr>
            <m:num>
              <m:r>
                <m:rPr/>
                <w:rPr>
                  <w:rFonts w:ascii="Cambria Math" w:hAnsi="Cambria Math" w:cs="Times New Roman"/>
                  <w:sz w:val="24"/>
                  <w:szCs w:val="24"/>
                  <w:lang w:val="id-ID"/>
                </w:rPr>
                <m:t>Total liabilities</m:t>
              </m:r>
              <m:ctrlPr>
                <w:rPr>
                  <w:rFonts w:ascii="Cambria Math" w:hAnsi="Cambria Math" w:cs="Times New Roman"/>
                  <w:i/>
                  <w:sz w:val="24"/>
                  <w:szCs w:val="24"/>
                  <w:lang w:val="id-ID"/>
                </w:rPr>
              </m:ctrlPr>
            </m:num>
            <m:den>
              <m:r>
                <m:rPr/>
                <w:rPr>
                  <w:rFonts w:ascii="Cambria Math" w:hAnsi="Cambria Math" w:cs="Times New Roman"/>
                  <w:sz w:val="24"/>
                  <w:szCs w:val="24"/>
                  <w:lang w:val="id-ID"/>
                </w:rPr>
                <m:t xml:space="preserve">Total Aset </m:t>
              </m:r>
              <m:ctrlPr>
                <w:rPr>
                  <w:rFonts w:ascii="Cambria Math" w:hAnsi="Cambria Math" w:cs="Times New Roman"/>
                  <w:i/>
                  <w:sz w:val="24"/>
                  <w:szCs w:val="24"/>
                  <w:lang w:val="id-ID"/>
                </w:rPr>
              </m:ctrlPr>
            </m:den>
          </m:f>
        </m:oMath>
      </m:oMathPara>
    </w:p>
    <w:p w14:paraId="20C5E726">
      <w:pPr>
        <w:spacing w:after="0" w:line="480" w:lineRule="auto"/>
        <w:ind w:firstLine="851"/>
        <w:jc w:val="both"/>
        <w:rPr>
          <w:rFonts w:ascii="Times New Roman" w:hAnsi="Times New Roman" w:cs="Times New Roman" w:eastAsiaTheme="minorEastAsia"/>
          <w:sz w:val="24"/>
          <w:szCs w:val="24"/>
          <w:lang w:val="id-ID"/>
        </w:rPr>
      </w:pPr>
      <m:oMathPara>
        <m:oMath>
          <m:r>
            <m:rP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m:rPr/>
                <w:rPr>
                  <w:rFonts w:ascii="Cambria Math" w:hAnsi="Cambria Math" w:cs="Times New Roman"/>
                  <w:sz w:val="24"/>
                  <w:szCs w:val="24"/>
                  <w:lang w:val="id-ID"/>
                </w:rPr>
                <m:t>200.000.000+225.000.000</m:t>
              </m:r>
              <m:ctrlPr>
                <w:rPr>
                  <w:rFonts w:ascii="Cambria Math" w:hAnsi="Cambria Math" w:cs="Times New Roman"/>
                  <w:i/>
                  <w:sz w:val="24"/>
                  <w:szCs w:val="24"/>
                  <w:lang w:val="id-ID"/>
                </w:rPr>
              </m:ctrlPr>
            </m:num>
            <m:den>
              <m:r>
                <m:rPr/>
                <w:rPr>
                  <w:rFonts w:ascii="Cambria Math" w:hAnsi="Cambria Math" w:cs="Times New Roman"/>
                  <w:sz w:val="24"/>
                  <w:szCs w:val="24"/>
                  <w:lang w:val="id-ID"/>
                </w:rPr>
                <m:t>825.000.000</m:t>
              </m:r>
              <m:ctrlPr>
                <w:rPr>
                  <w:rFonts w:ascii="Cambria Math" w:hAnsi="Cambria Math" w:cs="Times New Roman"/>
                  <w:i/>
                  <w:sz w:val="24"/>
                  <w:szCs w:val="24"/>
                  <w:lang w:val="id-ID"/>
                </w:rPr>
              </m:ctrlPr>
            </m:den>
          </m:f>
          <m:r>
            <m:rPr/>
            <w:rPr>
              <w:rFonts w:ascii="Cambria Math" w:hAnsi="Cambria Math" w:cs="Times New Roman"/>
              <w:sz w:val="24"/>
              <w:szCs w:val="24"/>
              <w:lang w:val="id-ID"/>
            </w:rPr>
            <m:t>=51%=  0,51   :1</m:t>
          </m:r>
        </m:oMath>
      </m:oMathPara>
    </w:p>
    <w:p w14:paraId="63416ABA">
      <w:pPr>
        <w:spacing w:after="0" w:line="480" w:lineRule="auto"/>
        <w:ind w:firstLine="709"/>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rPr>
        <w:t xml:space="preserve">Tahun 2024 = </w:t>
      </w:r>
      <m:oMath>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315.000.000+ 150.000.000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940.000.000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 xml:space="preserve">=49%=0,49 :1 </m:t>
        </m:r>
      </m:oMath>
    </w:p>
    <w:p w14:paraId="5FA85E2D">
      <w:pPr>
        <w:spacing w:after="0" w:line="480" w:lineRule="auto"/>
        <w:ind w:left="709"/>
        <w:jc w:val="both"/>
        <w:rPr>
          <w:rFonts w:ascii="Times New Roman" w:hAnsi="Times New Roman" w:cs="Times New Roman" w:eastAsiaTheme="minorEastAsia"/>
          <w:sz w:val="24"/>
          <w:szCs w:val="24"/>
          <w:lang w:val="id-ID"/>
        </w:rPr>
      </w:pPr>
      <m:oMathPara>
        <m:oMathParaPr>
          <m:jc m:val="left"/>
        </m:oMathParaPr>
        <m:oMath>
          <m:r>
            <m:rPr/>
            <w:rPr>
              <w:rFonts w:ascii="Cambria Math" w:hAnsi="Cambria Math" w:cs="Times New Roman" w:eastAsiaTheme="minorEastAsia"/>
              <w:sz w:val="24"/>
              <w:szCs w:val="24"/>
              <w:lang w:val="id-ID"/>
            </w:rPr>
            <m:t xml:space="preserve">Tahun 2025= </m:t>
          </m:r>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250.000.000+225.000.000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1.250.000.000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=38%=0,38 :1</m:t>
          </m:r>
        </m:oMath>
      </m:oMathPara>
    </w:p>
    <w:p w14:paraId="5931C0CF">
      <w:pPr>
        <w:pStyle w:val="19"/>
        <w:numPr>
          <w:ilvl w:val="1"/>
          <w:numId w:val="11"/>
        </w:numPr>
        <w:spacing w:after="0" w:line="480" w:lineRule="auto"/>
        <w:ind w:left="993" w:hanging="284"/>
        <w:jc w:val="both"/>
        <w:rPr>
          <w:rFonts w:ascii="Times New Roman" w:hAnsi="Times New Roman" w:cs="Times New Roman" w:eastAsiaTheme="minorEastAsia"/>
          <w:b/>
          <w:sz w:val="24"/>
          <w:szCs w:val="24"/>
          <w:lang w:val="id-ID"/>
        </w:rPr>
      </w:pPr>
      <w:r>
        <w:rPr>
          <w:rFonts w:ascii="Times New Roman" w:hAnsi="Times New Roman" w:cs="Times New Roman" w:eastAsiaTheme="minorEastAsia"/>
          <w:sz w:val="24"/>
          <w:szCs w:val="24"/>
          <w:lang w:val="id-ID"/>
        </w:rPr>
        <w:t>Seberapa besar perusahaan dibiayai dengan hutang (</w:t>
      </w:r>
      <w:r>
        <w:rPr>
          <w:rFonts w:ascii="Times New Roman" w:hAnsi="Times New Roman" w:cs="Times New Roman" w:eastAsiaTheme="minorEastAsia"/>
          <w:b/>
          <w:sz w:val="24"/>
          <w:szCs w:val="24"/>
          <w:lang w:val="id-ID"/>
        </w:rPr>
        <w:t>Debt to equity rasio)</w:t>
      </w:r>
    </w:p>
    <w:p w14:paraId="64BEA495">
      <w:pPr>
        <w:pStyle w:val="19"/>
        <w:spacing w:after="0" w:line="480" w:lineRule="auto"/>
        <w:ind w:left="993"/>
        <w:jc w:val="both"/>
        <w:rPr>
          <w:rFonts w:ascii="Times New Roman" w:hAnsi="Times New Roman" w:cs="Times New Roman" w:eastAsiaTheme="minorEastAsia"/>
          <w:sz w:val="24"/>
          <w:szCs w:val="24"/>
          <w:lang w:val="id-ID"/>
        </w:rPr>
      </w:pPr>
      <m:oMathPara>
        <m:oMathParaPr>
          <m:jc m:val="left"/>
        </m:oMathParaPr>
        <m:oMath>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Total liabilities</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 xml:space="preserve">Total share holder equity </m:t>
              </m:r>
              <m:ctrlPr>
                <w:rPr>
                  <w:rFonts w:ascii="Cambria Math" w:hAnsi="Cambria Math" w:cs="Times New Roman" w:eastAsiaTheme="minorEastAsia"/>
                  <w:i/>
                  <w:sz w:val="24"/>
                  <w:szCs w:val="24"/>
                  <w:lang w:val="id-ID"/>
                </w:rPr>
              </m:ctrlPr>
            </m:den>
          </m:f>
        </m:oMath>
      </m:oMathPara>
    </w:p>
    <w:p w14:paraId="00BCCABD">
      <w:pPr>
        <w:pStyle w:val="19"/>
        <w:spacing w:after="0" w:line="480" w:lineRule="auto"/>
        <w:ind w:left="993"/>
        <w:jc w:val="both"/>
        <w:rPr>
          <w:rFonts w:ascii="Times New Roman" w:hAnsi="Times New Roman" w:cs="Times New Roman" w:eastAsiaTheme="minorEastAsia"/>
          <w:sz w:val="24"/>
          <w:szCs w:val="24"/>
          <w:lang w:val="id-ID"/>
        </w:rPr>
      </w:pPr>
      <m:oMathPara>
        <m:oMathParaPr>
          <m:jc m:val="left"/>
        </m:oMathParaPr>
        <m:oMath>
          <m:r>
            <m:rPr/>
            <w:rPr>
              <w:rFonts w:ascii="Cambria Math" w:hAnsi="Cambria Math" w:cs="Times New Roman" w:eastAsiaTheme="minorEastAsia"/>
              <w:sz w:val="24"/>
              <w:szCs w:val="24"/>
              <w:lang w:val="id-ID"/>
            </w:rPr>
            <m:t>Tahun 2023=</m:t>
          </m:r>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200.000.000+225.000.000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400.000.000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=106%=1,06 :1</m:t>
          </m:r>
        </m:oMath>
      </m:oMathPara>
    </w:p>
    <w:p w14:paraId="65BA69A2">
      <w:pPr>
        <w:pStyle w:val="19"/>
        <w:spacing w:after="0" w:line="480" w:lineRule="auto"/>
        <w:ind w:left="993"/>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rPr>
        <w:t xml:space="preserve">Tahun 2024 = </w:t>
      </w:r>
      <m:oMath>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315.000.000+150.000.000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475.000.000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=97%=  0,97   :1</m:t>
        </m:r>
      </m:oMath>
    </w:p>
    <w:p w14:paraId="3B7355CD">
      <w:pPr>
        <w:spacing w:after="0" w:line="480" w:lineRule="auto"/>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rPr>
        <w:tab/>
      </w:r>
      <w:r>
        <w:rPr>
          <w:rFonts w:ascii="Times New Roman" w:hAnsi="Times New Roman" w:cs="Times New Roman" w:eastAsiaTheme="minorEastAsia"/>
          <w:sz w:val="24"/>
          <w:szCs w:val="24"/>
          <w:lang w:val="id-ID"/>
        </w:rPr>
        <w:t xml:space="preserve">      Tahun 2025 = </w:t>
      </w:r>
      <m:oMath>
        <m:f>
          <m:fPr>
            <m:ctrlPr>
              <w:rPr>
                <w:rFonts w:ascii="Cambria Math" w:hAnsi="Cambria Math" w:cs="Times New Roman" w:eastAsiaTheme="minorEastAsia"/>
                <w:i/>
                <w:sz w:val="24"/>
                <w:szCs w:val="24"/>
                <w:lang w:val="id-ID"/>
              </w:rPr>
            </m:ctrlPr>
          </m:fPr>
          <m:num>
            <m:r>
              <m:rPr/>
              <w:rPr>
                <w:rFonts w:ascii="Cambria Math" w:hAnsi="Cambria Math" w:cs="Times New Roman" w:eastAsiaTheme="minorEastAsia"/>
                <w:sz w:val="24"/>
                <w:szCs w:val="24"/>
                <w:lang w:val="id-ID"/>
              </w:rPr>
              <m:t>250.000.000+225.000.000</m:t>
            </m:r>
            <m:ctrlPr>
              <w:rPr>
                <w:rFonts w:ascii="Cambria Math" w:hAnsi="Cambria Math" w:cs="Times New Roman" w:eastAsiaTheme="minorEastAsia"/>
                <w:i/>
                <w:sz w:val="24"/>
                <w:szCs w:val="24"/>
                <w:lang w:val="id-ID"/>
              </w:rPr>
            </m:ctrlPr>
          </m:num>
          <m:den>
            <m:r>
              <m:rPr/>
              <w:rPr>
                <w:rFonts w:ascii="Cambria Math" w:hAnsi="Cambria Math" w:cs="Times New Roman" w:eastAsiaTheme="minorEastAsia"/>
                <w:sz w:val="24"/>
                <w:szCs w:val="24"/>
                <w:lang w:val="id-ID"/>
              </w:rPr>
              <m:t>350.000.000</m:t>
            </m:r>
            <m:ctrlPr>
              <w:rPr>
                <w:rFonts w:ascii="Cambria Math" w:hAnsi="Cambria Math" w:cs="Times New Roman" w:eastAsiaTheme="minorEastAsia"/>
                <w:i/>
                <w:sz w:val="24"/>
                <w:szCs w:val="24"/>
                <w:lang w:val="id-ID"/>
              </w:rPr>
            </m:ctrlPr>
          </m:den>
        </m:f>
        <m:r>
          <m:rPr/>
          <w:rPr>
            <w:rFonts w:ascii="Cambria Math" w:hAnsi="Cambria Math" w:cs="Times New Roman" w:eastAsiaTheme="minorEastAsia"/>
            <w:sz w:val="24"/>
            <w:szCs w:val="24"/>
            <w:lang w:val="id-ID"/>
          </w:rPr>
          <m:t>=135%=1,35 :1</m:t>
        </m:r>
      </m:oMath>
    </w:p>
    <w:p w14:paraId="52AF78A1">
      <w:pPr>
        <w:pStyle w:val="19"/>
        <w:numPr>
          <w:ilvl w:val="0"/>
          <w:numId w:val="11"/>
        </w:numPr>
        <w:spacing w:after="0" w:line="480" w:lineRule="auto"/>
        <w:jc w:val="both"/>
        <w:rPr>
          <w:rFonts w:ascii="Times New Roman" w:hAnsi="Times New Roman" w:cs="Times New Roman" w:eastAsiaTheme="minorEastAsia"/>
          <w:sz w:val="24"/>
          <w:szCs w:val="24"/>
          <w:lang w:val="id-ID"/>
        </w:rPr>
      </w:pPr>
      <w:r>
        <w:rPr>
          <w:rFonts w:ascii="Times New Roman" w:hAnsi="Times New Roman" w:cs="Times New Roman" w:eastAsiaTheme="minorEastAsia"/>
          <w:sz w:val="24"/>
          <w:szCs w:val="24"/>
          <w:lang w:val="id-ID"/>
        </w:rPr>
        <w:t xml:space="preserve">Seberapa besar modal kerja bersih usaha (Net Working capital) </w:t>
      </w:r>
    </w:p>
    <w:p w14:paraId="30B3AC8E">
      <w:pPr>
        <w:pStyle w:val="19"/>
        <w:spacing w:after="0" w:line="480" w:lineRule="auto"/>
        <w:jc w:val="both"/>
        <w:rPr>
          <w:rFonts w:ascii="Times New Roman" w:hAnsi="Times New Roman" w:cs="Times New Roman" w:eastAsiaTheme="minorEastAsia"/>
          <w:sz w:val="24"/>
          <w:szCs w:val="24"/>
          <w:lang w:val="id-ID"/>
        </w:rPr>
      </w:pPr>
      <m:oMathPara>
        <m:oMath>
          <m:r>
            <m:rPr/>
            <w:rPr>
              <w:rFonts w:ascii="Cambria Math" w:hAnsi="Cambria Math" w:cs="Times New Roman" w:eastAsiaTheme="minorEastAsia"/>
              <w:sz w:val="24"/>
              <w:szCs w:val="24"/>
              <w:lang w:val="id-ID"/>
            </w:rPr>
            <m:t xml:space="preserve">Current Aset−Curren liabilities </m:t>
          </m:r>
        </m:oMath>
      </m:oMathPara>
    </w:p>
    <w:p w14:paraId="77EF84EC">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Tahun 2023 = Rp 375.000.000 – Rp 200.000.000 = Rp 175.000.000</w:t>
      </w:r>
    </w:p>
    <w:p w14:paraId="3ACB3A8F">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Tahun 2024 = Rp 425.000.000 – Rp 315.000.000 = Rp 110.000.000</w:t>
      </w:r>
    </w:p>
    <w:p w14:paraId="21925E49">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id-ID"/>
        </w:rPr>
        <w:tab/>
      </w:r>
      <w:r>
        <w:rPr>
          <w:rFonts w:ascii="Times New Roman" w:hAnsi="Times New Roman" w:cs="Times New Roman"/>
          <w:sz w:val="24"/>
          <w:szCs w:val="24"/>
          <w:lang w:val="id-ID"/>
        </w:rPr>
        <w:t>Tahun 2025 = Rp 750.000.000 – Rp 250.000.000 = Rp 500.000.000</w:t>
      </w:r>
    </w:p>
    <w:p w14:paraId="063DFFEB">
      <w:pPr>
        <w:spacing w:after="0" w:line="480" w:lineRule="auto"/>
        <w:jc w:val="both"/>
        <w:rPr>
          <w:rFonts w:ascii="Times New Roman" w:hAnsi="Times New Roman" w:cs="Times New Roman"/>
          <w:sz w:val="24"/>
          <w:szCs w:val="24"/>
          <w:lang w:val="en-US"/>
        </w:rPr>
      </w:pPr>
    </w:p>
    <w:p w14:paraId="69D78855">
      <w:pPr>
        <w:pStyle w:val="19"/>
        <w:numPr>
          <w:ilvl w:val="0"/>
          <w:numId w:val="11"/>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Rekapitulasi Rasio Keuangan Tahun 2023, 2024 dan 2025</w:t>
      </w:r>
    </w:p>
    <w:p w14:paraId="0C9608D6">
      <w:pPr>
        <w:pStyle w:val="19"/>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1.</w:t>
      </w:r>
    </w:p>
    <w:p w14:paraId="72DDB90E">
      <w:pPr>
        <w:pStyle w:val="19"/>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Likuiditas</w:t>
      </w:r>
    </w:p>
    <w:tbl>
      <w:tblPr>
        <w:tblStyle w:val="18"/>
        <w:tblW w:w="7610"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
        <w:gridCol w:w="1215"/>
        <w:gridCol w:w="956"/>
        <w:gridCol w:w="905"/>
        <w:gridCol w:w="828"/>
        <w:gridCol w:w="1641"/>
        <w:gridCol w:w="1553"/>
      </w:tblGrid>
      <w:tr w14:paraId="3245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3F113A95">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215" w:type="dxa"/>
          </w:tcPr>
          <w:p w14:paraId="13014092">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Rasio Likuiditas </w:t>
            </w:r>
          </w:p>
        </w:tc>
        <w:tc>
          <w:tcPr>
            <w:tcW w:w="5883" w:type="dxa"/>
            <w:gridSpan w:val="5"/>
          </w:tcPr>
          <w:p w14:paraId="3216DDBB">
            <w:pPr>
              <w:pStyle w:val="19"/>
              <w:spacing w:after="0"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14:paraId="54B9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22F7BD11">
            <w:pPr>
              <w:pStyle w:val="19"/>
              <w:spacing w:after="0" w:line="480" w:lineRule="auto"/>
              <w:ind w:left="0"/>
              <w:jc w:val="both"/>
              <w:rPr>
                <w:rFonts w:ascii="Times New Roman" w:hAnsi="Times New Roman" w:cs="Times New Roman"/>
                <w:sz w:val="24"/>
                <w:szCs w:val="24"/>
                <w:lang w:val="id-ID"/>
              </w:rPr>
            </w:pPr>
          </w:p>
        </w:tc>
        <w:tc>
          <w:tcPr>
            <w:tcW w:w="1215" w:type="dxa"/>
          </w:tcPr>
          <w:p w14:paraId="151D0B1F">
            <w:pPr>
              <w:pStyle w:val="19"/>
              <w:spacing w:after="0" w:line="480" w:lineRule="auto"/>
              <w:ind w:left="0"/>
              <w:jc w:val="both"/>
              <w:rPr>
                <w:rFonts w:ascii="Times New Roman" w:hAnsi="Times New Roman" w:cs="Times New Roman"/>
                <w:sz w:val="24"/>
                <w:szCs w:val="24"/>
                <w:lang w:val="id-ID"/>
              </w:rPr>
            </w:pPr>
          </w:p>
        </w:tc>
        <w:tc>
          <w:tcPr>
            <w:tcW w:w="956" w:type="dxa"/>
          </w:tcPr>
          <w:p w14:paraId="164064DA">
            <w:pPr>
              <w:pStyle w:val="19"/>
              <w:spacing w:after="0"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2023</w:t>
            </w:r>
          </w:p>
        </w:tc>
        <w:tc>
          <w:tcPr>
            <w:tcW w:w="905" w:type="dxa"/>
          </w:tcPr>
          <w:p w14:paraId="3F69C8B3">
            <w:pPr>
              <w:pStyle w:val="19"/>
              <w:spacing w:after="0"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2024</w:t>
            </w:r>
          </w:p>
        </w:tc>
        <w:tc>
          <w:tcPr>
            <w:tcW w:w="828" w:type="dxa"/>
          </w:tcPr>
          <w:p w14:paraId="58455C22">
            <w:pPr>
              <w:pStyle w:val="19"/>
              <w:spacing w:after="0"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2025</w:t>
            </w:r>
          </w:p>
        </w:tc>
        <w:tc>
          <w:tcPr>
            <w:tcW w:w="1641" w:type="dxa"/>
          </w:tcPr>
          <w:p w14:paraId="77EC6DC6">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553" w:type="dxa"/>
          </w:tcPr>
          <w:p w14:paraId="443C3493">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Kesimpulan</w:t>
            </w:r>
          </w:p>
        </w:tc>
      </w:tr>
      <w:tr w14:paraId="1F35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73CB4479">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215" w:type="dxa"/>
          </w:tcPr>
          <w:p w14:paraId="580EBC3C">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Curent Rasio </w:t>
            </w:r>
          </w:p>
        </w:tc>
        <w:tc>
          <w:tcPr>
            <w:tcW w:w="956" w:type="dxa"/>
          </w:tcPr>
          <w:p w14:paraId="48582163">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3 : 2</w:t>
            </w:r>
          </w:p>
        </w:tc>
        <w:tc>
          <w:tcPr>
            <w:tcW w:w="905" w:type="dxa"/>
          </w:tcPr>
          <w:p w14:paraId="7805B9C3">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1,3 : 1</w:t>
            </w:r>
          </w:p>
        </w:tc>
        <w:tc>
          <w:tcPr>
            <w:tcW w:w="828" w:type="dxa"/>
          </w:tcPr>
          <w:p w14:paraId="0EB47623">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3 : 1</w:t>
            </w:r>
          </w:p>
        </w:tc>
        <w:tc>
          <w:tcPr>
            <w:tcW w:w="1641" w:type="dxa"/>
          </w:tcPr>
          <w:p w14:paraId="3C24DFC7">
            <w:pPr>
              <w:pStyle w:val="19"/>
              <w:spacing w:after="0" w:line="24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3 : 1, Baik</w:t>
            </w:r>
          </w:p>
        </w:tc>
        <w:tc>
          <w:tcPr>
            <w:tcW w:w="1553" w:type="dxa"/>
          </w:tcPr>
          <w:p w14:paraId="6DA99E92">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2025 baik</w:t>
            </w:r>
          </w:p>
        </w:tc>
      </w:tr>
      <w:tr w14:paraId="423B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tcPr>
          <w:p w14:paraId="57EFBECE">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215" w:type="dxa"/>
          </w:tcPr>
          <w:p w14:paraId="2377DA53">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Quick Rasio </w:t>
            </w:r>
          </w:p>
        </w:tc>
        <w:tc>
          <w:tcPr>
            <w:tcW w:w="956" w:type="dxa"/>
          </w:tcPr>
          <w:p w14:paraId="47FF74CC">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112,5%</w:t>
            </w:r>
          </w:p>
        </w:tc>
        <w:tc>
          <w:tcPr>
            <w:tcW w:w="905" w:type="dxa"/>
          </w:tcPr>
          <w:p w14:paraId="2E309D5D">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79,3%</w:t>
            </w:r>
          </w:p>
        </w:tc>
        <w:tc>
          <w:tcPr>
            <w:tcW w:w="828" w:type="dxa"/>
          </w:tcPr>
          <w:p w14:paraId="1A11B7CD">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180%</w:t>
            </w:r>
          </w:p>
        </w:tc>
        <w:tc>
          <w:tcPr>
            <w:tcW w:w="1641" w:type="dxa"/>
          </w:tcPr>
          <w:p w14:paraId="34C50419">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≤100%;kurang baik</w:t>
            </w:r>
          </w:p>
        </w:tc>
        <w:tc>
          <w:tcPr>
            <w:tcW w:w="1553" w:type="dxa"/>
          </w:tcPr>
          <w:p w14:paraId="053AF7A5">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Th.2024 kurang baik</w:t>
            </w:r>
          </w:p>
        </w:tc>
      </w:tr>
    </w:tbl>
    <w:p w14:paraId="73B2753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Sumber : Olahan Data, 2025</w:t>
      </w:r>
    </w:p>
    <w:p w14:paraId="00CDE294">
      <w:pPr>
        <w:spacing w:after="0" w:line="240" w:lineRule="auto"/>
        <w:jc w:val="both"/>
        <w:rPr>
          <w:rFonts w:ascii="Times New Roman" w:hAnsi="Times New Roman" w:cs="Times New Roman"/>
          <w:sz w:val="24"/>
          <w:szCs w:val="24"/>
          <w:lang w:val="id-ID"/>
        </w:rPr>
      </w:pPr>
    </w:p>
    <w:p w14:paraId="757A020F">
      <w:pPr>
        <w:spacing w:after="0" w:line="240" w:lineRule="auto"/>
        <w:jc w:val="both"/>
        <w:rPr>
          <w:rFonts w:ascii="Times New Roman" w:hAnsi="Times New Roman" w:cs="Times New Roman"/>
          <w:sz w:val="24"/>
          <w:szCs w:val="24"/>
          <w:lang w:val="id-ID"/>
        </w:rPr>
      </w:pPr>
    </w:p>
    <w:p w14:paraId="64ADDF6D">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2</w:t>
      </w:r>
    </w:p>
    <w:p w14:paraId="7D614637">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Leverage</w:t>
      </w:r>
    </w:p>
    <w:p w14:paraId="17CFA238">
      <w:pPr>
        <w:pStyle w:val="19"/>
        <w:spacing w:after="0" w:line="240" w:lineRule="auto"/>
        <w:jc w:val="both"/>
        <w:rPr>
          <w:rFonts w:ascii="Times New Roman" w:hAnsi="Times New Roman" w:cs="Times New Roman"/>
          <w:sz w:val="24"/>
          <w:szCs w:val="24"/>
          <w:lang w:val="id-ID"/>
        </w:rPr>
      </w:pPr>
    </w:p>
    <w:tbl>
      <w:tblPr>
        <w:tblStyle w:val="1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
        <w:gridCol w:w="1227"/>
        <w:gridCol w:w="822"/>
        <w:gridCol w:w="822"/>
        <w:gridCol w:w="822"/>
        <w:gridCol w:w="1232"/>
        <w:gridCol w:w="1887"/>
      </w:tblGrid>
      <w:tr w14:paraId="398F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 w:type="dxa"/>
          </w:tcPr>
          <w:p w14:paraId="138F0A19">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227" w:type="dxa"/>
          </w:tcPr>
          <w:p w14:paraId="71832D0E">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Rasio Leverage</w:t>
            </w:r>
          </w:p>
        </w:tc>
        <w:tc>
          <w:tcPr>
            <w:tcW w:w="5585" w:type="dxa"/>
            <w:gridSpan w:val="5"/>
          </w:tcPr>
          <w:p w14:paraId="50647955">
            <w:pPr>
              <w:pStyle w:val="19"/>
              <w:spacing w:after="0"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14:paraId="7412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 w:type="dxa"/>
          </w:tcPr>
          <w:p w14:paraId="5226AC91">
            <w:pPr>
              <w:pStyle w:val="19"/>
              <w:spacing w:after="0" w:line="480" w:lineRule="auto"/>
              <w:ind w:left="0"/>
              <w:jc w:val="both"/>
              <w:rPr>
                <w:rFonts w:ascii="Times New Roman" w:hAnsi="Times New Roman" w:cs="Times New Roman"/>
                <w:sz w:val="24"/>
                <w:szCs w:val="24"/>
                <w:lang w:val="id-ID"/>
              </w:rPr>
            </w:pPr>
          </w:p>
        </w:tc>
        <w:tc>
          <w:tcPr>
            <w:tcW w:w="1227" w:type="dxa"/>
          </w:tcPr>
          <w:p w14:paraId="30B723FF">
            <w:pPr>
              <w:pStyle w:val="19"/>
              <w:spacing w:after="0" w:line="480" w:lineRule="auto"/>
              <w:ind w:left="0"/>
              <w:jc w:val="both"/>
              <w:rPr>
                <w:rFonts w:ascii="Times New Roman" w:hAnsi="Times New Roman" w:cs="Times New Roman"/>
                <w:sz w:val="24"/>
                <w:szCs w:val="24"/>
                <w:lang w:val="id-ID"/>
              </w:rPr>
            </w:pPr>
          </w:p>
        </w:tc>
        <w:tc>
          <w:tcPr>
            <w:tcW w:w="822" w:type="dxa"/>
          </w:tcPr>
          <w:p w14:paraId="7CECC7FF">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2023</w:t>
            </w:r>
          </w:p>
        </w:tc>
        <w:tc>
          <w:tcPr>
            <w:tcW w:w="822" w:type="dxa"/>
          </w:tcPr>
          <w:p w14:paraId="22C18417">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2024</w:t>
            </w:r>
          </w:p>
        </w:tc>
        <w:tc>
          <w:tcPr>
            <w:tcW w:w="822" w:type="dxa"/>
          </w:tcPr>
          <w:p w14:paraId="74F522F8">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2025</w:t>
            </w:r>
          </w:p>
        </w:tc>
        <w:tc>
          <w:tcPr>
            <w:tcW w:w="1232" w:type="dxa"/>
          </w:tcPr>
          <w:p w14:paraId="7B4B8245">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887" w:type="dxa"/>
          </w:tcPr>
          <w:p w14:paraId="1AD18CC7">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Kesimpulan </w:t>
            </w:r>
          </w:p>
        </w:tc>
      </w:tr>
      <w:tr w14:paraId="32D2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 w:type="dxa"/>
          </w:tcPr>
          <w:p w14:paraId="7F9C9B7A">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227" w:type="dxa"/>
          </w:tcPr>
          <w:p w14:paraId="360597D3">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Debt Rasio </w:t>
            </w:r>
          </w:p>
        </w:tc>
        <w:tc>
          <w:tcPr>
            <w:tcW w:w="822" w:type="dxa"/>
          </w:tcPr>
          <w:p w14:paraId="0F9E40EA">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51%</w:t>
            </w:r>
          </w:p>
        </w:tc>
        <w:tc>
          <w:tcPr>
            <w:tcW w:w="822" w:type="dxa"/>
          </w:tcPr>
          <w:p w14:paraId="452CFA85">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49%</w:t>
            </w:r>
          </w:p>
        </w:tc>
        <w:tc>
          <w:tcPr>
            <w:tcW w:w="822" w:type="dxa"/>
          </w:tcPr>
          <w:p w14:paraId="69938BEB">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38%</w:t>
            </w:r>
          </w:p>
        </w:tc>
        <w:tc>
          <w:tcPr>
            <w:tcW w:w="1232" w:type="dxa"/>
          </w:tcPr>
          <w:p w14:paraId="5C6B9AC6">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Semakin Rendah. Semakin baik</w:t>
            </w:r>
          </w:p>
        </w:tc>
        <w:tc>
          <w:tcPr>
            <w:tcW w:w="1887" w:type="dxa"/>
          </w:tcPr>
          <w:p w14:paraId="271D870E">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2025 ; baik</w:t>
            </w:r>
          </w:p>
        </w:tc>
      </w:tr>
      <w:tr w14:paraId="2FFC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 w:type="dxa"/>
          </w:tcPr>
          <w:p w14:paraId="627B693E">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227" w:type="dxa"/>
          </w:tcPr>
          <w:p w14:paraId="338163D0">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Debt Equity Rasio </w:t>
            </w:r>
          </w:p>
        </w:tc>
        <w:tc>
          <w:tcPr>
            <w:tcW w:w="822" w:type="dxa"/>
          </w:tcPr>
          <w:p w14:paraId="05DEF8CF">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106%</w:t>
            </w:r>
          </w:p>
        </w:tc>
        <w:tc>
          <w:tcPr>
            <w:tcW w:w="822" w:type="dxa"/>
          </w:tcPr>
          <w:p w14:paraId="55FBD34C">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97%</w:t>
            </w:r>
          </w:p>
        </w:tc>
        <w:tc>
          <w:tcPr>
            <w:tcW w:w="822" w:type="dxa"/>
          </w:tcPr>
          <w:p w14:paraId="38E5E9FE">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135%</w:t>
            </w:r>
          </w:p>
        </w:tc>
        <w:tc>
          <w:tcPr>
            <w:tcW w:w="1232" w:type="dxa"/>
          </w:tcPr>
          <w:p w14:paraId="674E97E1">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≥66% berresiko </w:t>
            </w:r>
          </w:p>
        </w:tc>
        <w:tc>
          <w:tcPr>
            <w:tcW w:w="1887" w:type="dxa"/>
          </w:tcPr>
          <w:p w14:paraId="4D256E13">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2023, 2024 dan 2025 ; berresiko</w:t>
            </w:r>
          </w:p>
        </w:tc>
      </w:tr>
    </w:tbl>
    <w:p w14:paraId="0D4C56E5">
      <w:pPr>
        <w:pStyle w:val="19"/>
        <w:spacing w:after="0" w:line="240" w:lineRule="auto"/>
        <w:jc w:val="both"/>
        <w:rPr>
          <w:rFonts w:ascii="Times New Roman" w:hAnsi="Times New Roman" w:cs="Times New Roman"/>
          <w:sz w:val="24"/>
          <w:szCs w:val="24"/>
          <w:lang w:val="id-ID"/>
        </w:rPr>
      </w:pPr>
    </w:p>
    <w:p w14:paraId="44AE3E8C">
      <w:pPr>
        <w:pStyle w:val="19"/>
        <w:spacing w:after="0" w:line="480" w:lineRule="auto"/>
        <w:jc w:val="both"/>
        <w:rPr>
          <w:rFonts w:ascii="Times New Roman" w:hAnsi="Times New Roman" w:cs="Times New Roman"/>
          <w:sz w:val="24"/>
          <w:szCs w:val="24"/>
          <w:lang w:val="id-ID"/>
        </w:rPr>
      </w:pPr>
    </w:p>
    <w:p w14:paraId="6BA252E7">
      <w:pPr>
        <w:pStyle w:val="19"/>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3</w:t>
      </w:r>
    </w:p>
    <w:p w14:paraId="4D536426">
      <w:pPr>
        <w:pStyle w:val="19"/>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Net Working Capital</w:t>
      </w:r>
    </w:p>
    <w:p w14:paraId="1335E5F1">
      <w:pPr>
        <w:pStyle w:val="19"/>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Juta Rupiah</w:t>
      </w:r>
    </w:p>
    <w:p w14:paraId="15C303C1">
      <w:pPr>
        <w:pStyle w:val="19"/>
        <w:spacing w:after="0" w:line="240" w:lineRule="auto"/>
        <w:jc w:val="center"/>
        <w:rPr>
          <w:rFonts w:ascii="Times New Roman" w:hAnsi="Times New Roman" w:cs="Times New Roman"/>
          <w:sz w:val="24"/>
          <w:szCs w:val="24"/>
          <w:lang w:val="id-ID"/>
        </w:rPr>
      </w:pPr>
    </w:p>
    <w:tbl>
      <w:tblPr>
        <w:tblStyle w:val="18"/>
        <w:tblW w:w="7326"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1134"/>
        <w:gridCol w:w="993"/>
        <w:gridCol w:w="992"/>
        <w:gridCol w:w="992"/>
        <w:gridCol w:w="1559"/>
        <w:gridCol w:w="1134"/>
      </w:tblGrid>
      <w:tr w14:paraId="5F2D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7573B53D">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134" w:type="dxa"/>
          </w:tcPr>
          <w:p w14:paraId="72FCD2DA">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Rasio Leverage</w:t>
            </w:r>
          </w:p>
        </w:tc>
        <w:tc>
          <w:tcPr>
            <w:tcW w:w="5670" w:type="dxa"/>
            <w:gridSpan w:val="5"/>
          </w:tcPr>
          <w:p w14:paraId="6831F266">
            <w:pPr>
              <w:pStyle w:val="19"/>
              <w:spacing w:after="0"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14:paraId="60AB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6156DC34">
            <w:pPr>
              <w:pStyle w:val="19"/>
              <w:spacing w:after="0" w:line="480" w:lineRule="auto"/>
              <w:ind w:left="0"/>
              <w:jc w:val="both"/>
              <w:rPr>
                <w:rFonts w:ascii="Times New Roman" w:hAnsi="Times New Roman" w:cs="Times New Roman"/>
                <w:sz w:val="24"/>
                <w:szCs w:val="24"/>
                <w:lang w:val="id-ID"/>
              </w:rPr>
            </w:pPr>
          </w:p>
        </w:tc>
        <w:tc>
          <w:tcPr>
            <w:tcW w:w="1134" w:type="dxa"/>
          </w:tcPr>
          <w:p w14:paraId="5C4A985F">
            <w:pPr>
              <w:pStyle w:val="19"/>
              <w:spacing w:after="0" w:line="480" w:lineRule="auto"/>
              <w:ind w:left="0"/>
              <w:jc w:val="both"/>
              <w:rPr>
                <w:rFonts w:ascii="Times New Roman" w:hAnsi="Times New Roman" w:cs="Times New Roman"/>
                <w:sz w:val="24"/>
                <w:szCs w:val="24"/>
                <w:lang w:val="id-ID"/>
              </w:rPr>
            </w:pPr>
          </w:p>
        </w:tc>
        <w:tc>
          <w:tcPr>
            <w:tcW w:w="993" w:type="dxa"/>
          </w:tcPr>
          <w:p w14:paraId="34C45A6A">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2023</w:t>
            </w:r>
          </w:p>
        </w:tc>
        <w:tc>
          <w:tcPr>
            <w:tcW w:w="992" w:type="dxa"/>
          </w:tcPr>
          <w:p w14:paraId="6BCD6F8B">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2024</w:t>
            </w:r>
          </w:p>
        </w:tc>
        <w:tc>
          <w:tcPr>
            <w:tcW w:w="992" w:type="dxa"/>
          </w:tcPr>
          <w:p w14:paraId="433D1BEF">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2025</w:t>
            </w:r>
          </w:p>
        </w:tc>
        <w:tc>
          <w:tcPr>
            <w:tcW w:w="1559" w:type="dxa"/>
          </w:tcPr>
          <w:p w14:paraId="1A658428">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134" w:type="dxa"/>
          </w:tcPr>
          <w:p w14:paraId="438BAE53">
            <w:pPr>
              <w:pStyle w:val="19"/>
              <w:spacing w:after="0"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Kesimpulan </w:t>
            </w:r>
          </w:p>
        </w:tc>
      </w:tr>
      <w:tr w14:paraId="35C6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2E0F484F">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134" w:type="dxa"/>
          </w:tcPr>
          <w:p w14:paraId="1B55D026">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Net Working Capital </w:t>
            </w:r>
          </w:p>
        </w:tc>
        <w:tc>
          <w:tcPr>
            <w:tcW w:w="993" w:type="dxa"/>
          </w:tcPr>
          <w:p w14:paraId="461F064A">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175</w:t>
            </w:r>
          </w:p>
        </w:tc>
        <w:tc>
          <w:tcPr>
            <w:tcW w:w="992" w:type="dxa"/>
          </w:tcPr>
          <w:p w14:paraId="2F411F79">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110</w:t>
            </w:r>
          </w:p>
        </w:tc>
        <w:tc>
          <w:tcPr>
            <w:tcW w:w="992" w:type="dxa"/>
          </w:tcPr>
          <w:p w14:paraId="70612F95">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Rp 500</w:t>
            </w:r>
          </w:p>
        </w:tc>
        <w:tc>
          <w:tcPr>
            <w:tcW w:w="1559" w:type="dxa"/>
          </w:tcPr>
          <w:p w14:paraId="5B6B6408">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Positip; Baik</w:t>
            </w:r>
          </w:p>
        </w:tc>
        <w:tc>
          <w:tcPr>
            <w:tcW w:w="1134" w:type="dxa"/>
          </w:tcPr>
          <w:p w14:paraId="41E97F51">
            <w:pPr>
              <w:pStyle w:val="19"/>
              <w:spacing w:after="0" w:line="24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Semua Tahun Baik</w:t>
            </w:r>
          </w:p>
        </w:tc>
      </w:tr>
      <w:tr w14:paraId="606F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0C38493C">
            <w:pPr>
              <w:pStyle w:val="19"/>
              <w:spacing w:after="0" w:line="240" w:lineRule="auto"/>
              <w:ind w:left="0"/>
              <w:jc w:val="both"/>
              <w:rPr>
                <w:rFonts w:ascii="Times New Roman" w:hAnsi="Times New Roman" w:cs="Times New Roman"/>
                <w:sz w:val="24"/>
                <w:szCs w:val="24"/>
                <w:lang w:val="id-ID"/>
              </w:rPr>
            </w:pPr>
          </w:p>
        </w:tc>
        <w:tc>
          <w:tcPr>
            <w:tcW w:w="1134" w:type="dxa"/>
          </w:tcPr>
          <w:p w14:paraId="665E2A0F">
            <w:pPr>
              <w:pStyle w:val="19"/>
              <w:spacing w:after="0" w:line="240" w:lineRule="auto"/>
              <w:ind w:left="0"/>
              <w:jc w:val="both"/>
              <w:rPr>
                <w:rFonts w:ascii="Times New Roman" w:hAnsi="Times New Roman" w:cs="Times New Roman"/>
                <w:b/>
                <w:sz w:val="24"/>
                <w:szCs w:val="24"/>
                <w:lang w:val="id-ID"/>
              </w:rPr>
            </w:pPr>
          </w:p>
          <w:p w14:paraId="4580622E">
            <w:pPr>
              <w:pStyle w:val="19"/>
              <w:spacing w:after="0" w:line="240" w:lineRule="auto"/>
              <w:ind w:left="0"/>
              <w:jc w:val="both"/>
              <w:rPr>
                <w:rFonts w:ascii="Times New Roman" w:hAnsi="Times New Roman" w:cs="Times New Roman"/>
                <w:b/>
                <w:sz w:val="24"/>
                <w:szCs w:val="24"/>
                <w:lang w:val="id-ID"/>
              </w:rPr>
            </w:pPr>
          </w:p>
        </w:tc>
        <w:tc>
          <w:tcPr>
            <w:tcW w:w="993" w:type="dxa"/>
          </w:tcPr>
          <w:p w14:paraId="69436BA8">
            <w:pPr>
              <w:pStyle w:val="19"/>
              <w:spacing w:after="0" w:line="240" w:lineRule="auto"/>
              <w:ind w:left="0"/>
              <w:jc w:val="both"/>
              <w:rPr>
                <w:rFonts w:ascii="Times New Roman" w:hAnsi="Times New Roman" w:cs="Times New Roman"/>
                <w:sz w:val="24"/>
                <w:szCs w:val="24"/>
                <w:lang w:val="id-ID"/>
              </w:rPr>
            </w:pPr>
          </w:p>
        </w:tc>
        <w:tc>
          <w:tcPr>
            <w:tcW w:w="992" w:type="dxa"/>
          </w:tcPr>
          <w:p w14:paraId="5A85E9EA">
            <w:pPr>
              <w:pStyle w:val="19"/>
              <w:spacing w:after="0" w:line="240" w:lineRule="auto"/>
              <w:ind w:left="0"/>
              <w:jc w:val="both"/>
              <w:rPr>
                <w:rFonts w:ascii="Times New Roman" w:hAnsi="Times New Roman" w:cs="Times New Roman"/>
                <w:sz w:val="24"/>
                <w:szCs w:val="24"/>
                <w:lang w:val="id-ID"/>
              </w:rPr>
            </w:pPr>
          </w:p>
        </w:tc>
        <w:tc>
          <w:tcPr>
            <w:tcW w:w="992" w:type="dxa"/>
          </w:tcPr>
          <w:p w14:paraId="5E6BA6B3">
            <w:pPr>
              <w:pStyle w:val="19"/>
              <w:spacing w:after="0" w:line="240" w:lineRule="auto"/>
              <w:ind w:left="0"/>
              <w:jc w:val="both"/>
              <w:rPr>
                <w:rFonts w:ascii="Times New Roman" w:hAnsi="Times New Roman" w:cs="Times New Roman"/>
                <w:sz w:val="24"/>
                <w:szCs w:val="24"/>
                <w:lang w:val="id-ID"/>
              </w:rPr>
            </w:pPr>
          </w:p>
        </w:tc>
        <w:tc>
          <w:tcPr>
            <w:tcW w:w="1559" w:type="dxa"/>
          </w:tcPr>
          <w:p w14:paraId="62E7020F">
            <w:pPr>
              <w:pStyle w:val="19"/>
              <w:spacing w:after="0" w:line="240" w:lineRule="auto"/>
              <w:ind w:left="0"/>
              <w:jc w:val="both"/>
              <w:rPr>
                <w:rFonts w:ascii="Times New Roman" w:hAnsi="Times New Roman" w:cs="Times New Roman"/>
                <w:sz w:val="24"/>
                <w:szCs w:val="24"/>
                <w:lang w:val="id-ID"/>
              </w:rPr>
            </w:pPr>
          </w:p>
        </w:tc>
        <w:tc>
          <w:tcPr>
            <w:tcW w:w="1134" w:type="dxa"/>
          </w:tcPr>
          <w:p w14:paraId="5346DBE7">
            <w:pPr>
              <w:pStyle w:val="19"/>
              <w:spacing w:after="0" w:line="240" w:lineRule="auto"/>
              <w:ind w:left="0"/>
              <w:jc w:val="both"/>
              <w:rPr>
                <w:rFonts w:ascii="Times New Roman" w:hAnsi="Times New Roman" w:cs="Times New Roman"/>
                <w:sz w:val="24"/>
                <w:szCs w:val="24"/>
                <w:lang w:val="id-ID"/>
              </w:rPr>
            </w:pPr>
          </w:p>
        </w:tc>
      </w:tr>
    </w:tbl>
    <w:p w14:paraId="2245A567">
      <w:pPr>
        <w:pStyle w:val="19"/>
        <w:spacing w:after="0" w:line="240" w:lineRule="auto"/>
        <w:jc w:val="both"/>
        <w:rPr>
          <w:rFonts w:ascii="Times New Roman" w:hAnsi="Times New Roman" w:cs="Times New Roman"/>
          <w:sz w:val="24"/>
          <w:szCs w:val="24"/>
          <w:lang w:val="id-ID"/>
        </w:rPr>
      </w:pPr>
    </w:p>
    <w:p w14:paraId="6553F6C0">
      <w:pPr>
        <w:pStyle w:val="19"/>
        <w:spacing w:after="0" w:line="480" w:lineRule="auto"/>
        <w:jc w:val="both"/>
        <w:rPr>
          <w:rFonts w:ascii="Times New Roman" w:hAnsi="Times New Roman" w:cs="Times New Roman"/>
          <w:sz w:val="24"/>
          <w:szCs w:val="24"/>
          <w:lang w:val="id-ID"/>
        </w:rPr>
      </w:pPr>
    </w:p>
    <w:p w14:paraId="326A5F57">
      <w:pPr>
        <w:pStyle w:val="19"/>
        <w:spacing w:after="0" w:line="480" w:lineRule="auto"/>
        <w:jc w:val="both"/>
        <w:rPr>
          <w:rFonts w:ascii="Times New Roman" w:hAnsi="Times New Roman" w:cs="Times New Roman"/>
          <w:sz w:val="24"/>
          <w:szCs w:val="24"/>
          <w:lang w:val="id-ID"/>
        </w:rPr>
      </w:pPr>
    </w:p>
    <w:p w14:paraId="612E1C3C">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 Kesimpulan Pengusaha Kecil :</w:t>
      </w:r>
      <w:r>
        <w:commentReference w:id="2"/>
      </w:r>
    </w:p>
    <w:p w14:paraId="40FE06A2">
      <w:pPr>
        <w:pStyle w:val="19"/>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eastAsia="id-ID"/>
        </w:rPr>
        <mc:AlternateContent>
          <mc:Choice Requires="wps">
            <w:drawing>
              <wp:anchor distT="0" distB="0" distL="114300" distR="114300" simplePos="0" relativeHeight="251665408" behindDoc="0" locked="0" layoutInCell="1" allowOverlap="1">
                <wp:simplePos x="0" y="0"/>
                <wp:positionH relativeFrom="column">
                  <wp:posOffset>255905</wp:posOffset>
                </wp:positionH>
                <wp:positionV relativeFrom="paragraph">
                  <wp:posOffset>86360</wp:posOffset>
                </wp:positionV>
                <wp:extent cx="5124450" cy="3886200"/>
                <wp:effectExtent l="0" t="0" r="19050" b="19050"/>
                <wp:wrapNone/>
                <wp:docPr id="54" name="Text Box 4"/>
                <wp:cNvGraphicFramePr/>
                <a:graphic xmlns:a="http://schemas.openxmlformats.org/drawingml/2006/main">
                  <a:graphicData uri="http://schemas.microsoft.com/office/word/2010/wordprocessingShape">
                    <wps:wsp>
                      <wps:cNvSpPr txBox="1"/>
                      <wps:spPr>
                        <a:xfrm>
                          <a:off x="0" y="0"/>
                          <a:ext cx="5124450" cy="3886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14C836">
                            <w:pPr>
                              <w:pStyle w:val="19"/>
                              <w:numPr>
                                <w:ilvl w:val="0"/>
                                <w:numId w:val="13"/>
                              </w:numPr>
                              <w:ind w:left="142" w:hanging="284"/>
                              <w:rPr>
                                <w:lang w:val="id-ID"/>
                              </w:rPr>
                            </w:pPr>
                            <w:r>
                              <w:rPr>
                                <w:lang w:val="id-ID"/>
                              </w:rPr>
                              <w:t xml:space="preserve">Rasio Likuiditas </w:t>
                            </w:r>
                          </w:p>
                          <w:p w14:paraId="32519F74">
                            <w:pPr>
                              <w:pStyle w:val="19"/>
                              <w:numPr>
                                <w:ilvl w:val="0"/>
                                <w:numId w:val="14"/>
                              </w:numPr>
                              <w:rPr>
                                <w:lang w:val="id-ID"/>
                              </w:rPr>
                            </w:pPr>
                            <w:r>
                              <w:rPr>
                                <w:lang w:val="id-ID"/>
                              </w:rPr>
                              <w:t>Dilihat dari curent rasio yang merupakan kemampuan perusahaan membayar hutang jangka pendek, maka Th. 2024 adalah yang terjelek dalam melunasi kewajiban jangka pendek. Tahun 2025 adalah tahun yang baik dalam melunasi kewajiban jangka pendek. Hal ini dilihat dari rasio 3 : 1 yang berarti Rp 1 hutang lancar dijamin ole aset lancar Rp 3</w:t>
                            </w:r>
                          </w:p>
                          <w:p w14:paraId="005EE4D5">
                            <w:pPr>
                              <w:pStyle w:val="19"/>
                              <w:numPr>
                                <w:ilvl w:val="0"/>
                                <w:numId w:val="14"/>
                              </w:numPr>
                              <w:rPr>
                                <w:lang w:val="id-ID"/>
                              </w:rPr>
                            </w:pPr>
                            <w:r>
                              <w:rPr>
                                <w:lang w:val="id-ID"/>
                              </w:rPr>
                              <w:t>Dilihat dari Quick rasio , pada tahun 2024 tingkat likuiditasnya kurang baik karena Quick rasionya 79,3% kurang dari 100%. Pada tahun 2023 dan Tahun 2025 tingkat likuiditasnya baik karena quick rasionya lebih dari 100%.</w:t>
                            </w:r>
                          </w:p>
                          <w:p w14:paraId="537D81FD">
                            <w:pPr>
                              <w:pStyle w:val="19"/>
                              <w:numPr>
                                <w:ilvl w:val="0"/>
                                <w:numId w:val="13"/>
                              </w:numPr>
                              <w:ind w:left="142" w:hanging="284"/>
                              <w:rPr>
                                <w:lang w:val="id-ID"/>
                              </w:rPr>
                            </w:pPr>
                            <w:r>
                              <w:rPr>
                                <w:lang w:val="id-ID"/>
                              </w:rPr>
                              <w:t xml:space="preserve">Rasio Leverage </w:t>
                            </w:r>
                          </w:p>
                          <w:p w14:paraId="10F0B31C">
                            <w:pPr>
                              <w:pStyle w:val="19"/>
                              <w:numPr>
                                <w:ilvl w:val="0"/>
                                <w:numId w:val="15"/>
                              </w:numPr>
                              <w:rPr>
                                <w:lang w:val="id-ID"/>
                              </w:rPr>
                            </w:pPr>
                            <w:r>
                              <w:rPr>
                                <w:lang w:val="id-ID"/>
                              </w:rPr>
                              <w:t xml:space="preserve">Dilihat dari Debt rasio. </w:t>
                            </w:r>
                          </w:p>
                          <w:p w14:paraId="7D14061F">
                            <w:pPr>
                              <w:pStyle w:val="19"/>
                              <w:ind w:left="502"/>
                              <w:rPr>
                                <w:lang w:val="id-ID"/>
                              </w:rPr>
                            </w:pPr>
                            <w:r>
                              <w:rPr>
                                <w:lang w:val="id-ID"/>
                              </w:rPr>
                              <w:t>Pada tahun 2023 deb rasio sebesar 51% dan terus</w:t>
                            </w:r>
                          </w:p>
                          <w:p w14:paraId="043BC202">
                            <w:pPr>
                              <w:pStyle w:val="19"/>
                              <w:ind w:left="502"/>
                              <w:rPr>
                                <w:lang w:val="id-ID"/>
                              </w:rPr>
                            </w:pPr>
                            <w:r>
                              <w:rPr>
                                <w:lang w:val="id-ID"/>
                              </w:rPr>
                              <w:t>Mengalami penurunan hingga akhir tahun 2025 sebesar 38% yang berarti rasio hutang semakin baik</w:t>
                            </w:r>
                          </w:p>
                          <w:p w14:paraId="038E8C30">
                            <w:pPr>
                              <w:pStyle w:val="19"/>
                              <w:numPr>
                                <w:ilvl w:val="0"/>
                                <w:numId w:val="15"/>
                              </w:numPr>
                              <w:rPr>
                                <w:lang w:val="id-ID"/>
                              </w:rPr>
                            </w:pPr>
                            <w:r>
                              <w:rPr>
                                <w:lang w:val="id-ID"/>
                              </w:rPr>
                              <w:t xml:space="preserve">Dilihat dari debt equity rasio dimana pada tahun-tahun tersebut lebih besar dari 66%. Ini berati rasio kepemilikan hutang semakin beresiko. </w:t>
                            </w:r>
                          </w:p>
                          <w:p w14:paraId="0EA4CF87">
                            <w:pPr>
                              <w:pStyle w:val="19"/>
                              <w:numPr>
                                <w:ilvl w:val="0"/>
                                <w:numId w:val="13"/>
                              </w:numPr>
                              <w:ind w:left="142" w:hanging="284"/>
                              <w:rPr>
                                <w:lang w:val="id-ID"/>
                              </w:rPr>
                            </w:pPr>
                            <w:r>
                              <w:rPr>
                                <w:lang w:val="id-ID"/>
                              </w:rPr>
                              <w:t xml:space="preserve">Dilihat dari Net working capital </w:t>
                            </w:r>
                          </w:p>
                          <w:p w14:paraId="63BA2976">
                            <w:pPr>
                              <w:pStyle w:val="19"/>
                              <w:ind w:left="142"/>
                              <w:rPr>
                                <w:lang w:val="id-ID"/>
                              </w:rPr>
                            </w:pPr>
                            <w:r>
                              <w:rPr>
                                <w:lang w:val="id-ID"/>
                              </w:rPr>
                              <w:t>Net working capital memeprlihatkan semua tahun baik. Karena bernilai Positip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20.15pt;margin-top:6.8pt;height:306pt;width:403.5pt;z-index:251665408;mso-width-relative:page;mso-height-relative:page;" fillcolor="#FFFFFF [3201]" filled="t" stroked="t" coordsize="21600,21600" o:gfxdata="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fMKk1QAAAAkBAAAPAAAAAAAA&#10;AAEAIAAAACIAAABkcnMvZG93bnJldi54bWxQSwECFAAUAAAACACHTuJA0PpYbU4CAADGBAAADgAA&#10;AAAAAAABACAAAAAkAQAAZHJzL2Uyb0RvYy54bWxQSwUGAAAAAAYABgBZAQAA5AUAAAAA&#10;">
                <v:fill on="t" focussize="0,0"/>
                <v:stroke weight="0.5pt" color="#000000 [3204]" joinstyle="round"/>
                <v:imagedata o:title=""/>
                <o:lock v:ext="edit" aspectratio="f"/>
                <v:textbox>
                  <w:txbxContent>
                    <w:p w14:paraId="4214C836">
                      <w:pPr>
                        <w:pStyle w:val="19"/>
                        <w:numPr>
                          <w:ilvl w:val="0"/>
                          <w:numId w:val="13"/>
                        </w:numPr>
                        <w:ind w:left="142" w:hanging="284"/>
                        <w:rPr>
                          <w:lang w:val="id-ID"/>
                        </w:rPr>
                      </w:pPr>
                      <w:r>
                        <w:rPr>
                          <w:lang w:val="id-ID"/>
                        </w:rPr>
                        <w:t xml:space="preserve">Rasio Likuiditas </w:t>
                      </w:r>
                    </w:p>
                    <w:p w14:paraId="32519F74">
                      <w:pPr>
                        <w:pStyle w:val="19"/>
                        <w:numPr>
                          <w:ilvl w:val="0"/>
                          <w:numId w:val="14"/>
                        </w:numPr>
                        <w:rPr>
                          <w:lang w:val="id-ID"/>
                        </w:rPr>
                      </w:pPr>
                      <w:r>
                        <w:rPr>
                          <w:lang w:val="id-ID"/>
                        </w:rPr>
                        <w:t>Dilihat dari curent rasio yang merupakan kemampuan perusahaan membayar hutang jangka pendek, maka Th. 2024 adalah yang terjelek dalam melunasi kewajiban jangka pendek. Tahun 2025 adalah tahun yang baik dalam melunasi kewajiban jangka pendek. Hal ini dilihat dari rasio 3 : 1 yang berarti Rp 1 hutang lancar dijamin ole aset lancar Rp 3</w:t>
                      </w:r>
                    </w:p>
                    <w:p w14:paraId="005EE4D5">
                      <w:pPr>
                        <w:pStyle w:val="19"/>
                        <w:numPr>
                          <w:ilvl w:val="0"/>
                          <w:numId w:val="14"/>
                        </w:numPr>
                        <w:rPr>
                          <w:lang w:val="id-ID"/>
                        </w:rPr>
                      </w:pPr>
                      <w:r>
                        <w:rPr>
                          <w:lang w:val="id-ID"/>
                        </w:rPr>
                        <w:t>Dilihat dari Quick rasio , pada tahun 2024 tingkat likuiditasnya kurang baik karena Quick rasionya 79,3% kurang dari 100%. Pada tahun 2023 dan Tahun 2025 tingkat likuiditasnya baik karena quick rasionya lebih dari 100%.</w:t>
                      </w:r>
                    </w:p>
                    <w:p w14:paraId="537D81FD">
                      <w:pPr>
                        <w:pStyle w:val="19"/>
                        <w:numPr>
                          <w:ilvl w:val="0"/>
                          <w:numId w:val="13"/>
                        </w:numPr>
                        <w:ind w:left="142" w:hanging="284"/>
                        <w:rPr>
                          <w:lang w:val="id-ID"/>
                        </w:rPr>
                      </w:pPr>
                      <w:r>
                        <w:rPr>
                          <w:lang w:val="id-ID"/>
                        </w:rPr>
                        <w:t xml:space="preserve">Rasio Leverage </w:t>
                      </w:r>
                    </w:p>
                    <w:p w14:paraId="10F0B31C">
                      <w:pPr>
                        <w:pStyle w:val="19"/>
                        <w:numPr>
                          <w:ilvl w:val="0"/>
                          <w:numId w:val="15"/>
                        </w:numPr>
                        <w:rPr>
                          <w:lang w:val="id-ID"/>
                        </w:rPr>
                      </w:pPr>
                      <w:r>
                        <w:rPr>
                          <w:lang w:val="id-ID"/>
                        </w:rPr>
                        <w:t xml:space="preserve">Dilihat dari Debt rasio. </w:t>
                      </w:r>
                    </w:p>
                    <w:p w14:paraId="7D14061F">
                      <w:pPr>
                        <w:pStyle w:val="19"/>
                        <w:ind w:left="502"/>
                        <w:rPr>
                          <w:lang w:val="id-ID"/>
                        </w:rPr>
                      </w:pPr>
                      <w:r>
                        <w:rPr>
                          <w:lang w:val="id-ID"/>
                        </w:rPr>
                        <w:t>Pada tahun 2023 deb rasio sebesar 51% dan terus</w:t>
                      </w:r>
                    </w:p>
                    <w:p w14:paraId="043BC202">
                      <w:pPr>
                        <w:pStyle w:val="19"/>
                        <w:ind w:left="502"/>
                        <w:rPr>
                          <w:lang w:val="id-ID"/>
                        </w:rPr>
                      </w:pPr>
                      <w:r>
                        <w:rPr>
                          <w:lang w:val="id-ID"/>
                        </w:rPr>
                        <w:t>Mengalami penurunan hingga akhir tahun 2025 sebesar 38% yang berarti rasio hutang semakin baik</w:t>
                      </w:r>
                    </w:p>
                    <w:p w14:paraId="038E8C30">
                      <w:pPr>
                        <w:pStyle w:val="19"/>
                        <w:numPr>
                          <w:ilvl w:val="0"/>
                          <w:numId w:val="15"/>
                        </w:numPr>
                        <w:rPr>
                          <w:lang w:val="id-ID"/>
                        </w:rPr>
                      </w:pPr>
                      <w:r>
                        <w:rPr>
                          <w:lang w:val="id-ID"/>
                        </w:rPr>
                        <w:t xml:space="preserve">Dilihat dari debt equity rasio dimana pada tahun-tahun tersebut lebih besar dari 66%. Ini berati rasio kepemilikan hutang semakin beresiko. </w:t>
                      </w:r>
                    </w:p>
                    <w:p w14:paraId="0EA4CF87">
                      <w:pPr>
                        <w:pStyle w:val="19"/>
                        <w:numPr>
                          <w:ilvl w:val="0"/>
                          <w:numId w:val="13"/>
                        </w:numPr>
                        <w:ind w:left="142" w:hanging="284"/>
                        <w:rPr>
                          <w:lang w:val="id-ID"/>
                        </w:rPr>
                      </w:pPr>
                      <w:r>
                        <w:rPr>
                          <w:lang w:val="id-ID"/>
                        </w:rPr>
                        <w:t xml:space="preserve">Dilihat dari Net working capital </w:t>
                      </w:r>
                    </w:p>
                    <w:p w14:paraId="63BA2976">
                      <w:pPr>
                        <w:pStyle w:val="19"/>
                        <w:ind w:left="142"/>
                        <w:rPr>
                          <w:lang w:val="id-ID"/>
                        </w:rPr>
                      </w:pPr>
                      <w:r>
                        <w:rPr>
                          <w:lang w:val="id-ID"/>
                        </w:rPr>
                        <w:t>Net working capital memeprlihatkan semua tahun baik. Karena bernilai Positip</w:t>
                      </w:r>
                    </w:p>
                  </w:txbxContent>
                </v:textbox>
              </v:shape>
            </w:pict>
          </mc:Fallback>
        </mc:AlternateContent>
      </w:r>
    </w:p>
    <w:p w14:paraId="6C5150B6">
      <w:pPr>
        <w:pStyle w:val="19"/>
        <w:spacing w:after="0" w:line="480" w:lineRule="auto"/>
        <w:jc w:val="both"/>
        <w:rPr>
          <w:rFonts w:ascii="Times New Roman" w:hAnsi="Times New Roman" w:cs="Times New Roman"/>
          <w:sz w:val="24"/>
          <w:szCs w:val="24"/>
          <w:lang w:val="id-ID"/>
        </w:rPr>
      </w:pPr>
    </w:p>
    <w:p w14:paraId="06924A7C">
      <w:pPr>
        <w:pStyle w:val="19"/>
        <w:spacing w:after="0" w:line="480" w:lineRule="auto"/>
        <w:jc w:val="both"/>
        <w:rPr>
          <w:rFonts w:ascii="Times New Roman" w:hAnsi="Times New Roman" w:cs="Times New Roman"/>
          <w:sz w:val="24"/>
          <w:szCs w:val="24"/>
          <w:lang w:val="id-ID"/>
        </w:rPr>
      </w:pPr>
    </w:p>
    <w:p w14:paraId="35402DF8">
      <w:pPr>
        <w:spacing w:after="0" w:line="480" w:lineRule="auto"/>
        <w:jc w:val="both"/>
        <w:rPr>
          <w:rFonts w:ascii="Times New Roman" w:hAnsi="Times New Roman" w:cs="Times New Roman"/>
          <w:sz w:val="24"/>
          <w:szCs w:val="24"/>
          <w:lang w:val="id-ID"/>
        </w:rPr>
      </w:pPr>
    </w:p>
    <w:p w14:paraId="7A306266">
      <w:pPr>
        <w:spacing w:after="0" w:line="480" w:lineRule="auto"/>
        <w:rPr>
          <w:rFonts w:ascii="Times New Roman" w:hAnsi="Times New Roman" w:cs="Times New Roman"/>
          <w:sz w:val="24"/>
          <w:szCs w:val="24"/>
          <w:lang w:val="id-ID"/>
        </w:rPr>
      </w:pPr>
    </w:p>
    <w:p w14:paraId="2D3BE50F">
      <w:pPr>
        <w:spacing w:after="0" w:line="480" w:lineRule="auto"/>
        <w:rPr>
          <w:rFonts w:ascii="Times New Roman" w:hAnsi="Times New Roman" w:cs="Times New Roman"/>
          <w:sz w:val="24"/>
          <w:szCs w:val="24"/>
          <w:lang w:val="id-ID"/>
        </w:rPr>
      </w:pPr>
    </w:p>
    <w:p w14:paraId="6DCF299E">
      <w:pPr>
        <w:spacing w:after="0" w:line="480" w:lineRule="auto"/>
        <w:rPr>
          <w:rFonts w:ascii="Times New Roman" w:hAnsi="Times New Roman" w:cs="Times New Roman"/>
          <w:sz w:val="24"/>
          <w:szCs w:val="24"/>
          <w:lang w:val="id-ID"/>
        </w:rPr>
      </w:pPr>
    </w:p>
    <w:p w14:paraId="3F7C82F1">
      <w:pPr>
        <w:spacing w:after="0" w:line="480" w:lineRule="auto"/>
        <w:rPr>
          <w:rFonts w:ascii="Times New Roman" w:hAnsi="Times New Roman" w:cs="Times New Roman"/>
          <w:sz w:val="24"/>
          <w:szCs w:val="24"/>
          <w:lang w:val="id-ID"/>
        </w:rPr>
      </w:pPr>
    </w:p>
    <w:p w14:paraId="26B82ACC">
      <w:pPr>
        <w:spacing w:after="0" w:line="480" w:lineRule="auto"/>
        <w:rPr>
          <w:rFonts w:ascii="Times New Roman" w:hAnsi="Times New Roman" w:cs="Times New Roman"/>
          <w:sz w:val="24"/>
          <w:szCs w:val="24"/>
          <w:lang w:val="id-ID"/>
        </w:rPr>
      </w:pPr>
    </w:p>
    <w:p w14:paraId="024EA662">
      <w:pPr>
        <w:spacing w:after="0" w:line="480" w:lineRule="auto"/>
        <w:rPr>
          <w:rFonts w:ascii="Times New Roman" w:hAnsi="Times New Roman" w:cs="Times New Roman"/>
          <w:sz w:val="24"/>
          <w:szCs w:val="24"/>
          <w:lang w:val="id-ID"/>
        </w:rPr>
      </w:pPr>
    </w:p>
    <w:p w14:paraId="1E51C203">
      <w:pPr>
        <w:spacing w:after="0" w:line="480" w:lineRule="auto"/>
        <w:rPr>
          <w:rFonts w:ascii="Times New Roman" w:hAnsi="Times New Roman" w:cs="Times New Roman"/>
          <w:sz w:val="24"/>
          <w:szCs w:val="24"/>
          <w:lang w:val="id-ID"/>
        </w:rPr>
      </w:pPr>
    </w:p>
    <w:p w14:paraId="418CC0B6">
      <w:pPr>
        <w:spacing w:after="0" w:line="480" w:lineRule="auto"/>
        <w:rPr>
          <w:rFonts w:ascii="Times New Roman" w:hAnsi="Times New Roman" w:cs="Times New Roman"/>
          <w:sz w:val="24"/>
          <w:szCs w:val="24"/>
          <w:lang w:val="id-ID"/>
        </w:rPr>
      </w:pPr>
    </w:p>
    <w:p w14:paraId="106A971E">
      <w:pPr>
        <w:tabs>
          <w:tab w:val="left" w:pos="6040"/>
        </w:tabs>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ab/>
      </w:r>
    </w:p>
    <w:p w14:paraId="643409DA">
      <w:pPr>
        <w:spacing w:after="0" w:line="480" w:lineRule="auto"/>
        <w:ind w:left="284"/>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DAFTAR PUSTAKA </w:t>
      </w:r>
    </w:p>
    <w:p w14:paraId="275093A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IAI, 2018, </w:t>
      </w:r>
      <w:r>
        <w:rPr>
          <w:rFonts w:ascii="Times New Roman" w:hAnsi="Times New Roman" w:cs="Times New Roman"/>
          <w:i/>
          <w:sz w:val="24"/>
          <w:szCs w:val="24"/>
          <w:lang w:val="id-ID"/>
        </w:rPr>
        <w:t>Modul  Brevet Pajak A dan B Terpadu</w:t>
      </w:r>
      <w:r>
        <w:rPr>
          <w:rFonts w:ascii="Times New Roman" w:hAnsi="Times New Roman" w:cs="Times New Roman"/>
          <w:sz w:val="24"/>
          <w:szCs w:val="24"/>
          <w:lang w:val="id-ID"/>
        </w:rPr>
        <w:t xml:space="preserve">,  </w:t>
      </w:r>
    </w:p>
    <w:p w14:paraId="593E4CE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Pr>
          <w:rFonts w:ascii="Times New Roman" w:hAnsi="Times New Roman" w:cs="Times New Roman"/>
          <w:i/>
          <w:sz w:val="24"/>
          <w:szCs w:val="24"/>
          <w:lang w:val="id-ID"/>
        </w:rPr>
        <w:t>Pengantar Akuntansi 1</w:t>
      </w:r>
      <w:r>
        <w:rPr>
          <w:rFonts w:ascii="Times New Roman" w:hAnsi="Times New Roman" w:cs="Times New Roman"/>
          <w:sz w:val="24"/>
          <w:szCs w:val="24"/>
          <w:lang w:val="id-ID"/>
        </w:rPr>
        <w:t>, Penerbit Salemba Empat, Jakarta.</w:t>
      </w:r>
    </w:p>
    <w:p w14:paraId="461A34A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Pr>
          <w:rFonts w:ascii="Times New Roman" w:hAnsi="Times New Roman" w:cs="Times New Roman"/>
          <w:i/>
          <w:sz w:val="24"/>
          <w:szCs w:val="24"/>
          <w:lang w:val="id-ID"/>
        </w:rPr>
        <w:t>Pengantar Akuntansi 2</w:t>
      </w:r>
      <w:r>
        <w:rPr>
          <w:rFonts w:ascii="Times New Roman" w:hAnsi="Times New Roman" w:cs="Times New Roman"/>
          <w:sz w:val="24"/>
          <w:szCs w:val="24"/>
          <w:lang w:val="id-ID"/>
        </w:rPr>
        <w:t>, Penerbit Salemba Empat, Jakarta.</w:t>
      </w:r>
    </w:p>
    <w:p w14:paraId="7663D877">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Peraturan Menteri Keuangan No. 197/PMK.03/2013, tentang Pengusaha Kecil </w:t>
      </w:r>
    </w:p>
    <w:p w14:paraId="6F744497">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2018, </w:t>
      </w:r>
      <w:r>
        <w:rPr>
          <w:rFonts w:ascii="Times New Roman" w:hAnsi="Times New Roman" w:cs="Times New Roman"/>
          <w:i/>
          <w:sz w:val="24"/>
          <w:szCs w:val="24"/>
          <w:lang w:val="id-ID"/>
        </w:rPr>
        <w:t>Akuntansi Keuangan Menengah</w:t>
      </w:r>
      <w:r>
        <w:rPr>
          <w:rFonts w:ascii="Times New Roman" w:hAnsi="Times New Roman" w:cs="Times New Roman"/>
          <w:sz w:val="24"/>
          <w:szCs w:val="24"/>
          <w:lang w:val="id-ID"/>
        </w:rPr>
        <w:t xml:space="preserve"> Edisi IFRS, Penerbit Salemba Empat Jakarta.</w:t>
      </w:r>
    </w:p>
    <w:p w14:paraId="5A783C55">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Rinald J Ebert, 2014 </w:t>
      </w:r>
      <w:r>
        <w:rPr>
          <w:rFonts w:ascii="Times New Roman" w:hAnsi="Times New Roman" w:cs="Times New Roman"/>
          <w:i/>
          <w:sz w:val="24"/>
          <w:szCs w:val="24"/>
          <w:lang w:val="id-ID"/>
        </w:rPr>
        <w:t>Pengantar Bisnis</w:t>
      </w:r>
      <w:r>
        <w:rPr>
          <w:rFonts w:ascii="Times New Roman" w:hAnsi="Times New Roman" w:cs="Times New Roman"/>
          <w:sz w:val="24"/>
          <w:szCs w:val="24"/>
          <w:lang w:val="id-ID"/>
        </w:rPr>
        <w:t xml:space="preserve">, Penerbit Salemba Empat Jakarta </w:t>
      </w:r>
    </w:p>
    <w:p w14:paraId="4F3A5022">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Pr>
          <w:rFonts w:ascii="Times New Roman" w:hAnsi="Times New Roman" w:cs="Times New Roman"/>
          <w:i/>
          <w:sz w:val="24"/>
          <w:szCs w:val="24"/>
          <w:lang w:val="id-ID"/>
        </w:rPr>
        <w:t>Akuntansi Manajemen</w:t>
      </w:r>
      <w:r>
        <w:rPr>
          <w:rFonts w:ascii="Times New Roman" w:hAnsi="Times New Roman" w:cs="Times New Roman"/>
          <w:sz w:val="24"/>
          <w:szCs w:val="24"/>
          <w:lang w:val="id-ID"/>
        </w:rPr>
        <w:t>, Konsep Manfaat dan Rekayasa, Penerbit Salemba Empat Jakarta.</w:t>
      </w:r>
    </w:p>
    <w:sectPr>
      <w:footerReference r:id="rId7" w:type="default"/>
      <w:pgSz w:w="11910" w:h="16840"/>
      <w:pgMar w:top="1340" w:right="1700" w:bottom="1100" w:left="1417" w:header="711" w:footer="906"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18T22:16:54Z" w:initials="">
    <w:p w14:paraId="5E8B6300">
      <w:pPr>
        <w:pStyle w:val="10"/>
        <w:rPr>
          <w:rFonts w:hint="default"/>
          <w:lang w:val="en-US"/>
        </w:rPr>
      </w:pPr>
      <w:r>
        <w:rPr>
          <w:rFonts w:hint="default"/>
          <w:lang w:val="en-US"/>
        </w:rPr>
        <w:t>Pendahuluan terlalu pendek, dan perlu ada kutipan</w:t>
      </w:r>
    </w:p>
  </w:comment>
  <w:comment w:id="1" w:author="WPS_1749506791" w:date="2026-06-18T22:18:27Z" w:initials="">
    <w:p w14:paraId="799B5FAB">
      <w:pPr>
        <w:pStyle w:val="10"/>
        <w:rPr>
          <w:rFonts w:hint="default"/>
          <w:lang w:val="en-US"/>
        </w:rPr>
      </w:pPr>
      <w:r>
        <w:rPr>
          <w:rFonts w:hint="default"/>
          <w:lang w:val="en-US"/>
        </w:rPr>
        <w:t>Jika isi seperti ini terlihat seperti makalah</w:t>
      </w:r>
    </w:p>
    <w:p w14:paraId="7BD8643C">
      <w:pPr>
        <w:pStyle w:val="10"/>
        <w:rPr>
          <w:rFonts w:hint="default"/>
          <w:lang w:val="en-US"/>
        </w:rPr>
      </w:pPr>
      <w:r>
        <w:rPr>
          <w:rFonts w:hint="default"/>
          <w:lang w:val="en-US"/>
        </w:rPr>
        <w:t>Harap diperhtikan isi konteks jurnal adalah</w:t>
      </w:r>
    </w:p>
    <w:p w14:paraId="76AE8237">
      <w:pPr>
        <w:pStyle w:val="10"/>
        <w:numPr>
          <w:ilvl w:val="0"/>
          <w:numId w:val="1"/>
        </w:numPr>
        <w:rPr>
          <w:rFonts w:hint="default"/>
          <w:lang w:val="en-US"/>
        </w:rPr>
      </w:pPr>
      <w:r>
        <w:rPr>
          <w:rFonts w:hint="default"/>
          <w:lang w:val="en-US"/>
        </w:rPr>
        <w:t>Pendahuluan</w:t>
      </w:r>
    </w:p>
    <w:p w14:paraId="7383F963">
      <w:pPr>
        <w:pStyle w:val="10"/>
        <w:numPr>
          <w:ilvl w:val="0"/>
          <w:numId w:val="1"/>
        </w:numPr>
        <w:rPr>
          <w:rFonts w:hint="default"/>
          <w:lang w:val="en-US"/>
        </w:rPr>
      </w:pPr>
      <w:r>
        <w:rPr>
          <w:rFonts w:hint="default"/>
          <w:lang w:val="en-US"/>
        </w:rPr>
        <w:t>Metode pelaksanaan</w:t>
      </w:r>
    </w:p>
    <w:p w14:paraId="658ECD77">
      <w:pPr>
        <w:pStyle w:val="10"/>
        <w:numPr>
          <w:ilvl w:val="0"/>
          <w:numId w:val="1"/>
        </w:numPr>
        <w:rPr>
          <w:rFonts w:hint="default"/>
          <w:lang w:val="en-US"/>
        </w:rPr>
      </w:pPr>
      <w:r>
        <w:rPr>
          <w:rFonts w:hint="default"/>
          <w:lang w:val="en-US"/>
        </w:rPr>
        <w:t xml:space="preserve">Hasil pelaksanaan </w:t>
      </w:r>
    </w:p>
    <w:p w14:paraId="06495B3B">
      <w:pPr>
        <w:pStyle w:val="10"/>
        <w:numPr>
          <w:ilvl w:val="0"/>
          <w:numId w:val="1"/>
        </w:numPr>
        <w:rPr>
          <w:rFonts w:hint="default"/>
          <w:lang w:val="en-US"/>
        </w:rPr>
      </w:pPr>
      <w:r>
        <w:rPr>
          <w:rFonts w:hint="default"/>
          <w:lang w:val="en-US"/>
        </w:rPr>
        <w:t>Pembahasan</w:t>
      </w:r>
    </w:p>
    <w:p w14:paraId="2BA98340">
      <w:pPr>
        <w:pStyle w:val="10"/>
        <w:numPr>
          <w:ilvl w:val="0"/>
          <w:numId w:val="1"/>
        </w:numPr>
        <w:rPr>
          <w:rFonts w:hint="default"/>
          <w:lang w:val="en-US"/>
        </w:rPr>
      </w:pPr>
      <w:r>
        <w:rPr>
          <w:rFonts w:hint="default"/>
          <w:lang w:val="en-US"/>
        </w:rPr>
        <w:t>Kesimpulan</w:t>
      </w:r>
    </w:p>
    <w:p w14:paraId="643DE58F">
      <w:pPr>
        <w:pStyle w:val="10"/>
        <w:numPr>
          <w:numId w:val="0"/>
        </w:numPr>
        <w:spacing w:after="160" w:line="259" w:lineRule="auto"/>
        <w:jc w:val="left"/>
        <w:rPr>
          <w:rFonts w:hint="default"/>
          <w:lang w:val="en-US"/>
        </w:rPr>
      </w:pPr>
    </w:p>
    <w:p w14:paraId="3AC043DB">
      <w:pPr>
        <w:pStyle w:val="10"/>
        <w:numPr>
          <w:numId w:val="0"/>
        </w:numPr>
        <w:spacing w:after="160" w:line="259" w:lineRule="auto"/>
        <w:jc w:val="left"/>
        <w:rPr>
          <w:rFonts w:hint="default"/>
          <w:lang w:val="en-US"/>
        </w:rPr>
      </w:pPr>
    </w:p>
  </w:comment>
  <w:comment w:id="2" w:author="WPS_1749506791" w:date="2026-06-18T22:20:43Z" w:initials="">
    <w:p w14:paraId="4670AB49">
      <w:pPr>
        <w:pStyle w:val="10"/>
        <w:rPr>
          <w:rFonts w:hint="default"/>
          <w:lang w:val="en-US"/>
        </w:rPr>
      </w:pPr>
      <w:r>
        <w:rPr>
          <w:rFonts w:hint="default"/>
          <w:lang w:val="en-US"/>
        </w:rPr>
        <w:t>Kesimpulan adalah kesimpulan dari hasil kegiatan</w:t>
      </w:r>
    </w:p>
    <w:p w14:paraId="716D1B69">
      <w:pPr>
        <w:pStyle w:val="10"/>
        <w:rPr>
          <w:rFonts w:hint="default"/>
          <w:lang w:val="en-US"/>
        </w:rPr>
      </w:pPr>
      <w:r>
        <w:rPr>
          <w:rFonts w:hint="default"/>
          <w:lang w:val="en-US"/>
        </w:rPr>
        <w:t>Bukan narasi seperti ini</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8B6300" w15:done="0"/>
  <w15:commentEx w15:paraId="3AC043DB" w15:done="0"/>
  <w15:commentEx w15:paraId="716D1B6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81705"/>
      <w:docPartObj>
        <w:docPartGallery w:val="AutoText"/>
      </w:docPartObj>
    </w:sdtPr>
    <w:sdtContent>
      <w:p w14:paraId="6125F4D6">
        <w:pPr>
          <w:pStyle w:val="13"/>
          <w:jc w:val="right"/>
        </w:pPr>
        <w:r>
          <w:fldChar w:fldCharType="begin"/>
        </w:r>
        <w:r>
          <w:instrText xml:space="preserve"> PAGE   \* MERGEFORMAT </w:instrText>
        </w:r>
        <w:r>
          <w:fldChar w:fldCharType="separate"/>
        </w:r>
        <w:r>
          <w:t>20</w:t>
        </w:r>
        <w:r>
          <w:fldChar w:fldCharType="end"/>
        </w:r>
      </w:p>
    </w:sdtContent>
  </w:sdt>
  <w:p w14:paraId="082E9667">
    <w:pPr>
      <w:pStyle w:val="13"/>
      <w:tabs>
        <w:tab w:val="left" w:pos="3050"/>
        <w:tab w:val="clear" w:pos="4513"/>
        <w:tab w:val="clear" w:pos="9026"/>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AC4020"/>
    <w:multiLevelType w:val="singleLevel"/>
    <w:tmpl w:val="A6AC4020"/>
    <w:lvl w:ilvl="0" w:tentative="0">
      <w:start w:val="1"/>
      <w:numFmt w:val="decimal"/>
      <w:suff w:val="space"/>
      <w:lvlText w:val="%1."/>
      <w:lvlJc w:val="left"/>
    </w:lvl>
  </w:abstractNum>
  <w:abstractNum w:abstractNumId="1">
    <w:nsid w:val="018B5A10"/>
    <w:multiLevelType w:val="multilevel"/>
    <w:tmpl w:val="018B5A1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F94F5A"/>
    <w:multiLevelType w:val="multilevel"/>
    <w:tmpl w:val="05F94F5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9E235C3"/>
    <w:multiLevelType w:val="multilevel"/>
    <w:tmpl w:val="19E235C3"/>
    <w:lvl w:ilvl="0" w:tentative="0">
      <w:start w:val="1"/>
      <w:numFmt w:val="decimal"/>
      <w:lvlText w:val="%1."/>
      <w:lvlJc w:val="left"/>
      <w:pPr>
        <w:ind w:left="1005" w:hanging="360"/>
      </w:pPr>
      <w:rPr>
        <w:rFonts w:hint="default"/>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4">
    <w:nsid w:val="1BC7542E"/>
    <w:multiLevelType w:val="multilevel"/>
    <w:tmpl w:val="1BC7542E"/>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BD6104A"/>
    <w:multiLevelType w:val="multilevel"/>
    <w:tmpl w:val="1BD6104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7B75636"/>
    <w:multiLevelType w:val="multilevel"/>
    <w:tmpl w:val="27B75636"/>
    <w:lvl w:ilvl="0" w:tentative="0">
      <w:start w:val="1"/>
      <w:numFmt w:val="lowerLetter"/>
      <w:lvlText w:val="%1."/>
      <w:lvlJc w:val="left"/>
      <w:pPr>
        <w:ind w:left="1005" w:hanging="360"/>
      </w:pPr>
      <w:rPr>
        <w:rFonts w:hint="default"/>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7">
    <w:nsid w:val="2FCF6560"/>
    <w:multiLevelType w:val="multilevel"/>
    <w:tmpl w:val="2FCF6560"/>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8">
    <w:nsid w:val="4E833577"/>
    <w:multiLevelType w:val="multilevel"/>
    <w:tmpl w:val="4E833577"/>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9">
    <w:nsid w:val="5A071A70"/>
    <w:multiLevelType w:val="multilevel"/>
    <w:tmpl w:val="5A071A70"/>
    <w:lvl w:ilvl="0" w:tentative="0">
      <w:start w:val="1"/>
      <w:numFmt w:val="decimal"/>
      <w:lvlText w:val="%1."/>
      <w:lvlJc w:val="left"/>
      <w:pPr>
        <w:ind w:left="645" w:hanging="360"/>
      </w:pPr>
      <w:rPr>
        <w:rFonts w:hint="default"/>
      </w:rPr>
    </w:lvl>
    <w:lvl w:ilvl="1" w:tentative="0">
      <w:start w:val="1"/>
      <w:numFmt w:val="lowerLetter"/>
      <w:lvlText w:val="%2."/>
      <w:lvlJc w:val="left"/>
      <w:pPr>
        <w:ind w:left="1365" w:hanging="360"/>
      </w:pPr>
    </w:lvl>
    <w:lvl w:ilvl="2" w:tentative="0">
      <w:start w:val="1"/>
      <w:numFmt w:val="lowerRoman"/>
      <w:lvlText w:val="%3."/>
      <w:lvlJc w:val="right"/>
      <w:pPr>
        <w:ind w:left="2085" w:hanging="180"/>
      </w:pPr>
    </w:lvl>
    <w:lvl w:ilvl="3" w:tentative="0">
      <w:start w:val="1"/>
      <w:numFmt w:val="decimal"/>
      <w:lvlText w:val="%4."/>
      <w:lvlJc w:val="left"/>
      <w:pPr>
        <w:ind w:left="2805" w:hanging="360"/>
      </w:pPr>
    </w:lvl>
    <w:lvl w:ilvl="4" w:tentative="0">
      <w:start w:val="1"/>
      <w:numFmt w:val="lowerLetter"/>
      <w:lvlText w:val="%5."/>
      <w:lvlJc w:val="left"/>
      <w:pPr>
        <w:ind w:left="3525" w:hanging="360"/>
      </w:pPr>
    </w:lvl>
    <w:lvl w:ilvl="5" w:tentative="0">
      <w:start w:val="1"/>
      <w:numFmt w:val="lowerRoman"/>
      <w:lvlText w:val="%6."/>
      <w:lvlJc w:val="right"/>
      <w:pPr>
        <w:ind w:left="4245" w:hanging="180"/>
      </w:pPr>
    </w:lvl>
    <w:lvl w:ilvl="6" w:tentative="0">
      <w:start w:val="1"/>
      <w:numFmt w:val="decimal"/>
      <w:lvlText w:val="%7."/>
      <w:lvlJc w:val="left"/>
      <w:pPr>
        <w:ind w:left="4965" w:hanging="360"/>
      </w:pPr>
    </w:lvl>
    <w:lvl w:ilvl="7" w:tentative="0">
      <w:start w:val="1"/>
      <w:numFmt w:val="lowerLetter"/>
      <w:lvlText w:val="%8."/>
      <w:lvlJc w:val="left"/>
      <w:pPr>
        <w:ind w:left="5685" w:hanging="360"/>
      </w:pPr>
    </w:lvl>
    <w:lvl w:ilvl="8" w:tentative="0">
      <w:start w:val="1"/>
      <w:numFmt w:val="lowerRoman"/>
      <w:lvlText w:val="%9."/>
      <w:lvlJc w:val="right"/>
      <w:pPr>
        <w:ind w:left="6405" w:hanging="180"/>
      </w:pPr>
    </w:lvl>
  </w:abstractNum>
  <w:abstractNum w:abstractNumId="10">
    <w:nsid w:val="5CE208AB"/>
    <w:multiLevelType w:val="multilevel"/>
    <w:tmpl w:val="5CE208A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5012C71"/>
    <w:multiLevelType w:val="multilevel"/>
    <w:tmpl w:val="65012C7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2CE0832"/>
    <w:multiLevelType w:val="multilevel"/>
    <w:tmpl w:val="72CE0832"/>
    <w:lvl w:ilvl="0" w:tentative="0">
      <w:start w:val="1"/>
      <w:numFmt w:val="decimal"/>
      <w:lvlText w:val="%1."/>
      <w:lvlJc w:val="left"/>
      <w:pPr>
        <w:ind w:left="660" w:hanging="360"/>
      </w:pPr>
      <w:rPr>
        <w:rFonts w:hint="default"/>
      </w:rPr>
    </w:lvl>
    <w:lvl w:ilvl="1" w:tentative="0">
      <w:start w:val="1"/>
      <w:numFmt w:val="lowerLetter"/>
      <w:lvlText w:val="%2."/>
      <w:lvlJc w:val="left"/>
      <w:pPr>
        <w:ind w:left="1380" w:hanging="360"/>
      </w:pPr>
    </w:lvl>
    <w:lvl w:ilvl="2" w:tentative="0">
      <w:start w:val="1"/>
      <w:numFmt w:val="lowerRoman"/>
      <w:lvlText w:val="%3."/>
      <w:lvlJc w:val="right"/>
      <w:pPr>
        <w:ind w:left="2100" w:hanging="180"/>
      </w:pPr>
    </w:lvl>
    <w:lvl w:ilvl="3" w:tentative="0">
      <w:start w:val="1"/>
      <w:numFmt w:val="decimal"/>
      <w:lvlText w:val="%4."/>
      <w:lvlJc w:val="left"/>
      <w:pPr>
        <w:ind w:left="2820" w:hanging="360"/>
      </w:pPr>
    </w:lvl>
    <w:lvl w:ilvl="4" w:tentative="0">
      <w:start w:val="1"/>
      <w:numFmt w:val="lowerLetter"/>
      <w:lvlText w:val="%5."/>
      <w:lvlJc w:val="left"/>
      <w:pPr>
        <w:ind w:left="3540" w:hanging="360"/>
      </w:pPr>
    </w:lvl>
    <w:lvl w:ilvl="5" w:tentative="0">
      <w:start w:val="1"/>
      <w:numFmt w:val="lowerRoman"/>
      <w:lvlText w:val="%6."/>
      <w:lvlJc w:val="right"/>
      <w:pPr>
        <w:ind w:left="4260" w:hanging="180"/>
      </w:pPr>
    </w:lvl>
    <w:lvl w:ilvl="6" w:tentative="0">
      <w:start w:val="1"/>
      <w:numFmt w:val="decimal"/>
      <w:lvlText w:val="%7."/>
      <w:lvlJc w:val="left"/>
      <w:pPr>
        <w:ind w:left="4980" w:hanging="360"/>
      </w:pPr>
    </w:lvl>
    <w:lvl w:ilvl="7" w:tentative="0">
      <w:start w:val="1"/>
      <w:numFmt w:val="lowerLetter"/>
      <w:lvlText w:val="%8."/>
      <w:lvlJc w:val="left"/>
      <w:pPr>
        <w:ind w:left="5700" w:hanging="360"/>
      </w:pPr>
    </w:lvl>
    <w:lvl w:ilvl="8" w:tentative="0">
      <w:start w:val="1"/>
      <w:numFmt w:val="lowerRoman"/>
      <w:lvlText w:val="%9."/>
      <w:lvlJc w:val="right"/>
      <w:pPr>
        <w:ind w:left="6420" w:hanging="180"/>
      </w:pPr>
    </w:lvl>
  </w:abstractNum>
  <w:abstractNum w:abstractNumId="13">
    <w:nsid w:val="73FA1457"/>
    <w:multiLevelType w:val="multilevel"/>
    <w:tmpl w:val="73FA1457"/>
    <w:lvl w:ilvl="0" w:tentative="0">
      <w:start w:val="1"/>
      <w:numFmt w:val="decimal"/>
      <w:lvlText w:val="%1."/>
      <w:lvlJc w:val="left"/>
      <w:pPr>
        <w:ind w:left="1020" w:hanging="360"/>
      </w:pPr>
      <w:rPr>
        <w:rFonts w:hint="default"/>
      </w:rPr>
    </w:lvl>
    <w:lvl w:ilvl="1" w:tentative="0">
      <w:start w:val="1"/>
      <w:numFmt w:val="lowerLetter"/>
      <w:lvlText w:val="%2."/>
      <w:lvlJc w:val="left"/>
      <w:pPr>
        <w:ind w:left="1740" w:hanging="360"/>
      </w:pPr>
    </w:lvl>
    <w:lvl w:ilvl="2" w:tentative="0">
      <w:start w:val="1"/>
      <w:numFmt w:val="lowerRoman"/>
      <w:lvlText w:val="%3."/>
      <w:lvlJc w:val="right"/>
      <w:pPr>
        <w:ind w:left="2460" w:hanging="180"/>
      </w:pPr>
    </w:lvl>
    <w:lvl w:ilvl="3" w:tentative="0">
      <w:start w:val="1"/>
      <w:numFmt w:val="decimal"/>
      <w:lvlText w:val="%4."/>
      <w:lvlJc w:val="left"/>
      <w:pPr>
        <w:ind w:left="3180" w:hanging="360"/>
      </w:pPr>
    </w:lvl>
    <w:lvl w:ilvl="4" w:tentative="0">
      <w:start w:val="1"/>
      <w:numFmt w:val="lowerLetter"/>
      <w:lvlText w:val="%5."/>
      <w:lvlJc w:val="left"/>
      <w:pPr>
        <w:ind w:left="3900" w:hanging="360"/>
      </w:pPr>
    </w:lvl>
    <w:lvl w:ilvl="5" w:tentative="0">
      <w:start w:val="1"/>
      <w:numFmt w:val="lowerRoman"/>
      <w:lvlText w:val="%6."/>
      <w:lvlJc w:val="right"/>
      <w:pPr>
        <w:ind w:left="4620" w:hanging="180"/>
      </w:pPr>
    </w:lvl>
    <w:lvl w:ilvl="6" w:tentative="0">
      <w:start w:val="1"/>
      <w:numFmt w:val="decimal"/>
      <w:lvlText w:val="%7."/>
      <w:lvlJc w:val="left"/>
      <w:pPr>
        <w:ind w:left="5340" w:hanging="360"/>
      </w:pPr>
    </w:lvl>
    <w:lvl w:ilvl="7" w:tentative="0">
      <w:start w:val="1"/>
      <w:numFmt w:val="lowerLetter"/>
      <w:lvlText w:val="%8."/>
      <w:lvlJc w:val="left"/>
      <w:pPr>
        <w:ind w:left="6060" w:hanging="360"/>
      </w:pPr>
    </w:lvl>
    <w:lvl w:ilvl="8" w:tentative="0">
      <w:start w:val="1"/>
      <w:numFmt w:val="lowerRoman"/>
      <w:lvlText w:val="%9."/>
      <w:lvlJc w:val="right"/>
      <w:pPr>
        <w:ind w:left="6780" w:hanging="180"/>
      </w:pPr>
    </w:lvl>
  </w:abstractNum>
  <w:abstractNum w:abstractNumId="14">
    <w:nsid w:val="748F6B44"/>
    <w:multiLevelType w:val="multilevel"/>
    <w:tmpl w:val="748F6B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0"/>
  </w:num>
  <w:num w:numId="3">
    <w:abstractNumId w:val="12"/>
  </w:num>
  <w:num w:numId="4">
    <w:abstractNumId w:val="13"/>
  </w:num>
  <w:num w:numId="5">
    <w:abstractNumId w:val="9"/>
  </w:num>
  <w:num w:numId="6">
    <w:abstractNumId w:val="6"/>
  </w:num>
  <w:num w:numId="7">
    <w:abstractNumId w:val="3"/>
  </w:num>
  <w:num w:numId="8">
    <w:abstractNumId w:val="14"/>
  </w:num>
  <w:num w:numId="9">
    <w:abstractNumId w:val="1"/>
  </w:num>
  <w:num w:numId="10">
    <w:abstractNumId w:val="4"/>
  </w:num>
  <w:num w:numId="11">
    <w:abstractNumId w:val="5"/>
  </w:num>
  <w:num w:numId="12">
    <w:abstractNumId w:val="2"/>
  </w:num>
  <w:num w:numId="13">
    <w:abstractNumId w:val="11"/>
  </w:num>
  <w:num w:numId="14">
    <w:abstractNumId w:val="8"/>
  </w:num>
  <w:num w:numId="15">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004"/>
    <w:rsid w:val="000030C5"/>
    <w:rsid w:val="00004209"/>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47626"/>
    <w:rsid w:val="00052468"/>
    <w:rsid w:val="00054478"/>
    <w:rsid w:val="00054732"/>
    <w:rsid w:val="0006051D"/>
    <w:rsid w:val="00062228"/>
    <w:rsid w:val="000648B5"/>
    <w:rsid w:val="00070424"/>
    <w:rsid w:val="00077AC3"/>
    <w:rsid w:val="00081A47"/>
    <w:rsid w:val="0008315C"/>
    <w:rsid w:val="00087FE5"/>
    <w:rsid w:val="00092F9D"/>
    <w:rsid w:val="00093249"/>
    <w:rsid w:val="00093C5E"/>
    <w:rsid w:val="000A020B"/>
    <w:rsid w:val="000C113C"/>
    <w:rsid w:val="000C77C3"/>
    <w:rsid w:val="000C7C24"/>
    <w:rsid w:val="000D0031"/>
    <w:rsid w:val="000D18DA"/>
    <w:rsid w:val="000D2823"/>
    <w:rsid w:val="000D524A"/>
    <w:rsid w:val="000D73A5"/>
    <w:rsid w:val="000E3F1A"/>
    <w:rsid w:val="000E7F9A"/>
    <w:rsid w:val="000F2B2B"/>
    <w:rsid w:val="000F70E8"/>
    <w:rsid w:val="00107808"/>
    <w:rsid w:val="001106B5"/>
    <w:rsid w:val="00115513"/>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955A6"/>
    <w:rsid w:val="001A5284"/>
    <w:rsid w:val="001B503F"/>
    <w:rsid w:val="001B59FA"/>
    <w:rsid w:val="001C0FFE"/>
    <w:rsid w:val="001D2DD3"/>
    <w:rsid w:val="001E1FD0"/>
    <w:rsid w:val="001E7507"/>
    <w:rsid w:val="00200F02"/>
    <w:rsid w:val="002041C7"/>
    <w:rsid w:val="00206045"/>
    <w:rsid w:val="0020792A"/>
    <w:rsid w:val="00212579"/>
    <w:rsid w:val="00212943"/>
    <w:rsid w:val="002169E1"/>
    <w:rsid w:val="002246E5"/>
    <w:rsid w:val="00230CDB"/>
    <w:rsid w:val="00233C9A"/>
    <w:rsid w:val="00234B72"/>
    <w:rsid w:val="0023503B"/>
    <w:rsid w:val="00241791"/>
    <w:rsid w:val="00241F80"/>
    <w:rsid w:val="00242ED2"/>
    <w:rsid w:val="00244229"/>
    <w:rsid w:val="002453B9"/>
    <w:rsid w:val="00247144"/>
    <w:rsid w:val="002520B6"/>
    <w:rsid w:val="00254844"/>
    <w:rsid w:val="00257143"/>
    <w:rsid w:val="00261B12"/>
    <w:rsid w:val="00263B09"/>
    <w:rsid w:val="00266B1D"/>
    <w:rsid w:val="00273A25"/>
    <w:rsid w:val="002801AC"/>
    <w:rsid w:val="002851F1"/>
    <w:rsid w:val="00291A54"/>
    <w:rsid w:val="002B654F"/>
    <w:rsid w:val="002C4BB3"/>
    <w:rsid w:val="002D281E"/>
    <w:rsid w:val="002E0C2F"/>
    <w:rsid w:val="002F0087"/>
    <w:rsid w:val="002F122F"/>
    <w:rsid w:val="00301309"/>
    <w:rsid w:val="00312A48"/>
    <w:rsid w:val="00313202"/>
    <w:rsid w:val="0031740C"/>
    <w:rsid w:val="00317B79"/>
    <w:rsid w:val="00321860"/>
    <w:rsid w:val="00324D08"/>
    <w:rsid w:val="00327E27"/>
    <w:rsid w:val="00342E9B"/>
    <w:rsid w:val="003439AE"/>
    <w:rsid w:val="003547D0"/>
    <w:rsid w:val="00360565"/>
    <w:rsid w:val="00361B28"/>
    <w:rsid w:val="00366313"/>
    <w:rsid w:val="0037558E"/>
    <w:rsid w:val="00376C55"/>
    <w:rsid w:val="00384517"/>
    <w:rsid w:val="00385D1F"/>
    <w:rsid w:val="00390233"/>
    <w:rsid w:val="0039155A"/>
    <w:rsid w:val="0039194B"/>
    <w:rsid w:val="003919FF"/>
    <w:rsid w:val="003931AA"/>
    <w:rsid w:val="003A13BF"/>
    <w:rsid w:val="003A2ABC"/>
    <w:rsid w:val="003A3528"/>
    <w:rsid w:val="003A49E1"/>
    <w:rsid w:val="003B23CF"/>
    <w:rsid w:val="003B258C"/>
    <w:rsid w:val="003B25F9"/>
    <w:rsid w:val="003C10DD"/>
    <w:rsid w:val="003C1F0A"/>
    <w:rsid w:val="003C38BA"/>
    <w:rsid w:val="003D0136"/>
    <w:rsid w:val="003D4B86"/>
    <w:rsid w:val="003D6165"/>
    <w:rsid w:val="003E1BF6"/>
    <w:rsid w:val="003E2703"/>
    <w:rsid w:val="003F1901"/>
    <w:rsid w:val="003F50E2"/>
    <w:rsid w:val="004030B1"/>
    <w:rsid w:val="004069B7"/>
    <w:rsid w:val="00407A99"/>
    <w:rsid w:val="00407C8F"/>
    <w:rsid w:val="004124DA"/>
    <w:rsid w:val="00414150"/>
    <w:rsid w:val="00422A27"/>
    <w:rsid w:val="004236E4"/>
    <w:rsid w:val="00427021"/>
    <w:rsid w:val="0042745E"/>
    <w:rsid w:val="0043351B"/>
    <w:rsid w:val="0043366B"/>
    <w:rsid w:val="004361D8"/>
    <w:rsid w:val="00440012"/>
    <w:rsid w:val="004402C9"/>
    <w:rsid w:val="00440787"/>
    <w:rsid w:val="0044325E"/>
    <w:rsid w:val="00445887"/>
    <w:rsid w:val="00456930"/>
    <w:rsid w:val="00456E87"/>
    <w:rsid w:val="00460914"/>
    <w:rsid w:val="00463A2D"/>
    <w:rsid w:val="00465066"/>
    <w:rsid w:val="004674A5"/>
    <w:rsid w:val="00472C4B"/>
    <w:rsid w:val="00472D32"/>
    <w:rsid w:val="0047451F"/>
    <w:rsid w:val="00475402"/>
    <w:rsid w:val="00482039"/>
    <w:rsid w:val="004855A3"/>
    <w:rsid w:val="00487603"/>
    <w:rsid w:val="00487784"/>
    <w:rsid w:val="0049075C"/>
    <w:rsid w:val="00496617"/>
    <w:rsid w:val="00497BFC"/>
    <w:rsid w:val="004A1AFC"/>
    <w:rsid w:val="004A4287"/>
    <w:rsid w:val="004B68AF"/>
    <w:rsid w:val="004C0305"/>
    <w:rsid w:val="004C1ECF"/>
    <w:rsid w:val="004C3AEA"/>
    <w:rsid w:val="004D2D12"/>
    <w:rsid w:val="004F1160"/>
    <w:rsid w:val="004F444C"/>
    <w:rsid w:val="004F764D"/>
    <w:rsid w:val="00503351"/>
    <w:rsid w:val="00504748"/>
    <w:rsid w:val="005105B1"/>
    <w:rsid w:val="005111DC"/>
    <w:rsid w:val="005112DC"/>
    <w:rsid w:val="0051354F"/>
    <w:rsid w:val="00513FA0"/>
    <w:rsid w:val="00514A7A"/>
    <w:rsid w:val="00517E6E"/>
    <w:rsid w:val="00523C75"/>
    <w:rsid w:val="0053108D"/>
    <w:rsid w:val="00536878"/>
    <w:rsid w:val="00536D59"/>
    <w:rsid w:val="0054122B"/>
    <w:rsid w:val="005429C5"/>
    <w:rsid w:val="00550D74"/>
    <w:rsid w:val="005578B6"/>
    <w:rsid w:val="005601DF"/>
    <w:rsid w:val="00562922"/>
    <w:rsid w:val="005709B3"/>
    <w:rsid w:val="00570D0E"/>
    <w:rsid w:val="0058058C"/>
    <w:rsid w:val="00590757"/>
    <w:rsid w:val="0059392D"/>
    <w:rsid w:val="0059669A"/>
    <w:rsid w:val="00597C86"/>
    <w:rsid w:val="005A09B9"/>
    <w:rsid w:val="005B18FA"/>
    <w:rsid w:val="005B2B8A"/>
    <w:rsid w:val="005C060C"/>
    <w:rsid w:val="005C5A81"/>
    <w:rsid w:val="005C61EB"/>
    <w:rsid w:val="005D1D63"/>
    <w:rsid w:val="005D2296"/>
    <w:rsid w:val="005D6595"/>
    <w:rsid w:val="005E5447"/>
    <w:rsid w:val="005F022B"/>
    <w:rsid w:val="005F361E"/>
    <w:rsid w:val="005F4E9B"/>
    <w:rsid w:val="0060167C"/>
    <w:rsid w:val="00604004"/>
    <w:rsid w:val="006051D0"/>
    <w:rsid w:val="00611723"/>
    <w:rsid w:val="00614B38"/>
    <w:rsid w:val="006260FA"/>
    <w:rsid w:val="00627ED0"/>
    <w:rsid w:val="0063690F"/>
    <w:rsid w:val="00643A2D"/>
    <w:rsid w:val="00644C62"/>
    <w:rsid w:val="00650BFD"/>
    <w:rsid w:val="00652F54"/>
    <w:rsid w:val="0065510F"/>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5BE3"/>
    <w:rsid w:val="006C7CFC"/>
    <w:rsid w:val="006D7689"/>
    <w:rsid w:val="006D7CB0"/>
    <w:rsid w:val="006E0FCA"/>
    <w:rsid w:val="006E6A1E"/>
    <w:rsid w:val="006F0E2D"/>
    <w:rsid w:val="006F33FE"/>
    <w:rsid w:val="006F5BDE"/>
    <w:rsid w:val="006F6045"/>
    <w:rsid w:val="00712B4A"/>
    <w:rsid w:val="007147CE"/>
    <w:rsid w:val="00715CC2"/>
    <w:rsid w:val="00724070"/>
    <w:rsid w:val="00727216"/>
    <w:rsid w:val="00727DC3"/>
    <w:rsid w:val="007317C8"/>
    <w:rsid w:val="0073421C"/>
    <w:rsid w:val="00736088"/>
    <w:rsid w:val="0074050D"/>
    <w:rsid w:val="00741A65"/>
    <w:rsid w:val="00741FC8"/>
    <w:rsid w:val="0075205B"/>
    <w:rsid w:val="0075461A"/>
    <w:rsid w:val="007567B7"/>
    <w:rsid w:val="00766774"/>
    <w:rsid w:val="00772F8F"/>
    <w:rsid w:val="00776AB7"/>
    <w:rsid w:val="00785313"/>
    <w:rsid w:val="00790653"/>
    <w:rsid w:val="00790A1C"/>
    <w:rsid w:val="007949ED"/>
    <w:rsid w:val="007A0057"/>
    <w:rsid w:val="007A03E1"/>
    <w:rsid w:val="007A1B2A"/>
    <w:rsid w:val="007A3498"/>
    <w:rsid w:val="007B11EA"/>
    <w:rsid w:val="007B1841"/>
    <w:rsid w:val="007B3455"/>
    <w:rsid w:val="007C20E1"/>
    <w:rsid w:val="007C2323"/>
    <w:rsid w:val="007C2673"/>
    <w:rsid w:val="007C282F"/>
    <w:rsid w:val="007C2BF3"/>
    <w:rsid w:val="007C608F"/>
    <w:rsid w:val="007C6E7E"/>
    <w:rsid w:val="007F17E6"/>
    <w:rsid w:val="007F4168"/>
    <w:rsid w:val="0080051B"/>
    <w:rsid w:val="008067B8"/>
    <w:rsid w:val="00807422"/>
    <w:rsid w:val="00812F27"/>
    <w:rsid w:val="008144C9"/>
    <w:rsid w:val="00824E36"/>
    <w:rsid w:val="00826A32"/>
    <w:rsid w:val="0082725B"/>
    <w:rsid w:val="00836D1A"/>
    <w:rsid w:val="008403AC"/>
    <w:rsid w:val="008417C9"/>
    <w:rsid w:val="00847A65"/>
    <w:rsid w:val="00853D4A"/>
    <w:rsid w:val="0085671C"/>
    <w:rsid w:val="0086171F"/>
    <w:rsid w:val="00862EB6"/>
    <w:rsid w:val="00863625"/>
    <w:rsid w:val="008652D5"/>
    <w:rsid w:val="00865EAF"/>
    <w:rsid w:val="008711A4"/>
    <w:rsid w:val="00877E6B"/>
    <w:rsid w:val="00880E64"/>
    <w:rsid w:val="008822B6"/>
    <w:rsid w:val="00884CB8"/>
    <w:rsid w:val="008851B0"/>
    <w:rsid w:val="00886D94"/>
    <w:rsid w:val="008914E3"/>
    <w:rsid w:val="00893BB4"/>
    <w:rsid w:val="008A20D9"/>
    <w:rsid w:val="008A3658"/>
    <w:rsid w:val="008A51F8"/>
    <w:rsid w:val="008D315D"/>
    <w:rsid w:val="008D50C3"/>
    <w:rsid w:val="008D5238"/>
    <w:rsid w:val="008D6751"/>
    <w:rsid w:val="008E1A28"/>
    <w:rsid w:val="008E3D1D"/>
    <w:rsid w:val="008E3E3B"/>
    <w:rsid w:val="008E6641"/>
    <w:rsid w:val="008E7AA4"/>
    <w:rsid w:val="00901006"/>
    <w:rsid w:val="009010DF"/>
    <w:rsid w:val="0090599A"/>
    <w:rsid w:val="009108C8"/>
    <w:rsid w:val="00913380"/>
    <w:rsid w:val="00913D07"/>
    <w:rsid w:val="009162FF"/>
    <w:rsid w:val="00926C4B"/>
    <w:rsid w:val="009377E5"/>
    <w:rsid w:val="009424C8"/>
    <w:rsid w:val="00945BFF"/>
    <w:rsid w:val="009544BB"/>
    <w:rsid w:val="00956876"/>
    <w:rsid w:val="00956C2C"/>
    <w:rsid w:val="00957A18"/>
    <w:rsid w:val="009618B6"/>
    <w:rsid w:val="0096248C"/>
    <w:rsid w:val="0096444E"/>
    <w:rsid w:val="0096567A"/>
    <w:rsid w:val="00967055"/>
    <w:rsid w:val="00977E6C"/>
    <w:rsid w:val="009832B6"/>
    <w:rsid w:val="0099403A"/>
    <w:rsid w:val="009B3AF8"/>
    <w:rsid w:val="009C73A3"/>
    <w:rsid w:val="009D10B3"/>
    <w:rsid w:val="009D5767"/>
    <w:rsid w:val="009D79DE"/>
    <w:rsid w:val="009E10F1"/>
    <w:rsid w:val="009E1C11"/>
    <w:rsid w:val="009E6BD6"/>
    <w:rsid w:val="009F5970"/>
    <w:rsid w:val="00A00337"/>
    <w:rsid w:val="00A014E1"/>
    <w:rsid w:val="00A02646"/>
    <w:rsid w:val="00A06BEB"/>
    <w:rsid w:val="00A10E12"/>
    <w:rsid w:val="00A131E4"/>
    <w:rsid w:val="00A1681A"/>
    <w:rsid w:val="00A17A37"/>
    <w:rsid w:val="00A22205"/>
    <w:rsid w:val="00A22857"/>
    <w:rsid w:val="00A3634D"/>
    <w:rsid w:val="00A40654"/>
    <w:rsid w:val="00A41F06"/>
    <w:rsid w:val="00A43A11"/>
    <w:rsid w:val="00A56EC5"/>
    <w:rsid w:val="00A57165"/>
    <w:rsid w:val="00A575EC"/>
    <w:rsid w:val="00A577DA"/>
    <w:rsid w:val="00A65778"/>
    <w:rsid w:val="00A70CC8"/>
    <w:rsid w:val="00A779E9"/>
    <w:rsid w:val="00A802AC"/>
    <w:rsid w:val="00A87691"/>
    <w:rsid w:val="00A9121C"/>
    <w:rsid w:val="00A91809"/>
    <w:rsid w:val="00A95830"/>
    <w:rsid w:val="00AA01F8"/>
    <w:rsid w:val="00AA0317"/>
    <w:rsid w:val="00AA186B"/>
    <w:rsid w:val="00AA60DE"/>
    <w:rsid w:val="00AB0833"/>
    <w:rsid w:val="00AB0A39"/>
    <w:rsid w:val="00AB2136"/>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224D8"/>
    <w:rsid w:val="00B22878"/>
    <w:rsid w:val="00B232C2"/>
    <w:rsid w:val="00B3067D"/>
    <w:rsid w:val="00B30913"/>
    <w:rsid w:val="00B31D1C"/>
    <w:rsid w:val="00B32D41"/>
    <w:rsid w:val="00B367DA"/>
    <w:rsid w:val="00B41EF6"/>
    <w:rsid w:val="00B46347"/>
    <w:rsid w:val="00B50A9E"/>
    <w:rsid w:val="00B56EE3"/>
    <w:rsid w:val="00B67A37"/>
    <w:rsid w:val="00B67A5E"/>
    <w:rsid w:val="00B7179F"/>
    <w:rsid w:val="00B74952"/>
    <w:rsid w:val="00B7798E"/>
    <w:rsid w:val="00B77E89"/>
    <w:rsid w:val="00B81CD5"/>
    <w:rsid w:val="00B92BD9"/>
    <w:rsid w:val="00B92FE5"/>
    <w:rsid w:val="00B970A9"/>
    <w:rsid w:val="00BA0767"/>
    <w:rsid w:val="00BA18E1"/>
    <w:rsid w:val="00BA2428"/>
    <w:rsid w:val="00BA52AF"/>
    <w:rsid w:val="00BA5946"/>
    <w:rsid w:val="00BA5DAF"/>
    <w:rsid w:val="00BA7FD0"/>
    <w:rsid w:val="00BB03C0"/>
    <w:rsid w:val="00BB5F78"/>
    <w:rsid w:val="00BC3FD9"/>
    <w:rsid w:val="00BC603F"/>
    <w:rsid w:val="00BD0CED"/>
    <w:rsid w:val="00BD456B"/>
    <w:rsid w:val="00BD5B69"/>
    <w:rsid w:val="00BF302A"/>
    <w:rsid w:val="00BF4282"/>
    <w:rsid w:val="00BF6D74"/>
    <w:rsid w:val="00C03B1A"/>
    <w:rsid w:val="00C11295"/>
    <w:rsid w:val="00C1149F"/>
    <w:rsid w:val="00C133D3"/>
    <w:rsid w:val="00C13A7C"/>
    <w:rsid w:val="00C235D5"/>
    <w:rsid w:val="00C26CBA"/>
    <w:rsid w:val="00C30365"/>
    <w:rsid w:val="00C369CD"/>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016D"/>
    <w:rsid w:val="00C960D4"/>
    <w:rsid w:val="00C977DA"/>
    <w:rsid w:val="00CA47CC"/>
    <w:rsid w:val="00CA4D91"/>
    <w:rsid w:val="00CA5098"/>
    <w:rsid w:val="00CA6134"/>
    <w:rsid w:val="00CB4E98"/>
    <w:rsid w:val="00CB76D0"/>
    <w:rsid w:val="00CC5182"/>
    <w:rsid w:val="00CC675A"/>
    <w:rsid w:val="00CC77AA"/>
    <w:rsid w:val="00CD7FD2"/>
    <w:rsid w:val="00CE0311"/>
    <w:rsid w:val="00CE3A4F"/>
    <w:rsid w:val="00CF13C2"/>
    <w:rsid w:val="00CF4DAF"/>
    <w:rsid w:val="00D06569"/>
    <w:rsid w:val="00D150C3"/>
    <w:rsid w:val="00D2702E"/>
    <w:rsid w:val="00D3467B"/>
    <w:rsid w:val="00D43602"/>
    <w:rsid w:val="00D521D2"/>
    <w:rsid w:val="00D55CDB"/>
    <w:rsid w:val="00D607CA"/>
    <w:rsid w:val="00D60DE3"/>
    <w:rsid w:val="00D61A68"/>
    <w:rsid w:val="00D61AE4"/>
    <w:rsid w:val="00D62417"/>
    <w:rsid w:val="00D70144"/>
    <w:rsid w:val="00D720BB"/>
    <w:rsid w:val="00D72757"/>
    <w:rsid w:val="00D8292F"/>
    <w:rsid w:val="00D83172"/>
    <w:rsid w:val="00D83655"/>
    <w:rsid w:val="00D902F2"/>
    <w:rsid w:val="00D93C8A"/>
    <w:rsid w:val="00D978CB"/>
    <w:rsid w:val="00DA0D44"/>
    <w:rsid w:val="00DA2D2A"/>
    <w:rsid w:val="00DB00F3"/>
    <w:rsid w:val="00DB1A4A"/>
    <w:rsid w:val="00DB62BB"/>
    <w:rsid w:val="00DC0552"/>
    <w:rsid w:val="00DC6145"/>
    <w:rsid w:val="00DD5666"/>
    <w:rsid w:val="00DE296A"/>
    <w:rsid w:val="00DE770E"/>
    <w:rsid w:val="00DF3650"/>
    <w:rsid w:val="00DF7D43"/>
    <w:rsid w:val="00E048A5"/>
    <w:rsid w:val="00E05285"/>
    <w:rsid w:val="00E129CA"/>
    <w:rsid w:val="00E1410B"/>
    <w:rsid w:val="00E15D35"/>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159E"/>
    <w:rsid w:val="00E746D1"/>
    <w:rsid w:val="00E824FE"/>
    <w:rsid w:val="00E867A3"/>
    <w:rsid w:val="00E92CE8"/>
    <w:rsid w:val="00EA0FCE"/>
    <w:rsid w:val="00EA15D7"/>
    <w:rsid w:val="00EA1FF2"/>
    <w:rsid w:val="00EA67B6"/>
    <w:rsid w:val="00EB033A"/>
    <w:rsid w:val="00EB4A26"/>
    <w:rsid w:val="00EB53F7"/>
    <w:rsid w:val="00EB6E23"/>
    <w:rsid w:val="00EC2C62"/>
    <w:rsid w:val="00EC7A90"/>
    <w:rsid w:val="00EC7E51"/>
    <w:rsid w:val="00ED12FB"/>
    <w:rsid w:val="00EF47CA"/>
    <w:rsid w:val="00F0211E"/>
    <w:rsid w:val="00F0478A"/>
    <w:rsid w:val="00F06D2A"/>
    <w:rsid w:val="00F14308"/>
    <w:rsid w:val="00F15D50"/>
    <w:rsid w:val="00F16E30"/>
    <w:rsid w:val="00F21910"/>
    <w:rsid w:val="00F23387"/>
    <w:rsid w:val="00F30F7B"/>
    <w:rsid w:val="00F365BE"/>
    <w:rsid w:val="00F40E3A"/>
    <w:rsid w:val="00F41B23"/>
    <w:rsid w:val="00F42174"/>
    <w:rsid w:val="00F45E2C"/>
    <w:rsid w:val="00F46E46"/>
    <w:rsid w:val="00F47976"/>
    <w:rsid w:val="00F52D4F"/>
    <w:rsid w:val="00F53D92"/>
    <w:rsid w:val="00F5565E"/>
    <w:rsid w:val="00F606E9"/>
    <w:rsid w:val="00F6704A"/>
    <w:rsid w:val="00F8250C"/>
    <w:rsid w:val="00F83FAE"/>
    <w:rsid w:val="00F913DB"/>
    <w:rsid w:val="00F922E1"/>
    <w:rsid w:val="00F94F28"/>
    <w:rsid w:val="00FA796B"/>
    <w:rsid w:val="00FB222B"/>
    <w:rsid w:val="00FB48E8"/>
    <w:rsid w:val="00FB4B26"/>
    <w:rsid w:val="00FB588B"/>
    <w:rsid w:val="00FB7DC8"/>
    <w:rsid w:val="00FC0556"/>
    <w:rsid w:val="00FC119C"/>
    <w:rsid w:val="00FD0E60"/>
    <w:rsid w:val="00FD599F"/>
    <w:rsid w:val="00FD68ED"/>
    <w:rsid w:val="00FD7012"/>
    <w:rsid w:val="00FE4AA3"/>
    <w:rsid w:val="00FE5628"/>
    <w:rsid w:val="00FE698B"/>
    <w:rsid w:val="00FF766E"/>
    <w:rsid w:val="1C452E24"/>
  </w:rsids>
  <m:mathPr>
    <m:mathFont m:val="Cambria Math"/>
    <m:brkBin m:val="before"/>
    <m:brkBinSub m:val="--"/>
    <m:smallFrac m:val="1"/>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26"/>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zh-CN"/>
    </w:rPr>
  </w:style>
  <w:style w:type="paragraph" w:styleId="4">
    <w:name w:val="heading 3"/>
    <w:basedOn w:val="1"/>
    <w:next w:val="1"/>
    <w:link w:val="27"/>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uiPriority w:val="99"/>
    <w:pPr>
      <w:spacing w:after="0" w:line="240" w:lineRule="auto"/>
    </w:pPr>
    <w:rPr>
      <w:rFonts w:ascii="Tahoma" w:hAnsi="Tahoma" w:cs="Tahoma"/>
      <w:sz w:val="16"/>
      <w:szCs w:val="16"/>
    </w:rPr>
  </w:style>
  <w:style w:type="paragraph" w:styleId="9">
    <w:name w:val="Body Text"/>
    <w:basedOn w:val="1"/>
    <w:link w:val="29"/>
    <w:semiHidden/>
    <w:unhideWhenUsed/>
    <w:qFormat/>
    <w:uiPriority w:val="1"/>
    <w:pPr>
      <w:widowControl w:val="0"/>
      <w:autoSpaceDE w:val="0"/>
      <w:autoSpaceDN w:val="0"/>
      <w:spacing w:after="0" w:line="240" w:lineRule="auto"/>
      <w:jc w:val="both"/>
    </w:pPr>
    <w:rPr>
      <w:rFonts w:ascii="Times New Roman" w:hAnsi="Times New Roman" w:eastAsia="Times New Roman" w:cs="Times New Roman"/>
      <w:sz w:val="24"/>
      <w:szCs w:val="24"/>
    </w:rPr>
  </w:style>
  <w:style w:type="paragraph" w:styleId="10">
    <w:name w:val="annotation text"/>
    <w:basedOn w:val="1"/>
    <w:semiHidden/>
    <w:unhideWhenUsed/>
    <w:uiPriority w:val="99"/>
    <w:pPr>
      <w:jc w:val="left"/>
    </w:pPr>
  </w:style>
  <w:style w:type="character" w:styleId="11">
    <w:name w:val="Emphasis"/>
    <w:basedOn w:val="6"/>
    <w:qFormat/>
    <w:uiPriority w:val="20"/>
    <w:rPr>
      <w:i/>
      <w:iCs/>
    </w:rPr>
  </w:style>
  <w:style w:type="character" w:styleId="12">
    <w:name w:val="FollowedHyperlink"/>
    <w:basedOn w:val="6"/>
    <w:semiHidden/>
    <w:unhideWhenUsed/>
    <w:uiPriority w:val="99"/>
    <w:rPr>
      <w:color w:val="800080"/>
      <w:u w:val="single"/>
    </w:rPr>
  </w:style>
  <w:style w:type="paragraph" w:styleId="13">
    <w:name w:val="footer"/>
    <w:basedOn w:val="1"/>
    <w:link w:val="23"/>
    <w:unhideWhenUsed/>
    <w:qFormat/>
    <w:uiPriority w:val="99"/>
    <w:pPr>
      <w:tabs>
        <w:tab w:val="center" w:pos="4513"/>
        <w:tab w:val="right" w:pos="9026"/>
      </w:tabs>
      <w:spacing w:after="0" w:line="240" w:lineRule="auto"/>
    </w:pPr>
  </w:style>
  <w:style w:type="paragraph" w:styleId="14">
    <w:name w:val="header"/>
    <w:basedOn w:val="1"/>
    <w:link w:val="22"/>
    <w:unhideWhenUsed/>
    <w:qFormat/>
    <w:uiPriority w:val="99"/>
    <w:pPr>
      <w:tabs>
        <w:tab w:val="center" w:pos="4513"/>
        <w:tab w:val="right" w:pos="9026"/>
      </w:tabs>
      <w:spacing w:after="0" w:line="240" w:lineRule="auto"/>
    </w:pPr>
  </w:style>
  <w:style w:type="character" w:styleId="15">
    <w:name w:val="Hyperlink"/>
    <w:basedOn w:val="6"/>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7">
    <w:name w:val="Strong"/>
    <w:basedOn w:val="6"/>
    <w:qFormat/>
    <w:uiPriority w:val="22"/>
    <w:rPr>
      <w:b/>
      <w:bCs/>
    </w:rPr>
  </w:style>
  <w:style w:type="table" w:styleId="1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qFormat/>
    <w:uiPriority w:val="34"/>
    <w:pPr>
      <w:ind w:left="720"/>
      <w:contextualSpacing/>
    </w:pPr>
  </w:style>
  <w:style w:type="character" w:customStyle="1" w:styleId="20">
    <w:name w:val="Heading 2 Char"/>
    <w:basedOn w:val="6"/>
    <w:link w:val="3"/>
    <w:qFormat/>
    <w:uiPriority w:val="9"/>
    <w:rPr>
      <w:rFonts w:ascii="Times New Roman" w:hAnsi="Times New Roman" w:eastAsia="Times New Roman" w:cs="Times New Roman"/>
      <w:b/>
      <w:bCs/>
      <w:sz w:val="36"/>
      <w:szCs w:val="36"/>
      <w:lang w:eastAsia="zh-CN"/>
    </w:rPr>
  </w:style>
  <w:style w:type="character" w:customStyle="1" w:styleId="21">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22">
    <w:name w:val="Header Char"/>
    <w:basedOn w:val="6"/>
    <w:link w:val="14"/>
    <w:qFormat/>
    <w:uiPriority w:val="99"/>
  </w:style>
  <w:style w:type="character" w:customStyle="1" w:styleId="23">
    <w:name w:val="Footer Char"/>
    <w:basedOn w:val="6"/>
    <w:link w:val="13"/>
    <w:qFormat/>
    <w:uiPriority w:val="99"/>
  </w:style>
  <w:style w:type="character" w:customStyle="1" w:styleId="24">
    <w:name w:val="Balloon Text Char"/>
    <w:basedOn w:val="6"/>
    <w:link w:val="8"/>
    <w:semiHidden/>
    <w:qFormat/>
    <w:uiPriority w:val="99"/>
    <w:rPr>
      <w:rFonts w:ascii="Tahoma" w:hAnsi="Tahoma" w:cs="Tahoma"/>
      <w:sz w:val="16"/>
      <w:szCs w:val="16"/>
    </w:rPr>
  </w:style>
  <w:style w:type="paragraph" w:styleId="25">
    <w:name w:val="No Spacing"/>
    <w:qFormat/>
    <w:uiPriority w:val="1"/>
    <w:pPr>
      <w:spacing w:after="0" w:line="240" w:lineRule="auto"/>
    </w:pPr>
    <w:rPr>
      <w:rFonts w:asciiTheme="minorHAnsi" w:hAnsiTheme="minorHAnsi" w:eastAsiaTheme="minorHAnsi" w:cstheme="minorBidi"/>
      <w:sz w:val="22"/>
      <w:szCs w:val="22"/>
      <w:lang w:val="zh-CN" w:eastAsia="en-US" w:bidi="ar-SA"/>
    </w:rPr>
  </w:style>
  <w:style w:type="character" w:customStyle="1" w:styleId="26">
    <w:name w:val="Heading 1 Char"/>
    <w:basedOn w:val="6"/>
    <w:link w:val="2"/>
    <w:uiPriority w:val="9"/>
    <w:rPr>
      <w:rFonts w:asciiTheme="majorHAnsi" w:hAnsiTheme="majorHAnsi" w:eastAsiaTheme="majorEastAsia" w:cstheme="majorBidi"/>
      <w:b/>
      <w:bCs/>
      <w:color w:val="2F5597" w:themeColor="accent1" w:themeShade="BF"/>
      <w:sz w:val="28"/>
      <w:szCs w:val="28"/>
    </w:rPr>
  </w:style>
  <w:style w:type="character" w:customStyle="1" w:styleId="27">
    <w:name w:val="Heading 3 Char"/>
    <w:basedOn w:val="6"/>
    <w:link w:val="4"/>
    <w:uiPriority w:val="9"/>
    <w:rPr>
      <w:rFonts w:asciiTheme="majorHAnsi" w:hAnsiTheme="majorHAnsi" w:eastAsiaTheme="majorEastAsia" w:cstheme="majorBidi"/>
      <w:b/>
      <w:bCs/>
      <w:color w:val="4472C4" w:themeColor="accent1"/>
      <w14:textFill>
        <w14:solidFill>
          <w14:schemeClr w14:val="accent1"/>
        </w14:solidFill>
      </w14:textFill>
    </w:rPr>
  </w:style>
  <w:style w:type="paragraph" w:customStyle="1" w:styleId="28">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customStyle="1" w:styleId="29">
    <w:name w:val="Body Text Char"/>
    <w:basedOn w:val="6"/>
    <w:link w:val="9"/>
    <w:semiHidden/>
    <w:qFormat/>
    <w:uiPriority w:val="1"/>
    <w:rPr>
      <w:rFonts w:ascii="Times New Roman" w:hAnsi="Times New Roman" w:eastAsia="Times New Roman" w:cs="Times New Roman"/>
      <w:sz w:val="24"/>
      <w:szCs w:val="24"/>
    </w:rPr>
  </w:style>
  <w:style w:type="paragraph" w:customStyle="1" w:styleId="30">
    <w:name w:val="Table Paragraph"/>
    <w:basedOn w:val="1"/>
    <w:qFormat/>
    <w:uiPriority w:val="1"/>
    <w:pPr>
      <w:widowControl w:val="0"/>
      <w:autoSpaceDE w:val="0"/>
      <w:autoSpaceDN w:val="0"/>
      <w:spacing w:after="0" w:line="224" w:lineRule="exact"/>
    </w:pPr>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A196C1-3E43-4954-A21F-B0B34E129247}">
  <ds:schemaRefs/>
</ds:datastoreItem>
</file>

<file path=docProps/app.xml><?xml version="1.0" encoding="utf-8"?>
<Properties xmlns="http://schemas.openxmlformats.org/officeDocument/2006/extended-properties" xmlns:vt="http://schemas.openxmlformats.org/officeDocument/2006/docPropsVTypes">
  <Template>Normal</Template>
  <Pages>16</Pages>
  <Words>3203</Words>
  <Characters>18751</Characters>
  <Lines>158</Lines>
  <Paragraphs>44</Paragraphs>
  <TotalTime>4</TotalTime>
  <ScaleCrop>false</ScaleCrop>
  <LinksUpToDate>false</LinksUpToDate>
  <CharactersWithSpaces>21504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2026-04-18T11:29:00Z</dcterms:created>
  <dc:creator>Rafi130502</dc:creator>
  <cp:lastModifiedBy>WPS_1749506791</cp:lastModifiedBy>
  <cp:lastPrinted>2022-01-23T13:28:00Z</cp:lastPrinted>
  <dcterms:modified xsi:type="dcterms:W3CDTF">2026-06-18T15:21:14Z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eyJoZGlkIjoiZDU5YWRiYzdiMTNkM2VlOTkwM2Q3MTk0YmJhMGNiNDciLCJ1c2VySWQiOiI5Nzk5MDI2MjY2MDMifQ==</vt:lpwstr>
  </property>
  <property fmtid="{D5CDD505-2E9C-101B-9397-08002B2CF9AE}" pid="3" name="KSOProductBuildVer">
    <vt:lpwstr>1033-12.1.0.26880</vt:lpwstr>
  </property>
  <property fmtid="{D5CDD505-2E9C-101B-9397-08002B2CF9AE}" pid="4" name="ICV">
    <vt:lpwstr>0E140BF29BE54B4095C943F2ED701AAA_12</vt:lpwstr>
  </property>
</Properties>
</file>