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DB0DD">
      <w:pPr>
        <w:contextualSpacing/>
        <w:jc w:val="center"/>
        <w:rPr>
          <w:rFonts w:ascii="Times New Roman" w:hAnsi="Times New Roman"/>
          <w:b/>
          <w:sz w:val="24"/>
          <w:szCs w:val="24"/>
        </w:rPr>
      </w:pPr>
      <w:bookmarkStart w:id="0" w:name="_GoBack"/>
      <w:bookmarkEnd w:id="0"/>
      <w:r>
        <w:rPr>
          <w:rFonts w:ascii="Times New Roman" w:hAnsi="Times New Roman"/>
          <w:b/>
          <w:sz w:val="24"/>
          <w:szCs w:val="24"/>
        </w:rPr>
        <w:t>THE GRAFFITI WALL TECHNIQUE IN IMPROVING TENTH-GRADE STUDENTS’ WRITING ACHIEVEMENT</w:t>
      </w:r>
    </w:p>
    <w:p w14:paraId="28A30A71">
      <w:pPr>
        <w:contextualSpacing/>
        <w:jc w:val="center"/>
        <w:rPr>
          <w:rFonts w:ascii="Times New Roman" w:hAnsi="Times New Roman"/>
          <w:b/>
          <w:sz w:val="24"/>
          <w:szCs w:val="24"/>
        </w:rPr>
      </w:pPr>
    </w:p>
    <w:p w14:paraId="7BB1AF01">
      <w:pPr>
        <w:ind w:right="283"/>
        <w:jc w:val="center"/>
        <w:rPr>
          <w:rFonts w:ascii="Times New Roman" w:hAnsi="Times New Roman"/>
          <w:b/>
          <w:lang w:val="en-US"/>
        </w:rPr>
      </w:pPr>
      <w:r>
        <w:rPr>
          <w:rFonts w:ascii="Times New Roman" w:hAnsi="Times New Roman"/>
          <w:b/>
          <w:lang w:val="en-US"/>
        </w:rPr>
        <w:t>Desi Indah Sari</w:t>
      </w:r>
      <w:r>
        <w:rPr>
          <w:rFonts w:ascii="Times New Roman" w:hAnsi="Times New Roman"/>
          <w:b/>
          <w:vertAlign w:val="superscript"/>
          <w:lang w:val="en-US"/>
        </w:rPr>
        <w:t>1)</w:t>
      </w:r>
      <w:r>
        <w:rPr>
          <w:rFonts w:ascii="Times New Roman" w:hAnsi="Times New Roman"/>
          <w:b/>
          <w:lang w:val="en-US"/>
        </w:rPr>
        <w:t>, Yuyun Hendrety</w:t>
      </w:r>
      <w:r>
        <w:rPr>
          <w:rFonts w:ascii="Times New Roman" w:hAnsi="Times New Roman"/>
          <w:b/>
          <w:vertAlign w:val="superscript"/>
          <w:lang w:val="en-US"/>
        </w:rPr>
        <w:t>2)</w:t>
      </w:r>
      <w:r>
        <w:rPr>
          <w:rFonts w:ascii="Times New Roman" w:hAnsi="Times New Roman"/>
          <w:b/>
          <w:lang w:val="en-US"/>
        </w:rPr>
        <w:t>, Nita Ria</w:t>
      </w:r>
      <w:r>
        <w:rPr>
          <w:rFonts w:ascii="Times New Roman" w:hAnsi="Times New Roman"/>
          <w:b/>
          <w:vertAlign w:val="superscript"/>
          <w:lang w:val="en-US"/>
        </w:rPr>
        <w:t>3)</w:t>
      </w:r>
    </w:p>
    <w:p w14:paraId="728CB471">
      <w:pPr>
        <w:ind w:right="283"/>
        <w:jc w:val="center"/>
        <w:rPr>
          <w:rFonts w:ascii="Times New Roman" w:hAnsi="Times New Roman"/>
          <w:b/>
          <w:lang w:val="en-US"/>
        </w:rPr>
      </w:pPr>
      <w:r>
        <w:rPr>
          <w:rFonts w:ascii="Times New Roman" w:hAnsi="Times New Roman"/>
          <w:b/>
        </w:rPr>
        <w:t>Institution</w:t>
      </w:r>
      <w:r>
        <w:rPr>
          <w:rFonts w:ascii="Times New Roman" w:hAnsi="Times New Roman"/>
          <w:b/>
          <w:lang w:val="en-US"/>
        </w:rPr>
        <w:t xml:space="preserve">: </w:t>
      </w:r>
      <w:r>
        <w:rPr>
          <w:rFonts w:ascii="Times New Roman" w:hAnsi="Times New Roman"/>
          <w:b/>
          <w:vertAlign w:val="superscript"/>
          <w:lang w:val="en-US"/>
        </w:rPr>
        <w:t>1),2),3)</w:t>
      </w:r>
      <w:r>
        <w:rPr>
          <w:rFonts w:ascii="Times New Roman" w:hAnsi="Times New Roman"/>
          <w:b/>
          <w:lang w:val="en-US"/>
        </w:rPr>
        <w:t>Universitas Tridinanti Palembang</w:t>
      </w:r>
    </w:p>
    <w:p w14:paraId="6A33949A">
      <w:pPr>
        <w:ind w:right="283"/>
        <w:jc w:val="center"/>
        <w:rPr>
          <w:rFonts w:ascii="Times New Roman" w:hAnsi="Times New Roman"/>
          <w:b/>
          <w:lang w:val="en-US"/>
        </w:rPr>
      </w:pPr>
      <w:r>
        <w:rPr>
          <w:rFonts w:ascii="Times New Roman" w:hAnsi="Times New Roman"/>
          <w:b/>
          <w:lang w:val="en-US"/>
        </w:rPr>
        <w:t xml:space="preserve"> </w:t>
      </w:r>
      <w:r>
        <w:fldChar w:fldCharType="begin"/>
      </w:r>
      <w:r>
        <w:instrText xml:space="preserve"> HYPERLINK "mailto:xxdesiindahsari@gmail.com" </w:instrText>
      </w:r>
      <w:r>
        <w:fldChar w:fldCharType="separate"/>
      </w:r>
      <w:r>
        <w:rPr>
          <w:rStyle w:val="28"/>
          <w:rFonts w:ascii="Times New Roman" w:hAnsi="Times New Roman"/>
          <w:b/>
          <w:lang w:val="en-US"/>
        </w:rPr>
        <w:t>xxdesiindahsari@gmail.com</w:t>
      </w:r>
      <w:r>
        <w:rPr>
          <w:rStyle w:val="28"/>
          <w:rFonts w:ascii="Times New Roman" w:hAnsi="Times New Roman"/>
          <w:b/>
          <w:lang w:val="en-US"/>
        </w:rPr>
        <w:fldChar w:fldCharType="end"/>
      </w:r>
      <w:r>
        <w:rPr>
          <w:rFonts w:ascii="Times New Roman" w:hAnsi="Times New Roman"/>
          <w:b/>
          <w:lang w:val="en-US"/>
        </w:rPr>
        <w:t xml:space="preserve"> </w:t>
      </w:r>
      <w:r>
        <w:rPr>
          <w:rFonts w:ascii="Times New Roman" w:hAnsi="Times New Roman"/>
          <w:b/>
          <w:vertAlign w:val="superscript"/>
          <w:lang w:val="en-US"/>
        </w:rPr>
        <w:t>1)</w:t>
      </w:r>
      <w:r>
        <w:rPr>
          <w:rFonts w:ascii="Times New Roman" w:hAnsi="Times New Roman"/>
          <w:b/>
          <w:lang w:val="en-US"/>
        </w:rPr>
        <w:t xml:space="preserve">, </w:t>
      </w:r>
      <w:r>
        <w:fldChar w:fldCharType="begin"/>
      </w:r>
      <w:r>
        <w:instrText xml:space="preserve"> HYPERLINK "mailto:yuyun.hendrety@univ-tridinanti.ac.id" </w:instrText>
      </w:r>
      <w:r>
        <w:fldChar w:fldCharType="separate"/>
      </w:r>
      <w:r>
        <w:rPr>
          <w:rStyle w:val="28"/>
          <w:rFonts w:ascii="Times New Roman" w:hAnsi="Times New Roman"/>
          <w:b/>
          <w:lang w:val="en-US"/>
        </w:rPr>
        <w:t>yuyun.hendrety@univ-tridinanti.ac.id</w:t>
      </w:r>
      <w:r>
        <w:rPr>
          <w:rStyle w:val="28"/>
          <w:rFonts w:ascii="Times New Roman" w:hAnsi="Times New Roman"/>
          <w:b/>
          <w:lang w:val="en-US"/>
        </w:rPr>
        <w:fldChar w:fldCharType="end"/>
      </w:r>
      <w:r>
        <w:rPr>
          <w:rFonts w:ascii="Times New Roman" w:hAnsi="Times New Roman"/>
          <w:b/>
          <w:lang w:val="en-US"/>
        </w:rPr>
        <w:t xml:space="preserve"> </w:t>
      </w:r>
      <w:r>
        <w:rPr>
          <w:rFonts w:ascii="Times New Roman" w:hAnsi="Times New Roman"/>
          <w:b/>
          <w:vertAlign w:val="superscript"/>
          <w:lang w:val="en-US"/>
        </w:rPr>
        <w:t>2)</w:t>
      </w:r>
      <w:r>
        <w:rPr>
          <w:rFonts w:ascii="Times New Roman" w:hAnsi="Times New Roman"/>
          <w:b/>
          <w:lang w:val="en-US"/>
        </w:rPr>
        <w:t xml:space="preserve">, </w:t>
      </w:r>
      <w:r>
        <w:fldChar w:fldCharType="begin"/>
      </w:r>
      <w:r>
        <w:instrText xml:space="preserve"> HYPERLINK "mailto:nita_ria@univ-tridinanti.ac.id" </w:instrText>
      </w:r>
      <w:r>
        <w:fldChar w:fldCharType="separate"/>
      </w:r>
      <w:r>
        <w:rPr>
          <w:rStyle w:val="28"/>
          <w:rFonts w:ascii="Times New Roman" w:hAnsi="Times New Roman"/>
          <w:b/>
          <w:lang w:val="en-US"/>
        </w:rPr>
        <w:t>nita_ria@univ-tridinanti.ac.id</w:t>
      </w:r>
      <w:r>
        <w:rPr>
          <w:rStyle w:val="28"/>
          <w:rFonts w:ascii="Times New Roman" w:hAnsi="Times New Roman"/>
          <w:b/>
          <w:lang w:val="en-US"/>
        </w:rPr>
        <w:fldChar w:fldCharType="end"/>
      </w:r>
      <w:r>
        <w:rPr>
          <w:rFonts w:ascii="Times New Roman" w:hAnsi="Times New Roman"/>
          <w:b/>
          <w:vertAlign w:val="superscript"/>
          <w:lang w:val="en-US"/>
        </w:rPr>
        <w:t>3)</w:t>
      </w:r>
    </w:p>
    <w:p w14:paraId="5104F3F2">
      <w:pPr>
        <w:tabs>
          <w:tab w:val="left" w:pos="8647"/>
        </w:tabs>
        <w:spacing w:before="240"/>
        <w:ind w:left="540" w:right="429"/>
        <w:jc w:val="both"/>
        <w:rPr>
          <w:rFonts w:ascii="Times New Roman" w:hAnsi="Times New Roman"/>
          <w:sz w:val="20"/>
        </w:rPr>
      </w:pPr>
      <w:r>
        <w:rPr>
          <w:rFonts w:ascii="Times New Roman" w:hAnsi="Times New Roman"/>
          <w:b/>
          <w:sz w:val="20"/>
        </w:rPr>
        <w:t xml:space="preserve">ABSTRACT: </w:t>
      </w:r>
      <w:r>
        <w:rPr>
          <w:rFonts w:ascii="Times New Roman" w:hAnsi="Times New Roman"/>
          <w:sz w:val="20"/>
        </w:rPr>
        <w:t>The purpose of this study was to determine whether or not it was effective to use graffiti wall technique and was there any significant difference on students writing skill achievement between students who were taught using graffiti wall and those who were not in improving students’ writing skill. This study used a quasi-experimental design involving an experimental group and a control group. The population of this study consisted of students at SMA Negeri 11 Palembang, and the sample was the tenth grade students which was selected using purposive sampling. The experimental group was taught using graffiti wall techniques, while the control group received conventional teaching. Data were collected through writing tests in the form of pre-tests and post-tests. The results of data analysis showed that students' writing skills improved after the graffiti wall technique was applied, meaning that the first alternative hypothesis (Ha1) was accepted, while the last null hypothesis (Ho1) was rejected. The findings also revealed that there was a significant difference in writing skill between students taught using the graffiti wall technique and those taught using conventional method, meaning that the second alternative hypothesis (Ha2) was accepted, and the last null hypothesis (Ho2) was rejected. Therefore, it could be concluded that the graffiti wall technique significantly improved students' writing skill.</w:t>
      </w:r>
    </w:p>
    <w:p w14:paraId="4103C9B6">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iCs/>
          <w:sz w:val="24"/>
          <w:szCs w:val="24"/>
        </w:rPr>
        <w:t>Writing skill, Graffiti wall, Achievement</w:t>
      </w:r>
      <w:r>
        <w:rPr>
          <w:rFonts w:ascii="Times New Roman" w:hAnsi="Times New Roman"/>
          <w:i/>
        </w:rPr>
        <w:t xml:space="preserve"> </w:t>
      </w:r>
    </w:p>
    <w:p w14:paraId="253735C1">
      <w:pPr>
        <w:contextualSpacing/>
        <w:rPr>
          <w:rFonts w:ascii="Times New Roman" w:hAnsi="Times New Roman"/>
          <w:color w:val="FF0000"/>
        </w:rPr>
      </w:pPr>
      <w:r>
        <w:rPr>
          <w:lang w:val="en-US"/>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5A1A8477">
      <w:pPr>
        <w:rPr>
          <w:rFonts w:ascii="Times New Roman" w:hAnsi="Times New Roman"/>
          <w:b/>
          <w:sz w:val="24"/>
          <w:szCs w:val="24"/>
        </w:rPr>
      </w:pPr>
    </w:p>
    <w:p w14:paraId="08015D88">
      <w:pPr>
        <w:contextualSpacing/>
        <w:jc w:val="center"/>
        <w:rPr>
          <w:rFonts w:ascii="Times New Roman" w:hAnsi="Times New Roman"/>
          <w:b/>
          <w:lang w:val="en-US"/>
        </w:rPr>
      </w:pPr>
      <w:r>
        <w:rPr>
          <w:rFonts w:ascii="Times New Roman" w:hAnsi="Times New Roman"/>
          <w:b/>
          <w:lang w:val="en-US"/>
        </w:rPr>
        <w:t xml:space="preserve">TEKNIK DINDING GRAFFITI DALAM MENINGKATKAN PRESTASI </w:t>
      </w:r>
    </w:p>
    <w:p w14:paraId="07002CBA">
      <w:pPr>
        <w:contextualSpacing/>
        <w:jc w:val="center"/>
        <w:rPr>
          <w:rFonts w:ascii="Times New Roman" w:hAnsi="Times New Roman"/>
          <w:b/>
          <w:sz w:val="24"/>
          <w:szCs w:val="24"/>
        </w:rPr>
      </w:pPr>
      <w:r>
        <w:rPr>
          <w:rFonts w:ascii="Times New Roman" w:hAnsi="Times New Roman"/>
          <w:b/>
          <w:lang w:val="en-US"/>
        </w:rPr>
        <w:t>MENULIS SISWA KELAS X</w:t>
      </w:r>
    </w:p>
    <w:p w14:paraId="3AE24ADA">
      <w:pPr>
        <w:tabs>
          <w:tab w:val="left" w:pos="8647"/>
        </w:tabs>
        <w:spacing w:before="240"/>
        <w:ind w:left="540" w:right="429"/>
        <w:jc w:val="both"/>
        <w:rPr>
          <w:rFonts w:ascii="Times New Roman" w:hAnsi="Times New Roman"/>
          <w:sz w:val="20"/>
        </w:rPr>
      </w:pPr>
      <w:r>
        <w:rPr>
          <w:rFonts w:ascii="Times New Roman" w:hAnsi="Times New Roman"/>
          <w:b/>
          <w:sz w:val="20"/>
        </w:rPr>
        <w:t>ABSTRAK:</w:t>
      </w:r>
      <w:r>
        <w:rPr>
          <w:rFonts w:ascii="Times New Roman" w:hAnsi="Times New Roman"/>
          <w:b/>
          <w:sz w:val="20"/>
          <w:lang w:val="en-US"/>
        </w:rPr>
        <w:t xml:space="preserve"> </w:t>
      </w:r>
      <w:r>
        <w:rPr>
          <w:rFonts w:ascii="Times New Roman" w:hAnsi="Times New Roman"/>
          <w:bCs/>
          <w:sz w:val="20"/>
          <w:lang w:val="en-US"/>
        </w:rPr>
        <w:t>P</w:t>
      </w:r>
      <w:r>
        <w:rPr>
          <w:rFonts w:ascii="Times New Roman" w:hAnsi="Times New Roman"/>
          <w:bCs/>
          <w:sz w:val="20"/>
        </w:rPr>
        <w:t>enggunaan teknik dinding grafiti efektif dan apakah terdapat perbedaan yang signifikan dalam pencapaian keterampilan menulis siswa antara siswa yang diajar menggunakan teknik dinding grafiti dan yang tidak dalam meningkatkan keterampilan menulis siswa. Penelitian ini menggunakan desain kuasi-eksperimental yang melibatkan kelompok eksperimen dan kelompok kontrol. Populasi penelitian ini terdiri dari siswa SMA Negeri 11 Palembang, sedangkan sampelnya adalah siswa kelas X yang dipilih menggunakan teknik purposive sampling. Kelompok eksperimen diajar menggunakan teknik dinding grafiti, sedangkan kelompok kontrol menerima pengajaran konvensional. Data dikumpulkan melalui tes menulis berupa pre-test dan post-test. Hasil analisis data menunjukkan bahwa keterampilan menulis siswa meningkat setelah teknik dinding graffiti diterapkan, artinya hipotesis alternatif pertama (Ha1) diterima, sedangkan hipotesis nol (Ho1) ditolak. Temuan juga mengungkapkan adanya perbedaan yang signifikan dalam keterampilan menulis antara siswa yang diajar menggunakan teknik dinding graffiti dan mereka yang diajar menggunakan metode konvensional, artinya hipotesis alternatif kedua (Ha2) diterima, dan hipotesis nol (Ho2) ditolak. Oleh karena itu, dapat disimpulkan bahwa teknik dinding graffiti secara signifikan meningkatkan keterampilan menulis siswa.</w:t>
      </w:r>
    </w:p>
    <w:p w14:paraId="7D44ED52">
      <w:pPr>
        <w:tabs>
          <w:tab w:val="left" w:pos="8647"/>
        </w:tabs>
        <w:spacing w:before="240"/>
        <w:ind w:left="540" w:right="429"/>
        <w:rPr>
          <w:rFonts w:ascii="Times New Roman" w:hAnsi="Times New Roman"/>
          <w:i/>
        </w:rPr>
        <w:sectPr>
          <w:headerReference r:id="rId3" w:type="default"/>
          <w:footerReference r:id="rId4" w:type="default"/>
          <w:type w:val="nextColumn"/>
          <w:pgSz w:w="11907" w:h="16840"/>
          <w:pgMar w:top="1701" w:right="1701" w:bottom="1701" w:left="1701" w:header="720" w:footer="720" w:gutter="0"/>
          <w:cols w:space="708" w:num="1"/>
          <w:docGrid w:linePitch="299" w:charSpace="0"/>
        </w:sectPr>
      </w:pPr>
      <w:r>
        <w:rPr>
          <w:lang w:val="en-US"/>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Keterampilan menulis, Dinding graffiti, Prestasi</w:t>
      </w:r>
    </w:p>
    <w:p w14:paraId="0B16A913">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4A3DB990">
      <w:pPr>
        <w:pStyle w:val="72"/>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L</w:t>
      </w:r>
    </w:p>
    <w:p w14:paraId="23401D33">
      <w:pPr>
        <w:pStyle w:val="29"/>
        <w:spacing w:after="0" w:afterAutospacing="0"/>
        <w:jc w:val="both"/>
      </w:pPr>
      <w:r>
        <w:t xml:space="preserve">anguage </w:t>
      </w:r>
      <w:r>
        <w:rPr>
          <w:lang w:val="en-US"/>
        </w:rPr>
        <w:t>wa</w:t>
      </w:r>
      <w:r>
        <w:t>s an essential tool for communication and play</w:t>
      </w:r>
      <w:r>
        <w:rPr>
          <w:lang w:val="en-US"/>
        </w:rPr>
        <w:t>ed</w:t>
      </w:r>
      <w:r>
        <w:t xml:space="preserve"> a crucial role in education. According to Harmer (200</w:t>
      </w:r>
      <w:r>
        <w:rPr>
          <w:lang w:val="en-US"/>
        </w:rPr>
        <w:t>1</w:t>
      </w:r>
      <w:r>
        <w:t xml:space="preserve">), language enables people to express ideas, feelings, and information through spoken and written forms. In </w:t>
      </w:r>
      <w:r>
        <w:rPr>
          <w:lang w:val="en-US"/>
        </w:rPr>
        <w:t>studying</w:t>
      </w:r>
      <w:r>
        <w:t xml:space="preserve"> English as a foreign language</w:t>
      </w:r>
      <w:r>
        <w:rPr>
          <w:lang w:val="en-US"/>
        </w:rPr>
        <w:t xml:space="preserve"> (EFL)</w:t>
      </w:r>
      <w:r>
        <w:t xml:space="preserve">, </w:t>
      </w:r>
      <w:r>
        <w:rPr>
          <w:lang w:val="en-US"/>
        </w:rPr>
        <w:t>some of them</w:t>
      </w:r>
      <w:r>
        <w:t xml:space="preserve"> are required </w:t>
      </w:r>
      <w:r>
        <w:rPr>
          <w:lang w:val="en-US"/>
        </w:rPr>
        <w:t xml:space="preserve"> </w:t>
      </w:r>
      <w:r>
        <w:t xml:space="preserve">master </w:t>
      </w:r>
      <w:r>
        <w:rPr>
          <w:lang w:val="en-US"/>
        </w:rPr>
        <w:t xml:space="preserve"> main language </w:t>
      </w:r>
      <w:r>
        <w:t>skills, namely listening, speaking, reading, and writing.</w:t>
      </w:r>
      <w:r>
        <w:rPr>
          <w:lang w:val="en-US"/>
        </w:rPr>
        <w:t xml:space="preserve"> </w:t>
      </w:r>
      <w:r>
        <w:rPr>
          <w:rFonts w:eastAsia="SimSun"/>
        </w:rPr>
        <w:t xml:space="preserve">English </w:t>
      </w:r>
      <w:r>
        <w:rPr>
          <w:rFonts w:eastAsia="SimSun"/>
          <w:lang w:val="en-US"/>
        </w:rPr>
        <w:t>became</w:t>
      </w:r>
      <w:r>
        <w:rPr>
          <w:rFonts w:eastAsia="SimSun"/>
        </w:rPr>
        <w:t xml:space="preserve"> a global lingua franca used by people from different linguistic backgrounds for international communication. Learning English involve</w:t>
      </w:r>
      <w:r>
        <w:rPr>
          <w:rFonts w:eastAsia="SimSun"/>
          <w:lang w:val="en-US"/>
        </w:rPr>
        <w:t xml:space="preserve">d </w:t>
      </w:r>
      <w:r>
        <w:rPr>
          <w:rFonts w:eastAsia="SimSun"/>
        </w:rPr>
        <w:t>several language components such as vocabulary, pronunciation, grammar, and language use. Brown (2004) states that mastering these components is important for developing effective communication skills.</w:t>
      </w:r>
      <w:r>
        <w:rPr>
          <w:rFonts w:eastAsia="SimSun"/>
          <w:lang w:val="en-US"/>
        </w:rPr>
        <w:t xml:space="preserve"> </w:t>
      </w:r>
      <w:r>
        <w:t>In learning English as a foreign language, students are expected to master four fun</w:t>
      </w:r>
      <w:r>
        <w:rPr>
          <w:lang w:val="en-US"/>
        </w:rPr>
        <w:t xml:space="preserve"> </w:t>
      </w:r>
      <w:r>
        <w:t xml:space="preserve">damental language skills: listening, speaking, reading, and writing. </w:t>
      </w:r>
    </w:p>
    <w:p w14:paraId="0F9C3933">
      <w:pPr>
        <w:pStyle w:val="29"/>
        <w:spacing w:before="0" w:beforeAutospacing="0" w:after="0" w:afterAutospacing="0"/>
        <w:ind w:firstLine="720"/>
        <w:jc w:val="both"/>
        <w:rPr>
          <w:lang w:val="en-US"/>
        </w:rPr>
      </w:pPr>
      <w:r>
        <w:rPr>
          <w:lang w:val="en-US"/>
        </w:rPr>
        <w:t>In addition,</w:t>
      </w:r>
      <w:r>
        <w:t xml:space="preserve"> Durga and Rao</w:t>
      </w:r>
      <w:r>
        <w:rPr>
          <w:lang w:val="en-US"/>
        </w:rPr>
        <w:t xml:space="preserve"> </w:t>
      </w:r>
      <w:r>
        <w:t>(2018, p. 2)</w:t>
      </w:r>
      <w:r>
        <w:rPr>
          <w:lang w:val="en-US"/>
        </w:rPr>
        <w:t xml:space="preserve"> explain that</w:t>
      </w:r>
      <w:r>
        <w:t xml:space="preserve"> writing is the process of conveying thoughts and ideas using written symbols such as letters, punctuation, and spaces in order to communicate meaning effectively.</w:t>
      </w:r>
      <w:r>
        <w:rPr>
          <w:lang w:val="en-US"/>
        </w:rPr>
        <w:t xml:space="preserve"> Out of</w:t>
      </w:r>
      <w:r>
        <w:t xml:space="preserve"> these skill, writing is often considered the most complex because it requires the ability to organize ideas, apply grammar correctly, and express thoughts clearly in written form.</w:t>
      </w:r>
      <w:r>
        <w:rPr>
          <w:lang w:val="en-US"/>
        </w:rPr>
        <w:t xml:space="preserve"> </w:t>
      </w:r>
      <w:r>
        <w:t xml:space="preserve">Writing involves several important components such as content, organization, vocabulary, grammar, and mechanics, which work together to produce meaningful texts. </w:t>
      </w:r>
    </w:p>
    <w:p w14:paraId="66026B95">
      <w:pPr>
        <w:pStyle w:val="29"/>
        <w:spacing w:before="0" w:beforeAutospacing="0" w:after="0" w:afterAutospacing="0"/>
        <w:ind w:firstLine="720"/>
        <w:jc w:val="both"/>
        <w:rPr>
          <w:lang w:val="en-US"/>
        </w:rPr>
      </w:pPr>
      <w:r>
        <w:rPr>
          <w:lang w:val="en-US"/>
        </w:rPr>
        <w:t xml:space="preserve">Writing skill face a number of challenges. Peter and Singaravelu (2020) say that the current writing instruction system uneffectively support students, due to poor teaching methods, unclear learning objectives, weak assessment, and limited teaching materials. Also, overcrowded classrooms, low motivation, and a packed curriculum exacerbate these issues, resulting in students’ writing abilities failing short of expectations. Similarly, Elbashir (2023, p.57) explains that difficulties in writing is caused by limited practice, time constraints, low motivation, inadequate teacher feedback, and the complexity of the writing process. Nevertheless, writing remains importantas it helps to improve students’ cognitive skill and enables them to express their ideas clearly in written form. </w:t>
      </w:r>
      <w:r>
        <w:t>However, many students still face difficulties in developing their writing skill. Some students lack motivation and confidence when writing, while others have limited vocabulary and difficulty organizing ideas into coherent sentences.</w:t>
      </w:r>
    </w:p>
    <w:p w14:paraId="18933CE7">
      <w:pPr>
        <w:pStyle w:val="29"/>
        <w:spacing w:before="0" w:beforeAutospacing="0" w:after="0" w:afterAutospacing="0"/>
        <w:ind w:firstLine="720"/>
        <w:jc w:val="both"/>
        <w:rPr>
          <w:rFonts w:eastAsia="SimSun"/>
          <w:lang w:val="en-US"/>
        </w:rPr>
      </w:pPr>
      <w:r>
        <w:rPr>
          <w:lang w:val="en-US"/>
        </w:rPr>
        <w:t xml:space="preserve">Moreover, </w:t>
      </w:r>
      <w:r>
        <w:t>Ria and Novtapianti</w:t>
      </w:r>
      <w:r>
        <w:rPr>
          <w:lang w:val="en-US"/>
        </w:rPr>
        <w:t xml:space="preserve"> </w:t>
      </w:r>
      <w:r>
        <w:t xml:space="preserve">(2019, p. 34) explain that writing is one of the most challenging skill for students because it requires the integration of linguistic knowledge and the ability to organize ideas into coherent sentences and paragraphs. </w:t>
      </w:r>
      <w:r>
        <w:rPr>
          <w:lang w:val="en-US"/>
        </w:rPr>
        <w:t xml:space="preserve">Additionally, </w:t>
      </w:r>
      <w:r>
        <w:t xml:space="preserve">one of the ways where students </w:t>
      </w:r>
      <w:r>
        <w:rPr>
          <w:lang w:val="en-US"/>
        </w:rPr>
        <w:t>express</w:t>
      </w:r>
      <w:r>
        <w:t xml:space="preserve"> their thoughts, fears, interests and opinions is</w:t>
      </w:r>
      <w:r>
        <w:rPr>
          <w:lang w:val="en-US"/>
        </w:rPr>
        <w:t xml:space="preserve"> through</w:t>
      </w:r>
      <w:r>
        <w:t xml:space="preserve"> writing graffiti. Graffiti </w:t>
      </w:r>
      <w:r>
        <w:rPr>
          <w:lang w:val="en-US"/>
        </w:rPr>
        <w:t>provides</w:t>
      </w:r>
      <w:r>
        <w:t xml:space="preserve"> them </w:t>
      </w:r>
      <w:r>
        <w:rPr>
          <w:lang w:val="en-US"/>
        </w:rPr>
        <w:t xml:space="preserve">with </w:t>
      </w:r>
      <w:r>
        <w:t xml:space="preserve">privacy and anonymity, </w:t>
      </w:r>
      <w:r>
        <w:rPr>
          <w:lang w:val="en-US"/>
        </w:rPr>
        <w:t>enabling</w:t>
      </w:r>
      <w:r>
        <w:t xml:space="preserve"> them to </w:t>
      </w:r>
      <w:r>
        <w:rPr>
          <w:lang w:val="en-US"/>
        </w:rPr>
        <w:t>communicate</w:t>
      </w:r>
      <w:r>
        <w:t xml:space="preserve"> the</w:t>
      </w:r>
      <w:r>
        <w:rPr>
          <w:lang w:val="en-US"/>
        </w:rPr>
        <w:t>ir ideas</w:t>
      </w:r>
      <w:r>
        <w:t xml:space="preserve"> freely without fear of consequences (Kariuki et al., 2016, p. 161).</w:t>
      </w:r>
      <w:r>
        <w:rPr>
          <w:lang w:val="en-US"/>
        </w:rPr>
        <w:t xml:space="preserve"> </w:t>
      </w:r>
    </w:p>
    <w:p w14:paraId="1187B377">
      <w:pPr>
        <w:pStyle w:val="29"/>
        <w:spacing w:before="0" w:beforeAutospacing="0" w:after="0" w:afterAutospacing="0"/>
        <w:ind w:firstLine="720"/>
        <w:jc w:val="both"/>
        <w:rPr>
          <w:rFonts w:eastAsia="SimSun"/>
          <w:lang w:val="en-US"/>
        </w:rPr>
      </w:pPr>
      <w:r>
        <w:rPr>
          <w:rFonts w:eastAsia="SimSun"/>
        </w:rPr>
        <w:t>Furthermore, Farnia (2014) states that graffiti serves as a medium for individuals to express thoughts, feelings, and personal messages in a public space. When applied in classroom learning, graffiti activities can encourage students to share ideas collaboratively and develop confidence in expressing their opinions.</w:t>
      </w:r>
      <w:r>
        <w:rPr>
          <w:rFonts w:eastAsia="SimSun"/>
          <w:lang w:val="en-US"/>
        </w:rPr>
        <w:t xml:space="preserve"> </w:t>
      </w:r>
      <w:r>
        <w:rPr>
          <w:rFonts w:eastAsia="SimSun"/>
        </w:rPr>
        <w:t>To overcome these problems, teachers need to apply creative and interactive teaching techniques that can encourage students to participate actively in writing activities. One technique that can be applied is the graffiti wall technique. Graffiti can be used as a medium for expressing ideas, opinions, and feelings in written form. Farnia (2014) explains that graffiti often serves as a way for individuals to express personal feelings and messages in a public space, reflecting their thoughts and experiences. In addition, Taylor (2012) states that graffiti writing can be influenced by identity expression, peer interaction, and the desire for recognition among young people</w:t>
      </w:r>
      <w:r>
        <w:rPr>
          <w:rFonts w:eastAsia="SimSun"/>
          <w:lang w:val="en-US"/>
        </w:rPr>
        <w:t xml:space="preserve">. </w:t>
      </w:r>
      <w:r>
        <w:t>Sehgal (2013) argues that Graffiti can be introduced as a classroom subject where students are given the freedom to draw or paint the wildest corners of their imagination. Through the patterns and images they create (p. 43). Therefore, graffiti in the classroom can make learning more engaging and interactive, helping students develop confidence in their artistic expression</w:t>
      </w:r>
      <w:r>
        <w:rPr>
          <w:lang w:val="en-US"/>
        </w:rPr>
        <w:t>.</w:t>
      </w:r>
    </w:p>
    <w:p w14:paraId="652E85A4">
      <w:pPr>
        <w:pStyle w:val="29"/>
        <w:spacing w:before="0" w:beforeAutospacing="0" w:after="0" w:afterAutospacing="0"/>
        <w:ind w:firstLine="720"/>
        <w:jc w:val="both"/>
        <w:rPr>
          <w:lang w:val="en-US"/>
        </w:rPr>
      </w:pPr>
      <w:r>
        <w:t xml:space="preserve">In the English curriculum at the senior high school level, students are required to learn several types of texts, one of which is recount text. Recount text is a type of text that retells past events or experiences in chronological order with the purpose of informing or entertaining the reader. According to Rojas </w:t>
      </w:r>
      <w:r>
        <w:rPr>
          <w:lang w:val="en-US"/>
        </w:rPr>
        <w:t>(2010)</w:t>
      </w:r>
      <w:r>
        <w:t xml:space="preserve">, recount text is a text that describes events or experiences that happened in the past and presents them sequentially so readers can understand the order of events clearly. </w:t>
      </w:r>
      <w:r>
        <w:rPr>
          <w:lang w:val="en-US"/>
        </w:rPr>
        <w:t>Additionally, r</w:t>
      </w:r>
      <w:r>
        <w:t>ecount text generally consist of three main generic structures: orientation, event, and reorientation. Orientation introduces the participants, time, and place of the story; event describe a sequence of events that occurred in chronological order; and reorientation provides a concluding statement or personal comment about the events described</w:t>
      </w:r>
      <w:r>
        <w:rPr>
          <w:lang w:val="en-US"/>
        </w:rPr>
        <w:t xml:space="preserve"> (</w:t>
      </w:r>
      <w:r>
        <w:t>Cakrawati (2018, p. 213)</w:t>
      </w:r>
      <w:r>
        <w:rPr>
          <w:lang w:val="en-US"/>
        </w:rPr>
        <w:t>).</w:t>
      </w:r>
    </w:p>
    <w:p w14:paraId="0DF4315C">
      <w:pPr>
        <w:pStyle w:val="29"/>
        <w:spacing w:before="0" w:beforeAutospacing="0" w:after="0" w:afterAutospacing="0"/>
        <w:ind w:firstLine="720"/>
        <w:jc w:val="both"/>
      </w:pPr>
      <w:r>
        <w:rPr>
          <w:lang w:val="en-US"/>
        </w:rPr>
        <w:t>Then</w:t>
      </w:r>
      <w:r>
        <w:t>, Saragih et al., (2014)</w:t>
      </w:r>
      <w:r>
        <w:rPr>
          <w:lang w:val="en-US"/>
        </w:rPr>
        <w:t xml:space="preserve">, </w:t>
      </w:r>
      <w:r>
        <w:t xml:space="preserve">recount text usually contain specific language features such as the use of past tense verbs, time connectives, action verbs, and specific participants to clearly describe past experiences. Because many students experience difficulties in writing recount text, teachers need to implement appropriate and engaging teaching techniques to help students generate ideas and organize them effectively. One teaching strategy that can be applied is the graffiti wall technique. The graffiti wall technique is a collaborative learning activity that allows students to express ideas, opinions, and responses by writing on a large surface such as a wall, board, or poster, enabling them to interact and exchange ideas with their peers. </w:t>
      </w:r>
    </w:p>
    <w:p w14:paraId="157D5396">
      <w:pPr>
        <w:ind w:firstLine="540" w:firstLineChars="225"/>
        <w:jc w:val="both"/>
      </w:pPr>
      <w:r>
        <w:rPr>
          <w:rFonts w:ascii="Times New Roman" w:hAnsi="Times New Roman"/>
          <w:sz w:val="24"/>
          <w:szCs w:val="24"/>
        </w:rPr>
        <w:t>There are s</w:t>
      </w:r>
      <w:r>
        <w:rPr>
          <w:rFonts w:ascii="Times New Roman" w:hAnsi="Times New Roman"/>
          <w:sz w:val="24"/>
          <w:szCs w:val="24"/>
          <w:lang w:val="en-US"/>
        </w:rPr>
        <w:t>everal</w:t>
      </w:r>
      <w:r>
        <w:rPr>
          <w:rFonts w:ascii="Times New Roman" w:hAnsi="Times New Roman"/>
          <w:sz w:val="24"/>
          <w:szCs w:val="24"/>
        </w:rPr>
        <w:t xml:space="preserve"> benefits </w:t>
      </w:r>
      <w:r>
        <w:rPr>
          <w:rFonts w:ascii="Times New Roman" w:hAnsi="Times New Roman"/>
          <w:sz w:val="24"/>
          <w:szCs w:val="24"/>
          <w:lang w:val="en-US"/>
        </w:rPr>
        <w:t xml:space="preserve">to </w:t>
      </w:r>
      <w:r>
        <w:rPr>
          <w:rFonts w:ascii="Times New Roman" w:hAnsi="Times New Roman"/>
          <w:sz w:val="24"/>
          <w:szCs w:val="24"/>
        </w:rPr>
        <w:t xml:space="preserve">using </w:t>
      </w:r>
      <w:r>
        <w:rPr>
          <w:rFonts w:ascii="Times New Roman" w:hAnsi="Times New Roman"/>
          <w:sz w:val="24"/>
          <w:szCs w:val="24"/>
          <w:lang w:val="en-US"/>
        </w:rPr>
        <w:t xml:space="preserve">the </w:t>
      </w:r>
      <w:r>
        <w:rPr>
          <w:rFonts w:ascii="Times New Roman" w:hAnsi="Times New Roman"/>
          <w:sz w:val="24"/>
          <w:szCs w:val="24"/>
        </w:rPr>
        <w:t xml:space="preserve">graffiti wall. The technique assists to </w:t>
      </w:r>
      <w:r>
        <w:rPr>
          <w:rFonts w:ascii="Times New Roman" w:hAnsi="Times New Roman"/>
          <w:sz w:val="24"/>
          <w:szCs w:val="24"/>
          <w:lang w:val="en-US"/>
        </w:rPr>
        <w:t>helps</w:t>
      </w:r>
      <w:r>
        <w:rPr>
          <w:rFonts w:ascii="Times New Roman" w:hAnsi="Times New Roman"/>
          <w:sz w:val="24"/>
          <w:szCs w:val="24"/>
        </w:rPr>
        <w:t xml:space="preserve"> students’ confidence in expressing their opinions. Brookfield and Preskill (2012) s</w:t>
      </w:r>
      <w:r>
        <w:rPr>
          <w:rFonts w:ascii="Times New Roman" w:hAnsi="Times New Roman"/>
          <w:sz w:val="24"/>
          <w:szCs w:val="24"/>
          <w:lang w:val="en-US"/>
        </w:rPr>
        <w:t>ay</w:t>
      </w:r>
      <w:r>
        <w:rPr>
          <w:rFonts w:ascii="Times New Roman" w:hAnsi="Times New Roman"/>
          <w:sz w:val="24"/>
          <w:szCs w:val="24"/>
        </w:rPr>
        <w:t xml:space="preserve"> that “when students see their ideas valued in a public space, it boost their confidence and </w:t>
      </w:r>
      <w:r>
        <w:rPr>
          <w:rFonts w:ascii="Times New Roman" w:hAnsi="Times New Roman"/>
          <w:sz w:val="24"/>
          <w:szCs w:val="24"/>
          <w:lang w:val="en-US"/>
        </w:rPr>
        <w:t>encourages</w:t>
      </w:r>
      <w:r>
        <w:rPr>
          <w:rFonts w:ascii="Times New Roman" w:hAnsi="Times New Roman"/>
          <w:sz w:val="24"/>
          <w:szCs w:val="24"/>
        </w:rPr>
        <w:t xml:space="preserve"> them to </w:t>
      </w:r>
      <w:r>
        <w:rPr>
          <w:rFonts w:ascii="Times New Roman" w:hAnsi="Times New Roman"/>
          <w:sz w:val="24"/>
          <w:szCs w:val="24"/>
          <w:lang w:val="en-US"/>
        </w:rPr>
        <w:t>participate</w:t>
      </w:r>
      <w:r>
        <w:rPr>
          <w:rFonts w:ascii="Times New Roman" w:hAnsi="Times New Roman"/>
          <w:sz w:val="24"/>
          <w:szCs w:val="24"/>
        </w:rPr>
        <w:t xml:space="preserve"> more actively to discussions”. </w:t>
      </w:r>
      <w:r>
        <w:rPr>
          <w:rFonts w:ascii="Times New Roman" w:hAnsi="Times New Roman"/>
          <w:sz w:val="24"/>
          <w:szCs w:val="24"/>
          <w:lang w:val="en-US"/>
        </w:rPr>
        <w:t>This suggests</w:t>
      </w:r>
      <w:r>
        <w:rPr>
          <w:rFonts w:ascii="Times New Roman" w:hAnsi="Times New Roman"/>
          <w:sz w:val="24"/>
          <w:szCs w:val="24"/>
        </w:rPr>
        <w:t xml:space="preserve"> that the graffiti wall</w:t>
      </w:r>
      <w:r>
        <w:rPr>
          <w:rFonts w:ascii="Times New Roman" w:hAnsi="Times New Roman"/>
          <w:sz w:val="24"/>
          <w:szCs w:val="24"/>
          <w:lang w:val="en-US"/>
        </w:rPr>
        <w:t xml:space="preserve"> serve </w:t>
      </w:r>
      <w:r>
        <w:rPr>
          <w:rFonts w:ascii="Times New Roman" w:hAnsi="Times New Roman"/>
          <w:sz w:val="24"/>
          <w:szCs w:val="24"/>
        </w:rPr>
        <w:t>not only a</w:t>
      </w:r>
      <w:r>
        <w:rPr>
          <w:rFonts w:ascii="Times New Roman" w:hAnsi="Times New Roman"/>
          <w:sz w:val="24"/>
          <w:szCs w:val="24"/>
          <w:lang w:val="en-US"/>
        </w:rPr>
        <w:t>s a medium for sharing ideas, but also as a strategy</w:t>
      </w:r>
      <w:r>
        <w:rPr>
          <w:rFonts w:ascii="Times New Roman" w:hAnsi="Times New Roman"/>
          <w:sz w:val="24"/>
          <w:szCs w:val="24"/>
        </w:rPr>
        <w:t xml:space="preserve"> </w:t>
      </w:r>
      <w:r>
        <w:rPr>
          <w:rFonts w:ascii="Times New Roman" w:hAnsi="Times New Roman"/>
          <w:sz w:val="24"/>
          <w:szCs w:val="24"/>
          <w:lang w:val="en-US"/>
        </w:rPr>
        <w:t>for strengthening students’ courage to engage academically</w:t>
      </w:r>
      <w:r>
        <w:rPr>
          <w:rFonts w:ascii="Times New Roman" w:hAnsi="Times New Roman"/>
          <w:sz w:val="24"/>
          <w:szCs w:val="24"/>
        </w:rPr>
        <w:t xml:space="preserve">. </w:t>
      </w:r>
      <w:r>
        <w:rPr>
          <w:rFonts w:ascii="Times New Roman" w:hAnsi="Times New Roman"/>
          <w:sz w:val="24"/>
          <w:szCs w:val="24"/>
          <w:lang w:val="en-US"/>
        </w:rPr>
        <w:t>Then,</w:t>
      </w:r>
      <w:r>
        <w:rPr>
          <w:rFonts w:ascii="Times New Roman" w:hAnsi="Times New Roman"/>
          <w:sz w:val="24"/>
          <w:szCs w:val="24"/>
        </w:rPr>
        <w:t xml:space="preserve"> Daniel (2013) </w:t>
      </w:r>
      <w:r>
        <w:rPr>
          <w:rFonts w:ascii="Times New Roman" w:hAnsi="Times New Roman"/>
          <w:sz w:val="24"/>
          <w:szCs w:val="24"/>
          <w:lang w:val="en-US"/>
        </w:rPr>
        <w:t>argues</w:t>
      </w:r>
      <w:r>
        <w:rPr>
          <w:rFonts w:ascii="Times New Roman" w:hAnsi="Times New Roman"/>
          <w:sz w:val="24"/>
          <w:szCs w:val="24"/>
        </w:rPr>
        <w:t xml:space="preserve"> that graffiti wall </w:t>
      </w:r>
      <w:r>
        <w:rPr>
          <w:rFonts w:ascii="Times New Roman" w:hAnsi="Times New Roman"/>
          <w:sz w:val="24"/>
          <w:szCs w:val="24"/>
          <w:lang w:val="en-US"/>
        </w:rPr>
        <w:t>e</w:t>
      </w:r>
      <w:r>
        <w:rPr>
          <w:rFonts w:ascii="Times New Roman" w:hAnsi="Times New Roman"/>
          <w:sz w:val="24"/>
          <w:szCs w:val="24"/>
        </w:rPr>
        <w:t>n</w:t>
      </w:r>
      <w:r>
        <w:rPr>
          <w:rFonts w:ascii="Times New Roman" w:hAnsi="Times New Roman"/>
          <w:sz w:val="24"/>
          <w:szCs w:val="24"/>
          <w:lang w:val="en-US"/>
        </w:rPr>
        <w:t>hance</w:t>
      </w:r>
      <w:r>
        <w:rPr>
          <w:rFonts w:ascii="Times New Roman" w:hAnsi="Times New Roman"/>
          <w:sz w:val="24"/>
          <w:szCs w:val="24"/>
        </w:rPr>
        <w:t xml:space="preserve"> student engagement </w:t>
      </w:r>
      <w:r>
        <w:rPr>
          <w:rFonts w:ascii="Times New Roman" w:hAnsi="Times New Roman"/>
          <w:sz w:val="24"/>
          <w:szCs w:val="24"/>
          <w:lang w:val="en-US"/>
        </w:rPr>
        <w:t xml:space="preserve">by giving </w:t>
      </w:r>
      <w:r>
        <w:rPr>
          <w:rFonts w:ascii="Times New Roman" w:hAnsi="Times New Roman"/>
          <w:sz w:val="24"/>
          <w:szCs w:val="24"/>
        </w:rPr>
        <w:t xml:space="preserve">them a sense of control over how they </w:t>
      </w:r>
      <w:r>
        <w:rPr>
          <w:rFonts w:ascii="Times New Roman" w:hAnsi="Times New Roman"/>
          <w:sz w:val="24"/>
          <w:szCs w:val="24"/>
          <w:lang w:val="en-US"/>
        </w:rPr>
        <w:t>participate in the</w:t>
      </w:r>
      <w:r>
        <w:rPr>
          <w:rFonts w:ascii="Times New Roman" w:hAnsi="Times New Roman"/>
          <w:sz w:val="24"/>
          <w:szCs w:val="24"/>
        </w:rPr>
        <w:t xml:space="preserve"> learning</w:t>
      </w:r>
      <w:r>
        <w:rPr>
          <w:rFonts w:ascii="Times New Roman" w:hAnsi="Times New Roman"/>
          <w:sz w:val="24"/>
          <w:szCs w:val="24"/>
          <w:lang w:val="en-US"/>
        </w:rPr>
        <w:t xml:space="preserve"> process</w:t>
      </w:r>
      <w:r>
        <w:rPr>
          <w:rFonts w:ascii="Times New Roman" w:hAnsi="Times New Roman"/>
          <w:sz w:val="24"/>
          <w:szCs w:val="24"/>
        </w:rPr>
        <w:t>. The technique</w:t>
      </w:r>
      <w:r>
        <w:rPr>
          <w:rFonts w:ascii="Times New Roman" w:hAnsi="Times New Roman"/>
          <w:sz w:val="24"/>
          <w:szCs w:val="24"/>
          <w:lang w:val="en-US"/>
        </w:rPr>
        <w:t xml:space="preserve"> supports </w:t>
      </w:r>
      <w:r>
        <w:rPr>
          <w:rFonts w:ascii="Times New Roman" w:hAnsi="Times New Roman"/>
          <w:sz w:val="24"/>
          <w:szCs w:val="24"/>
        </w:rPr>
        <w:t>improve</w:t>
      </w:r>
      <w:r>
        <w:rPr>
          <w:rFonts w:ascii="Times New Roman" w:hAnsi="Times New Roman"/>
          <w:sz w:val="24"/>
          <w:szCs w:val="24"/>
          <w:lang w:val="en-US"/>
        </w:rPr>
        <w:t>d</w:t>
      </w:r>
      <w:r>
        <w:rPr>
          <w:rFonts w:ascii="Times New Roman" w:hAnsi="Times New Roman"/>
          <w:sz w:val="24"/>
          <w:szCs w:val="24"/>
        </w:rPr>
        <w:t xml:space="preserve"> concept</w:t>
      </w:r>
      <w:r>
        <w:rPr>
          <w:rFonts w:ascii="Times New Roman" w:hAnsi="Times New Roman"/>
          <w:sz w:val="24"/>
          <w:szCs w:val="24"/>
          <w:lang w:val="en-US"/>
        </w:rPr>
        <w:t xml:space="preserve">ual </w:t>
      </w:r>
      <w:r>
        <w:rPr>
          <w:rFonts w:ascii="Times New Roman" w:hAnsi="Times New Roman"/>
          <w:sz w:val="24"/>
          <w:szCs w:val="24"/>
        </w:rPr>
        <w:t xml:space="preserve">understanding, but also builds students’ </w:t>
      </w:r>
      <w:r>
        <w:rPr>
          <w:rFonts w:ascii="Times New Roman" w:hAnsi="Times New Roman"/>
          <w:sz w:val="24"/>
          <w:szCs w:val="24"/>
          <w:lang w:val="en-US"/>
        </w:rPr>
        <w:t>self-</w:t>
      </w:r>
      <w:r>
        <w:rPr>
          <w:rFonts w:ascii="Times New Roman" w:hAnsi="Times New Roman"/>
          <w:sz w:val="24"/>
          <w:szCs w:val="24"/>
        </w:rPr>
        <w:t>confidence and social skill</w:t>
      </w:r>
      <w:r>
        <w:rPr>
          <w:rFonts w:ascii="Times New Roman" w:hAnsi="Times New Roman"/>
          <w:sz w:val="24"/>
          <w:szCs w:val="24"/>
          <w:lang w:val="en-US"/>
        </w:rPr>
        <w:t xml:space="preserve"> </w:t>
      </w:r>
      <w:r>
        <w:rPr>
          <w:rFonts w:ascii="Times New Roman" w:hAnsi="Times New Roman"/>
          <w:sz w:val="24"/>
          <w:szCs w:val="24"/>
        </w:rPr>
        <w:t xml:space="preserve">as they </w:t>
      </w:r>
      <w:r>
        <w:rPr>
          <w:rFonts w:ascii="Times New Roman" w:hAnsi="Times New Roman"/>
          <w:sz w:val="24"/>
          <w:szCs w:val="24"/>
          <w:lang w:val="en-US"/>
        </w:rPr>
        <w:t>collaborate</w:t>
      </w:r>
      <w:r>
        <w:rPr>
          <w:rFonts w:ascii="Times New Roman" w:hAnsi="Times New Roman"/>
          <w:sz w:val="24"/>
          <w:szCs w:val="24"/>
        </w:rPr>
        <w:t xml:space="preserve">  with their peers.</w:t>
      </w:r>
    </w:p>
    <w:p w14:paraId="056D0036">
      <w:pPr>
        <w:pStyle w:val="29"/>
        <w:spacing w:before="0" w:beforeAutospacing="0" w:after="0" w:afterAutospacing="0"/>
        <w:ind w:firstLine="720"/>
        <w:jc w:val="both"/>
        <w:rPr>
          <w:lang w:val="en-US"/>
        </w:rPr>
      </w:pPr>
      <w:r>
        <w:t xml:space="preserve"> These problems often make students less interested in writing activities in the classroom.</w:t>
      </w:r>
      <w:r>
        <w:rPr>
          <w:lang w:val="en-US"/>
        </w:rPr>
        <w:t xml:space="preserve"> </w:t>
      </w:r>
      <w:r>
        <w:rPr>
          <w:rFonts w:eastAsia="SimSun"/>
        </w:rPr>
        <w:t>Several previous studies have also shown the effectiveness of graffiti-based strategies in learning. Rafiqa Putri (2019) found that students who were taught using graffiti strategy performed significantly better than those who were not. Similarly, Evans (2024) reported that graffiti writing activities encourage students to engage in collaborative discussions and interact more actively with learning materials</w:t>
      </w:r>
      <w:r>
        <w:rPr>
          <w:rFonts w:eastAsia="SimSun"/>
          <w:lang w:val="en-US"/>
        </w:rPr>
        <w:t>.</w:t>
      </w:r>
    </w:p>
    <w:p w14:paraId="11E0E00B">
      <w:pPr>
        <w:pStyle w:val="29"/>
        <w:spacing w:before="0" w:beforeAutospacing="0" w:after="0" w:afterAutospacing="0"/>
        <w:ind w:firstLine="720"/>
        <w:jc w:val="both"/>
        <w:rPr>
          <w:lang w:val="en-US"/>
        </w:rPr>
      </w:pPr>
      <w:r>
        <w:t>There were several reasons why the researcher chose SMA Negeri 11 Palembang as the research sample. First, the researcher conducted teaching practice at the school for 40 days. Second, the researcher conducted interviews with English teachers regarding students’ writing problems. Third, during the practicum, the researcher observed that the students faced several problems in writing, such as lack of interest and motivation, limited vocabulary mastery, and noisy classroom conditions that made other students lose focus when writing.</w:t>
      </w:r>
    </w:p>
    <w:p w14:paraId="77728807">
      <w:pPr>
        <w:pStyle w:val="29"/>
        <w:spacing w:before="0" w:beforeAutospacing="0" w:after="0" w:afterAutospacing="0"/>
        <w:ind w:firstLine="720"/>
        <w:jc w:val="both"/>
      </w:pPr>
      <w:r>
        <w:t>Based on these theoretical perspectives and previous research findings, the concepts discussed in this chapter provided a strong theoretical framework for the study, supporting the assumption that the implementation of the graffiti wall technique could help students improve their writing skills, particularly in writing recount texts, by encouraging them to share ideas, interact with peers, and develop their ability to organize and communicate experiences effectively in written form.</w:t>
      </w:r>
    </w:p>
    <w:p w14:paraId="69006554">
      <w:pPr>
        <w:spacing w:before="240" w:line="36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14:paraId="2776D6F4">
      <w:pPr>
        <w:pStyle w:val="29"/>
        <w:spacing w:before="0" w:beforeAutospacing="0" w:after="0" w:afterAutospacing="0"/>
        <w:jc w:val="both"/>
        <w:rPr>
          <w:b/>
          <w:i/>
        </w:rPr>
      </w:pPr>
      <w:r>
        <w:rPr>
          <w:b/>
          <w:i/>
          <w:lang w:val="en-US"/>
        </w:rPr>
        <w:t>Research Design</w:t>
      </w:r>
    </w:p>
    <w:p w14:paraId="353E7EA6">
      <w:pPr>
        <w:pStyle w:val="29"/>
        <w:spacing w:before="0" w:beforeAutospacing="0" w:after="0" w:afterAutospacing="0"/>
        <w:ind w:firstLine="720"/>
        <w:jc w:val="both"/>
        <w:rPr>
          <w:lang w:val="en-US"/>
        </w:rPr>
      </w:pPr>
      <w:r>
        <w:t>This study employed a quasi-experimental research design using a pre-test and post-test non-equivalent group design. According to Creswell (2012), this design involves two groups in which one group receives a treatment while the other does not, and both groups are given a pre-test and a post-test to measure the effect of the treatment. In this research, the experimental group was taught using the graffiti wall technique, while the control group was taught using the conventional lecturing method.</w:t>
      </w:r>
      <w:r>
        <w:rPr>
          <w:lang w:val="en-US"/>
        </w:rPr>
        <w:t xml:space="preserve"> figure 1 presents the pre-test and post-test non equivalent group design.</w:t>
      </w:r>
    </w:p>
    <w:p w14:paraId="35CF7760">
      <w:pPr>
        <w:spacing w:line="360" w:lineRule="auto"/>
        <w:jc w:val="center"/>
        <w:rPr>
          <w:rFonts w:ascii="Times New Roman" w:hAnsi="Times New Roman"/>
          <w:b/>
          <w:bCs/>
          <w:sz w:val="24"/>
          <w:szCs w:val="24"/>
          <w:lang w:val="en-US"/>
        </w:rPr>
      </w:pPr>
    </w:p>
    <w:p w14:paraId="35F5AD0C">
      <w:pPr>
        <w:spacing w:line="360" w:lineRule="auto"/>
        <w:jc w:val="center"/>
        <w:rPr>
          <w:rFonts w:ascii="Times New Roman" w:hAnsi="Times New Roman"/>
          <w:b/>
          <w:bCs/>
          <w:sz w:val="24"/>
          <w:szCs w:val="24"/>
          <w:lang w:val="en-US"/>
        </w:rPr>
      </w:pPr>
      <w:r>
        <w:rPr>
          <w:lang w:val="en-US"/>
        </w:rPr>
        <w:drawing>
          <wp:inline distT="0" distB="0" distL="114300" distR="114300">
            <wp:extent cx="2780030" cy="1851660"/>
            <wp:effectExtent l="0" t="0" r="127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2783139" cy="1853761"/>
                    </a:xfrm>
                    <a:prstGeom prst="rect">
                      <a:avLst/>
                    </a:prstGeom>
                    <a:noFill/>
                    <a:ln>
                      <a:noFill/>
                    </a:ln>
                  </pic:spPr>
                </pic:pic>
              </a:graphicData>
            </a:graphic>
          </wp:inline>
        </w:drawing>
      </w:r>
    </w:p>
    <w:p w14:paraId="4FE28F10">
      <w:pPr>
        <w:spacing w:line="360" w:lineRule="auto"/>
        <w:jc w:val="center"/>
        <w:rPr>
          <w:rFonts w:ascii="Times New Roman" w:hAnsi="Times New Roman"/>
          <w:i/>
          <w:iCs/>
          <w:sz w:val="20"/>
          <w:szCs w:val="24"/>
          <w:lang w:val="en-US"/>
        </w:rPr>
      </w:pPr>
      <w:r>
        <w:rPr>
          <w:rFonts w:ascii="Times New Roman" w:hAnsi="Times New Roman"/>
          <w:bCs/>
          <w:i/>
          <w:szCs w:val="24"/>
          <w:lang w:val="en-US"/>
        </w:rPr>
        <w:t>Figure 1</w:t>
      </w:r>
      <w:r>
        <w:rPr>
          <w:rFonts w:ascii="Times New Roman" w:hAnsi="Times New Roman"/>
          <w:bCs/>
          <w:szCs w:val="24"/>
          <w:lang w:val="en-US"/>
        </w:rPr>
        <w:t xml:space="preserve"> </w:t>
      </w:r>
      <w:r>
        <w:rPr>
          <w:rFonts w:ascii="Times New Roman" w:hAnsi="Times New Roman"/>
          <w:bCs/>
          <w:szCs w:val="24"/>
        </w:rPr>
        <w:t>The Pre-Test and Postest Nonequivalent-Group Design</w:t>
      </w:r>
    </w:p>
    <w:p w14:paraId="3D8457B2">
      <w:pPr>
        <w:spacing w:line="360" w:lineRule="auto"/>
        <w:jc w:val="center"/>
        <w:rPr>
          <w:rFonts w:ascii="Times New Roman" w:hAnsi="Times New Roman"/>
          <w:i/>
          <w:iCs/>
          <w:sz w:val="20"/>
          <w:szCs w:val="24"/>
        </w:rPr>
      </w:pPr>
      <w:r>
        <w:rPr>
          <w:rFonts w:ascii="Times New Roman" w:hAnsi="Times New Roman"/>
          <w:i/>
          <w:iCs/>
          <w:sz w:val="20"/>
          <w:szCs w:val="24"/>
        </w:rPr>
        <w:t>(Source: Creswell, 2012)</w:t>
      </w:r>
    </w:p>
    <w:p w14:paraId="2D55657B">
      <w:pPr>
        <w:pStyle w:val="29"/>
        <w:jc w:val="both"/>
        <w:rPr>
          <w:b/>
          <w:i/>
        </w:rPr>
      </w:pPr>
      <w:r>
        <w:rPr>
          <w:b/>
          <w:i/>
          <w:lang w:val="en-US"/>
        </w:rPr>
        <w:t>The Population and Sample of The study</w:t>
      </w:r>
    </w:p>
    <w:p w14:paraId="7FB7B2F7">
      <w:pPr>
        <w:pStyle w:val="29"/>
        <w:ind w:firstLine="720"/>
        <w:jc w:val="both"/>
        <w:rPr>
          <w:lang w:val="en-US"/>
        </w:rPr>
      </w:pPr>
      <w:r>
        <w:t>The population of this study consisted of all tenth-grade students of SMA Negeri 11 Palembang in the academic year 2025/2026, totaling 418 students from twelve classes. The sample of the study was selected using purposive sampling. Two classes were chosen as the research sample with a total of 72 students. Class X.5, consisting of 36 students, served as the experimental group, while class X.10, consisting of 36 students, served as the control group. These classes were selected because both groups had similar problems in writing skill, such as limited vocabulary, difficulty using grammar and tenses, and challenges in organizing ideas in writing.</w:t>
      </w:r>
    </w:p>
    <w:p w14:paraId="40680795">
      <w:pPr>
        <w:pStyle w:val="63"/>
        <w:ind w:left="0"/>
        <w:jc w:val="both"/>
        <w:rPr>
          <w:b/>
          <w:i/>
        </w:rPr>
      </w:pPr>
      <w:r>
        <w:rPr>
          <w:b/>
          <w:i/>
        </w:rPr>
        <w:t>Techniques for Collecting Data</w:t>
      </w:r>
    </w:p>
    <w:p w14:paraId="4E571A1C">
      <w:pPr>
        <w:pStyle w:val="29"/>
        <w:ind w:firstLine="720"/>
        <w:jc w:val="both"/>
        <w:rPr>
          <w:b/>
        </w:rPr>
      </w:pPr>
      <w:r>
        <w:t>The data were collected through a writing test administered to both the experimental and control groups. The test consisted of a pre-test and a post-test to measure students’ writing ability before and after the treatment. In the test, students w</w:t>
      </w:r>
      <w:r>
        <w:rPr>
          <w:lang w:val="en-US"/>
        </w:rPr>
        <w:t>as</w:t>
      </w:r>
      <w:r>
        <w:t xml:space="preserve"> asked to write a recount text based on a given topic.</w:t>
      </w:r>
      <w:r>
        <w:rPr>
          <w:lang w:val="en-US"/>
        </w:rPr>
        <w:t xml:space="preserve"> </w:t>
      </w:r>
      <w:r>
        <w:t xml:space="preserve">The validity of the instrument was ensured by aligning the test with the learning objectives and the recount text material taught </w:t>
      </w:r>
      <w:r>
        <w:rPr>
          <w:lang w:val="en-US"/>
        </w:rPr>
        <w:t>at</w:t>
      </w:r>
      <w:r>
        <w:t xml:space="preserve"> the tenth grade curriculum. Meanwhile, the reliability of the test was maintained by using a consistent scoring rubric covering content, organization, vocabulary, grammar, and mechanics as proposed by Brown.</w:t>
      </w:r>
    </w:p>
    <w:p w14:paraId="36D374DB">
      <w:pPr>
        <w:spacing w:line="360" w:lineRule="auto"/>
        <w:rPr>
          <w:rFonts w:ascii="Times New Roman" w:hAnsi="Times New Roman"/>
          <w:b/>
          <w:sz w:val="24"/>
          <w:szCs w:val="24"/>
        </w:rPr>
      </w:pPr>
      <w:r>
        <w:rPr>
          <w:rFonts w:ascii="Times New Roman" w:hAnsi="Times New Roman"/>
          <w:b/>
          <w:sz w:val="24"/>
          <w:szCs w:val="24"/>
        </w:rPr>
        <w:t xml:space="preserve">FINDINGS </w:t>
      </w:r>
    </w:p>
    <w:p w14:paraId="0FE8E409">
      <w:pPr>
        <w:jc w:val="both"/>
        <w:rPr>
          <w:rFonts w:ascii="Times New Roman" w:hAnsi="Times New Roman"/>
          <w:b/>
          <w:i/>
          <w:sz w:val="24"/>
          <w:szCs w:val="24"/>
          <w:lang w:val="en-US"/>
        </w:rPr>
      </w:pPr>
      <w:r>
        <w:rPr>
          <w:rFonts w:ascii="Times New Roman" w:hAnsi="Times New Roman"/>
          <w:b/>
          <w:i/>
          <w:sz w:val="24"/>
          <w:szCs w:val="24"/>
          <w:lang w:val="en-US"/>
        </w:rPr>
        <w:t>Descriptives Analysis</w:t>
      </w:r>
    </w:p>
    <w:p w14:paraId="566BBBD9">
      <w:pPr>
        <w:jc w:val="both"/>
        <w:rPr>
          <w:rFonts w:ascii="Times New Roman" w:hAnsi="Times New Roman"/>
          <w:bCs/>
          <w:sz w:val="24"/>
          <w:szCs w:val="24"/>
          <w:lang w:val="en-US"/>
        </w:rPr>
      </w:pPr>
      <w:r>
        <w:rPr>
          <w:rFonts w:ascii="Times New Roman" w:hAnsi="Times New Roman"/>
          <w:b/>
          <w:sz w:val="24"/>
          <w:szCs w:val="24"/>
          <w:lang w:val="en-US"/>
        </w:rPr>
        <w:tab/>
      </w:r>
      <w:r>
        <w:rPr>
          <w:rFonts w:ascii="Times New Roman" w:hAnsi="Times New Roman"/>
          <w:bCs/>
          <w:sz w:val="24"/>
          <w:szCs w:val="24"/>
          <w:lang w:val="en-US"/>
        </w:rPr>
        <w:t>This descriptive analysis provided an overview of the pre-test and post-test scores of students in both the experimental and control groups, included a frequency distribution analysis.</w:t>
      </w:r>
    </w:p>
    <w:p w14:paraId="66814B57">
      <w:pPr>
        <w:ind w:firstLine="720"/>
        <w:jc w:val="both"/>
        <w:rPr>
          <w:rFonts w:ascii="Times New Roman" w:hAnsi="Times New Roman"/>
          <w:bCs/>
          <w:sz w:val="24"/>
          <w:szCs w:val="24"/>
          <w:lang w:val="en-US"/>
        </w:rPr>
      </w:pPr>
      <w:r>
        <w:rPr>
          <w:rFonts w:ascii="Times New Roman" w:hAnsi="Times New Roman"/>
          <w:bCs/>
          <w:sz w:val="24"/>
          <w:szCs w:val="24"/>
          <w:lang w:val="en-US"/>
        </w:rPr>
        <w:t>Descriptive analysis shown that the pre-test scores of the experimental group ranged from 32 to 98, with a mean of 78.69 and a standard deviation of 16.578. Meanwhile, post-test scores ranged from 50 to 98, with a mean of 86.00 and a standard deviation of 12.631, as shown in Table 1.</w:t>
      </w:r>
    </w:p>
    <w:p w14:paraId="5C4CC664">
      <w:pPr>
        <w:ind w:firstLine="720"/>
        <w:jc w:val="both"/>
        <w:rPr>
          <w:rFonts w:ascii="Times New Roman" w:hAnsi="Times New Roman"/>
          <w:bCs/>
          <w:sz w:val="24"/>
          <w:szCs w:val="24"/>
          <w:lang w:val="en-US"/>
        </w:rPr>
      </w:pPr>
    </w:p>
    <w:p w14:paraId="2350432E">
      <w:pPr>
        <w:jc w:val="center"/>
        <w:rPr>
          <w:rFonts w:ascii="Times New Roman" w:hAnsi="Times New Roman"/>
          <w:bCs/>
          <w:szCs w:val="24"/>
          <w:lang w:val="en-US"/>
        </w:rPr>
      </w:pPr>
      <w:r>
        <w:rPr>
          <w:rFonts w:ascii="Times New Roman" w:hAnsi="Times New Roman"/>
          <w:bCs/>
          <w:i/>
          <w:szCs w:val="24"/>
        </w:rPr>
        <w:t xml:space="preserve">Table </w:t>
      </w:r>
      <w:r>
        <w:rPr>
          <w:rFonts w:ascii="Times New Roman" w:hAnsi="Times New Roman"/>
          <w:bCs/>
          <w:i/>
          <w:szCs w:val="24"/>
          <w:lang w:val="en-US"/>
        </w:rPr>
        <w:t>1</w:t>
      </w:r>
      <w:r>
        <w:rPr>
          <w:rFonts w:ascii="Times New Roman" w:hAnsi="Times New Roman"/>
          <w:bCs/>
          <w:szCs w:val="24"/>
          <w:lang w:val="en-US"/>
        </w:rPr>
        <w:t xml:space="preserve"> The </w:t>
      </w:r>
      <w:r>
        <w:rPr>
          <w:rFonts w:ascii="Times New Roman" w:hAnsi="Times New Roman"/>
          <w:bCs/>
          <w:szCs w:val="24"/>
        </w:rPr>
        <w:t xml:space="preserve">Descriptive Analysis in Pre-Test and Post Test </w:t>
      </w:r>
      <w:r>
        <w:rPr>
          <w:rFonts w:ascii="Times New Roman" w:hAnsi="Times New Roman"/>
          <w:bCs/>
          <w:szCs w:val="24"/>
          <w:lang w:val="en-US"/>
        </w:rPr>
        <w:br w:type="textWrapping"/>
      </w:r>
      <w:r>
        <w:rPr>
          <w:rFonts w:ascii="Times New Roman" w:hAnsi="Times New Roman"/>
          <w:bCs/>
          <w:szCs w:val="24"/>
        </w:rPr>
        <w:t>of Experimental Group</w:t>
      </w:r>
    </w:p>
    <w:tbl>
      <w:tblPr>
        <w:tblStyle w:val="33"/>
        <w:tblW w:w="803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9"/>
        <w:gridCol w:w="1153"/>
        <w:gridCol w:w="511"/>
        <w:gridCol w:w="1253"/>
        <w:gridCol w:w="1368"/>
        <w:gridCol w:w="939"/>
        <w:gridCol w:w="1286"/>
      </w:tblGrid>
      <w:tr w14:paraId="48ED6A5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9" w:hRule="atLeast"/>
        </w:trPr>
        <w:tc>
          <w:tcPr>
            <w:tcW w:w="1529" w:type="dxa"/>
            <w:vAlign w:val="center"/>
          </w:tcPr>
          <w:p w14:paraId="728E705A">
            <w:pPr>
              <w:widowControl w:val="0"/>
              <w:jc w:val="center"/>
              <w:rPr>
                <w:rFonts w:ascii="Times New Roman" w:hAnsi="Times New Roman"/>
                <w:b/>
                <w:bCs/>
                <w:sz w:val="20"/>
                <w:szCs w:val="24"/>
                <w:lang w:eastAsia="id-ID"/>
              </w:rPr>
            </w:pPr>
            <w:r>
              <w:rPr>
                <w:rFonts w:ascii="Times New Roman" w:hAnsi="Times New Roman"/>
                <w:b/>
                <w:bCs/>
                <w:sz w:val="20"/>
                <w:szCs w:val="24"/>
                <w:lang w:eastAsia="id-ID"/>
              </w:rPr>
              <w:t>Groups</w:t>
            </w:r>
          </w:p>
        </w:tc>
        <w:tc>
          <w:tcPr>
            <w:tcW w:w="1153" w:type="dxa"/>
            <w:vAlign w:val="center"/>
          </w:tcPr>
          <w:p w14:paraId="1AB87374">
            <w:pPr>
              <w:widowControl w:val="0"/>
              <w:jc w:val="center"/>
              <w:rPr>
                <w:rFonts w:ascii="Times New Roman" w:hAnsi="Times New Roman"/>
                <w:b/>
                <w:bCs/>
                <w:sz w:val="20"/>
                <w:szCs w:val="24"/>
                <w:lang w:eastAsia="id-ID"/>
              </w:rPr>
            </w:pPr>
          </w:p>
        </w:tc>
        <w:tc>
          <w:tcPr>
            <w:tcW w:w="511" w:type="dxa"/>
            <w:vAlign w:val="center"/>
          </w:tcPr>
          <w:p w14:paraId="08380C00">
            <w:pPr>
              <w:widowControl w:val="0"/>
              <w:jc w:val="center"/>
              <w:rPr>
                <w:rFonts w:ascii="Times New Roman" w:hAnsi="Times New Roman"/>
                <w:b/>
                <w:bCs/>
                <w:sz w:val="20"/>
                <w:szCs w:val="24"/>
                <w:lang w:eastAsia="id-ID"/>
              </w:rPr>
            </w:pPr>
            <w:r>
              <w:rPr>
                <w:rFonts w:ascii="Times New Roman" w:hAnsi="Times New Roman"/>
                <w:b/>
                <w:bCs/>
                <w:sz w:val="20"/>
                <w:szCs w:val="24"/>
                <w:lang w:eastAsia="id-ID"/>
              </w:rPr>
              <w:t>N</w:t>
            </w:r>
          </w:p>
        </w:tc>
        <w:tc>
          <w:tcPr>
            <w:tcW w:w="1253" w:type="dxa"/>
            <w:vAlign w:val="center"/>
          </w:tcPr>
          <w:p w14:paraId="04020DA7">
            <w:pPr>
              <w:widowControl w:val="0"/>
              <w:jc w:val="center"/>
              <w:rPr>
                <w:rFonts w:ascii="Times New Roman" w:hAnsi="Times New Roman"/>
                <w:b/>
                <w:sz w:val="20"/>
                <w:szCs w:val="24"/>
                <w:lang w:eastAsia="id-ID"/>
              </w:rPr>
            </w:pPr>
            <w:r>
              <w:rPr>
                <w:rFonts w:ascii="Times New Roman" w:hAnsi="Times New Roman"/>
                <w:b/>
                <w:sz w:val="20"/>
                <w:szCs w:val="24"/>
                <w:lang w:eastAsia="id-ID"/>
              </w:rPr>
              <w:t>Minimum</w:t>
            </w:r>
          </w:p>
        </w:tc>
        <w:tc>
          <w:tcPr>
            <w:tcW w:w="1368" w:type="dxa"/>
            <w:vAlign w:val="center"/>
          </w:tcPr>
          <w:p w14:paraId="7A6CCECE">
            <w:pPr>
              <w:widowControl w:val="0"/>
              <w:jc w:val="center"/>
              <w:rPr>
                <w:rFonts w:ascii="Times New Roman" w:hAnsi="Times New Roman"/>
                <w:b/>
                <w:sz w:val="20"/>
                <w:szCs w:val="24"/>
                <w:lang w:eastAsia="id-ID"/>
              </w:rPr>
            </w:pPr>
            <w:r>
              <w:rPr>
                <w:rFonts w:ascii="Times New Roman" w:hAnsi="Times New Roman"/>
                <w:b/>
                <w:sz w:val="20"/>
                <w:szCs w:val="24"/>
                <w:lang w:eastAsia="id-ID"/>
              </w:rPr>
              <w:t>Maximum</w:t>
            </w:r>
          </w:p>
        </w:tc>
        <w:tc>
          <w:tcPr>
            <w:tcW w:w="939" w:type="dxa"/>
            <w:vAlign w:val="center"/>
          </w:tcPr>
          <w:p w14:paraId="22B8FA50">
            <w:pPr>
              <w:widowControl w:val="0"/>
              <w:jc w:val="center"/>
              <w:rPr>
                <w:rFonts w:ascii="Times New Roman" w:hAnsi="Times New Roman"/>
                <w:b/>
                <w:sz w:val="20"/>
                <w:szCs w:val="24"/>
                <w:lang w:eastAsia="id-ID"/>
              </w:rPr>
            </w:pPr>
            <w:r>
              <w:rPr>
                <w:rFonts w:ascii="Times New Roman" w:hAnsi="Times New Roman"/>
                <w:b/>
                <w:sz w:val="20"/>
                <w:szCs w:val="24"/>
                <w:lang w:eastAsia="id-ID"/>
              </w:rPr>
              <w:t>Mean</w:t>
            </w:r>
          </w:p>
        </w:tc>
        <w:tc>
          <w:tcPr>
            <w:tcW w:w="1286" w:type="dxa"/>
            <w:vAlign w:val="center"/>
          </w:tcPr>
          <w:p w14:paraId="447B0C59">
            <w:pPr>
              <w:widowControl w:val="0"/>
              <w:jc w:val="center"/>
              <w:rPr>
                <w:rFonts w:ascii="Times New Roman" w:hAnsi="Times New Roman"/>
                <w:b/>
                <w:sz w:val="20"/>
                <w:szCs w:val="24"/>
                <w:lang w:eastAsia="id-ID"/>
              </w:rPr>
            </w:pPr>
            <w:r>
              <w:rPr>
                <w:rFonts w:ascii="Times New Roman" w:hAnsi="Times New Roman"/>
                <w:b/>
                <w:sz w:val="20"/>
                <w:szCs w:val="24"/>
                <w:lang w:eastAsia="id-ID"/>
              </w:rPr>
              <w:t>Std.</w:t>
            </w:r>
          </w:p>
          <w:p w14:paraId="26AA5E7F">
            <w:pPr>
              <w:widowControl w:val="0"/>
              <w:jc w:val="center"/>
              <w:rPr>
                <w:rFonts w:ascii="Times New Roman" w:hAnsi="Times New Roman"/>
                <w:b/>
                <w:sz w:val="20"/>
                <w:szCs w:val="24"/>
                <w:lang w:eastAsia="id-ID"/>
              </w:rPr>
            </w:pPr>
            <w:r>
              <w:rPr>
                <w:rFonts w:ascii="Times New Roman" w:hAnsi="Times New Roman"/>
                <w:b/>
                <w:sz w:val="20"/>
                <w:szCs w:val="24"/>
                <w:lang w:eastAsia="id-ID"/>
              </w:rPr>
              <w:t>Deviation</w:t>
            </w:r>
          </w:p>
        </w:tc>
      </w:tr>
      <w:tr w14:paraId="36E6542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29" w:type="dxa"/>
            <w:vMerge w:val="restart"/>
            <w:vAlign w:val="center"/>
          </w:tcPr>
          <w:p w14:paraId="31EA7C76">
            <w:pPr>
              <w:widowControl w:val="0"/>
              <w:jc w:val="center"/>
              <w:rPr>
                <w:rFonts w:ascii="Times New Roman" w:hAnsi="Times New Roman"/>
                <w:sz w:val="20"/>
                <w:szCs w:val="24"/>
                <w:lang w:eastAsia="id-ID"/>
              </w:rPr>
            </w:pPr>
            <w:r>
              <w:rPr>
                <w:rFonts w:ascii="Times New Roman" w:hAnsi="Times New Roman"/>
                <w:sz w:val="20"/>
                <w:szCs w:val="24"/>
                <w:lang w:eastAsia="id-ID"/>
              </w:rPr>
              <w:t>Experimental</w:t>
            </w:r>
          </w:p>
        </w:tc>
        <w:tc>
          <w:tcPr>
            <w:tcW w:w="1153" w:type="dxa"/>
            <w:vAlign w:val="center"/>
          </w:tcPr>
          <w:p w14:paraId="71CB9137">
            <w:pPr>
              <w:widowControl w:val="0"/>
              <w:jc w:val="center"/>
              <w:rPr>
                <w:rFonts w:ascii="Times New Roman" w:hAnsi="Times New Roman"/>
                <w:sz w:val="20"/>
                <w:szCs w:val="24"/>
                <w:lang w:eastAsia="id-ID"/>
              </w:rPr>
            </w:pPr>
            <w:r>
              <w:rPr>
                <w:rFonts w:ascii="Times New Roman" w:hAnsi="Times New Roman"/>
                <w:sz w:val="20"/>
                <w:szCs w:val="24"/>
                <w:lang w:eastAsia="id-ID"/>
              </w:rPr>
              <w:t>Pre-Test</w:t>
            </w:r>
          </w:p>
        </w:tc>
        <w:tc>
          <w:tcPr>
            <w:tcW w:w="511" w:type="dxa"/>
            <w:vAlign w:val="center"/>
          </w:tcPr>
          <w:p w14:paraId="7F0266CD">
            <w:pPr>
              <w:widowControl w:val="0"/>
              <w:jc w:val="center"/>
              <w:rPr>
                <w:rFonts w:ascii="Times New Roman" w:hAnsi="Times New Roman"/>
                <w:sz w:val="20"/>
                <w:szCs w:val="24"/>
                <w:lang w:eastAsia="id-ID"/>
              </w:rPr>
            </w:pPr>
            <w:r>
              <w:rPr>
                <w:rFonts w:ascii="Times New Roman" w:hAnsi="Times New Roman"/>
                <w:sz w:val="20"/>
                <w:szCs w:val="24"/>
                <w:lang w:eastAsia="id-ID"/>
              </w:rPr>
              <w:t>36</w:t>
            </w:r>
          </w:p>
        </w:tc>
        <w:tc>
          <w:tcPr>
            <w:tcW w:w="1253" w:type="dxa"/>
            <w:vAlign w:val="center"/>
          </w:tcPr>
          <w:p w14:paraId="515D82DB">
            <w:pPr>
              <w:widowControl w:val="0"/>
              <w:jc w:val="center"/>
              <w:rPr>
                <w:rFonts w:ascii="Times New Roman" w:hAnsi="Times New Roman"/>
                <w:sz w:val="20"/>
                <w:szCs w:val="24"/>
                <w:lang w:eastAsia="id-ID"/>
              </w:rPr>
            </w:pPr>
            <w:r>
              <w:rPr>
                <w:rFonts w:ascii="Times New Roman" w:hAnsi="Times New Roman"/>
                <w:sz w:val="20"/>
                <w:szCs w:val="24"/>
                <w:lang w:eastAsia="id-ID"/>
              </w:rPr>
              <w:t>32</w:t>
            </w:r>
          </w:p>
        </w:tc>
        <w:tc>
          <w:tcPr>
            <w:tcW w:w="1368" w:type="dxa"/>
            <w:vAlign w:val="center"/>
          </w:tcPr>
          <w:p w14:paraId="6FC8D9F9">
            <w:pPr>
              <w:widowControl w:val="0"/>
              <w:jc w:val="center"/>
              <w:rPr>
                <w:rFonts w:ascii="Times New Roman" w:hAnsi="Times New Roman"/>
                <w:sz w:val="20"/>
                <w:szCs w:val="24"/>
                <w:lang w:eastAsia="id-ID"/>
              </w:rPr>
            </w:pPr>
            <w:r>
              <w:rPr>
                <w:rFonts w:ascii="Times New Roman" w:hAnsi="Times New Roman"/>
                <w:sz w:val="20"/>
                <w:szCs w:val="24"/>
                <w:lang w:eastAsia="id-ID"/>
              </w:rPr>
              <w:t>98</w:t>
            </w:r>
          </w:p>
        </w:tc>
        <w:tc>
          <w:tcPr>
            <w:tcW w:w="939" w:type="dxa"/>
            <w:shd w:val="clear" w:color="auto" w:fill="FFFFFF"/>
            <w:vAlign w:val="center"/>
          </w:tcPr>
          <w:p w14:paraId="7BA4D8DC">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76.89</w:t>
            </w:r>
          </w:p>
        </w:tc>
        <w:tc>
          <w:tcPr>
            <w:tcW w:w="1286" w:type="dxa"/>
            <w:shd w:val="clear" w:color="auto" w:fill="FFFFFF"/>
            <w:vAlign w:val="center"/>
          </w:tcPr>
          <w:p w14:paraId="169CD198">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16.578</w:t>
            </w:r>
          </w:p>
        </w:tc>
      </w:tr>
      <w:tr w14:paraId="51480EE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29" w:type="dxa"/>
            <w:vMerge w:val="continue"/>
            <w:vAlign w:val="center"/>
          </w:tcPr>
          <w:p w14:paraId="69CC9CE4">
            <w:pPr>
              <w:widowControl w:val="0"/>
              <w:jc w:val="center"/>
              <w:rPr>
                <w:rFonts w:ascii="Times New Roman" w:hAnsi="Times New Roman"/>
                <w:sz w:val="20"/>
                <w:szCs w:val="24"/>
                <w:lang w:eastAsia="id-ID"/>
              </w:rPr>
            </w:pPr>
          </w:p>
        </w:tc>
        <w:tc>
          <w:tcPr>
            <w:tcW w:w="1153" w:type="dxa"/>
            <w:vAlign w:val="center"/>
          </w:tcPr>
          <w:p w14:paraId="2BACDC91">
            <w:pPr>
              <w:widowControl w:val="0"/>
              <w:jc w:val="center"/>
              <w:rPr>
                <w:rFonts w:ascii="Times New Roman" w:hAnsi="Times New Roman"/>
                <w:sz w:val="20"/>
                <w:szCs w:val="24"/>
                <w:lang w:eastAsia="id-ID"/>
              </w:rPr>
            </w:pPr>
            <w:r>
              <w:rPr>
                <w:rFonts w:ascii="Times New Roman" w:hAnsi="Times New Roman"/>
                <w:sz w:val="20"/>
                <w:szCs w:val="24"/>
                <w:lang w:eastAsia="id-ID"/>
              </w:rPr>
              <w:t>Post-Test</w:t>
            </w:r>
          </w:p>
        </w:tc>
        <w:tc>
          <w:tcPr>
            <w:tcW w:w="511" w:type="dxa"/>
            <w:vAlign w:val="center"/>
          </w:tcPr>
          <w:p w14:paraId="576B5DF8">
            <w:pPr>
              <w:widowControl w:val="0"/>
              <w:jc w:val="center"/>
              <w:rPr>
                <w:rFonts w:ascii="Times New Roman" w:hAnsi="Times New Roman"/>
                <w:sz w:val="20"/>
                <w:szCs w:val="24"/>
                <w:lang w:eastAsia="id-ID"/>
              </w:rPr>
            </w:pPr>
            <w:r>
              <w:rPr>
                <w:rFonts w:ascii="Times New Roman" w:hAnsi="Times New Roman"/>
                <w:sz w:val="20"/>
                <w:szCs w:val="24"/>
                <w:lang w:eastAsia="id-ID"/>
              </w:rPr>
              <w:t>36</w:t>
            </w:r>
          </w:p>
        </w:tc>
        <w:tc>
          <w:tcPr>
            <w:tcW w:w="1253" w:type="dxa"/>
            <w:vAlign w:val="center"/>
          </w:tcPr>
          <w:p w14:paraId="09446FB4">
            <w:pPr>
              <w:widowControl w:val="0"/>
              <w:jc w:val="center"/>
              <w:rPr>
                <w:rFonts w:ascii="Times New Roman" w:hAnsi="Times New Roman"/>
                <w:sz w:val="20"/>
                <w:szCs w:val="24"/>
                <w:lang w:eastAsia="id-ID"/>
              </w:rPr>
            </w:pPr>
            <w:r>
              <w:rPr>
                <w:rFonts w:ascii="Times New Roman" w:hAnsi="Times New Roman"/>
                <w:sz w:val="20"/>
                <w:szCs w:val="24"/>
                <w:lang w:eastAsia="id-ID"/>
              </w:rPr>
              <w:t>50</w:t>
            </w:r>
          </w:p>
        </w:tc>
        <w:tc>
          <w:tcPr>
            <w:tcW w:w="1368" w:type="dxa"/>
            <w:vAlign w:val="center"/>
          </w:tcPr>
          <w:p w14:paraId="3983F084">
            <w:pPr>
              <w:widowControl w:val="0"/>
              <w:jc w:val="center"/>
              <w:rPr>
                <w:rFonts w:ascii="Times New Roman" w:hAnsi="Times New Roman"/>
                <w:sz w:val="20"/>
                <w:szCs w:val="24"/>
                <w:lang w:eastAsia="id-ID"/>
              </w:rPr>
            </w:pPr>
            <w:r>
              <w:rPr>
                <w:rFonts w:ascii="Times New Roman" w:hAnsi="Times New Roman"/>
                <w:sz w:val="20"/>
                <w:szCs w:val="24"/>
                <w:lang w:eastAsia="id-ID"/>
              </w:rPr>
              <w:t>98</w:t>
            </w:r>
          </w:p>
        </w:tc>
        <w:tc>
          <w:tcPr>
            <w:tcW w:w="939" w:type="dxa"/>
            <w:shd w:val="clear" w:color="auto" w:fill="FFFFFF"/>
            <w:vAlign w:val="center"/>
          </w:tcPr>
          <w:p w14:paraId="0EE9C7E0">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86.00</w:t>
            </w:r>
          </w:p>
        </w:tc>
        <w:tc>
          <w:tcPr>
            <w:tcW w:w="1286" w:type="dxa"/>
            <w:shd w:val="clear" w:color="auto" w:fill="FFFFFF"/>
            <w:vAlign w:val="center"/>
          </w:tcPr>
          <w:p w14:paraId="419FA240">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12.631</w:t>
            </w:r>
          </w:p>
        </w:tc>
      </w:tr>
    </w:tbl>
    <w:p w14:paraId="622CCF05">
      <w:pPr>
        <w:rPr>
          <w:rFonts w:ascii="Times New Roman" w:hAnsi="Times New Roman"/>
          <w:bCs/>
          <w:sz w:val="24"/>
          <w:szCs w:val="24"/>
          <w:lang w:val="en-US"/>
        </w:rPr>
      </w:pPr>
    </w:p>
    <w:p w14:paraId="3E94ED44">
      <w:pPr>
        <w:ind w:firstLine="720"/>
        <w:jc w:val="both"/>
        <w:rPr>
          <w:rFonts w:ascii="Times New Roman" w:hAnsi="Times New Roman"/>
          <w:bCs/>
          <w:sz w:val="24"/>
          <w:szCs w:val="24"/>
          <w:lang w:val="en-US"/>
        </w:rPr>
      </w:pPr>
      <w:r>
        <w:rPr>
          <w:rFonts w:ascii="Times New Roman" w:hAnsi="Times New Roman"/>
          <w:bCs/>
          <w:sz w:val="24"/>
          <w:szCs w:val="24"/>
          <w:lang w:val="en-US"/>
        </w:rPr>
        <w:t>In addition, the pre-test results for the control group showed a highest score of 77, a lowest score of 27, a mean of 51.42, and a standard deviation of 13.342. Then, the post-test results showed a highest score of 92, a lowest score of 50, a mean of 74.81, and a standard deviation of 11.988 (see Table 2).</w:t>
      </w:r>
    </w:p>
    <w:p w14:paraId="5D363A8E">
      <w:pPr>
        <w:rPr>
          <w:rFonts w:ascii="Times New Roman" w:hAnsi="Times New Roman"/>
          <w:b/>
          <w:bCs/>
          <w:sz w:val="24"/>
          <w:szCs w:val="24"/>
        </w:rPr>
      </w:pPr>
    </w:p>
    <w:p w14:paraId="73215CB6">
      <w:pPr>
        <w:jc w:val="center"/>
        <w:rPr>
          <w:rFonts w:ascii="Times New Roman" w:hAnsi="Times New Roman"/>
          <w:bCs/>
          <w:szCs w:val="24"/>
        </w:rPr>
      </w:pPr>
      <w:r>
        <w:rPr>
          <w:rFonts w:ascii="Times New Roman" w:hAnsi="Times New Roman"/>
          <w:bCs/>
          <w:i/>
          <w:szCs w:val="24"/>
        </w:rPr>
        <w:t xml:space="preserve">Table </w:t>
      </w:r>
      <w:r>
        <w:rPr>
          <w:rFonts w:ascii="Times New Roman" w:hAnsi="Times New Roman"/>
          <w:bCs/>
          <w:i/>
          <w:szCs w:val="24"/>
          <w:lang w:val="en-US"/>
        </w:rPr>
        <w:t>2</w:t>
      </w:r>
      <w:r>
        <w:rPr>
          <w:rFonts w:ascii="Times New Roman" w:hAnsi="Times New Roman"/>
          <w:bCs/>
          <w:szCs w:val="24"/>
          <w:lang w:val="en-US"/>
        </w:rPr>
        <w:t xml:space="preserve"> The </w:t>
      </w:r>
      <w:r>
        <w:rPr>
          <w:rFonts w:ascii="Times New Roman" w:hAnsi="Times New Roman"/>
          <w:bCs/>
          <w:szCs w:val="24"/>
        </w:rPr>
        <w:t>Descriptive Analysis in Pre-Test and Post Test of Control Group</w:t>
      </w:r>
    </w:p>
    <w:tbl>
      <w:tblPr>
        <w:tblStyle w:val="33"/>
        <w:tblpPr w:leftFromText="180" w:rightFromText="180" w:vertAnchor="text" w:horzAnchor="page" w:tblpX="2434" w:tblpY="220"/>
        <w:tblOverlap w:val="never"/>
        <w:tblW w:w="7890"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50"/>
        <w:gridCol w:w="1170"/>
        <w:gridCol w:w="577"/>
        <w:gridCol w:w="1286"/>
        <w:gridCol w:w="1351"/>
        <w:gridCol w:w="1006"/>
        <w:gridCol w:w="1450"/>
      </w:tblGrid>
      <w:tr w14:paraId="46D740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9" w:hRule="atLeast"/>
        </w:trPr>
        <w:tc>
          <w:tcPr>
            <w:tcW w:w="1050" w:type="dxa"/>
            <w:vAlign w:val="center"/>
          </w:tcPr>
          <w:p w14:paraId="77B08BC4">
            <w:pPr>
              <w:widowControl w:val="0"/>
              <w:jc w:val="center"/>
              <w:rPr>
                <w:rFonts w:ascii="Times New Roman" w:hAnsi="Times New Roman"/>
                <w:b/>
                <w:bCs/>
                <w:sz w:val="20"/>
                <w:szCs w:val="24"/>
                <w:lang w:eastAsia="id-ID"/>
              </w:rPr>
            </w:pPr>
            <w:r>
              <w:rPr>
                <w:rFonts w:ascii="Times New Roman" w:hAnsi="Times New Roman"/>
                <w:b/>
                <w:bCs/>
                <w:sz w:val="20"/>
                <w:szCs w:val="24"/>
                <w:lang w:eastAsia="id-ID"/>
              </w:rPr>
              <w:t>Groups</w:t>
            </w:r>
          </w:p>
        </w:tc>
        <w:tc>
          <w:tcPr>
            <w:tcW w:w="1170" w:type="dxa"/>
            <w:vAlign w:val="center"/>
          </w:tcPr>
          <w:p w14:paraId="5E24A05D">
            <w:pPr>
              <w:widowControl w:val="0"/>
              <w:jc w:val="center"/>
              <w:rPr>
                <w:rFonts w:ascii="Times New Roman" w:hAnsi="Times New Roman"/>
                <w:b/>
                <w:bCs/>
                <w:sz w:val="20"/>
                <w:szCs w:val="24"/>
                <w:lang w:eastAsia="id-ID"/>
              </w:rPr>
            </w:pPr>
          </w:p>
        </w:tc>
        <w:tc>
          <w:tcPr>
            <w:tcW w:w="577" w:type="dxa"/>
            <w:vAlign w:val="center"/>
          </w:tcPr>
          <w:p w14:paraId="5F4D70DC">
            <w:pPr>
              <w:widowControl w:val="0"/>
              <w:jc w:val="center"/>
              <w:rPr>
                <w:rFonts w:ascii="Times New Roman" w:hAnsi="Times New Roman"/>
                <w:b/>
                <w:bCs/>
                <w:sz w:val="20"/>
                <w:szCs w:val="24"/>
                <w:lang w:eastAsia="id-ID"/>
              </w:rPr>
            </w:pPr>
            <w:r>
              <w:rPr>
                <w:rFonts w:ascii="Times New Roman" w:hAnsi="Times New Roman"/>
                <w:b/>
                <w:bCs/>
                <w:sz w:val="20"/>
                <w:szCs w:val="24"/>
                <w:lang w:eastAsia="id-ID"/>
              </w:rPr>
              <w:t>N</w:t>
            </w:r>
          </w:p>
        </w:tc>
        <w:tc>
          <w:tcPr>
            <w:tcW w:w="1286" w:type="dxa"/>
            <w:vAlign w:val="center"/>
          </w:tcPr>
          <w:p w14:paraId="4C59F6CE">
            <w:pPr>
              <w:widowControl w:val="0"/>
              <w:jc w:val="center"/>
              <w:rPr>
                <w:rFonts w:ascii="Times New Roman" w:hAnsi="Times New Roman"/>
                <w:b/>
                <w:sz w:val="20"/>
                <w:szCs w:val="24"/>
                <w:lang w:eastAsia="id-ID"/>
              </w:rPr>
            </w:pPr>
            <w:r>
              <w:rPr>
                <w:rFonts w:ascii="Times New Roman" w:hAnsi="Times New Roman"/>
                <w:b/>
                <w:sz w:val="20"/>
                <w:szCs w:val="24"/>
                <w:lang w:eastAsia="id-ID"/>
              </w:rPr>
              <w:t>Minimum</w:t>
            </w:r>
          </w:p>
        </w:tc>
        <w:tc>
          <w:tcPr>
            <w:tcW w:w="1351" w:type="dxa"/>
            <w:vAlign w:val="center"/>
          </w:tcPr>
          <w:p w14:paraId="327118F4">
            <w:pPr>
              <w:widowControl w:val="0"/>
              <w:jc w:val="center"/>
              <w:rPr>
                <w:rFonts w:ascii="Times New Roman" w:hAnsi="Times New Roman"/>
                <w:b/>
                <w:sz w:val="20"/>
                <w:szCs w:val="24"/>
                <w:lang w:eastAsia="id-ID"/>
              </w:rPr>
            </w:pPr>
            <w:r>
              <w:rPr>
                <w:rFonts w:ascii="Times New Roman" w:hAnsi="Times New Roman"/>
                <w:b/>
                <w:sz w:val="20"/>
                <w:szCs w:val="24"/>
                <w:lang w:eastAsia="id-ID"/>
              </w:rPr>
              <w:t>Maximum</w:t>
            </w:r>
          </w:p>
        </w:tc>
        <w:tc>
          <w:tcPr>
            <w:tcW w:w="1006" w:type="dxa"/>
            <w:vAlign w:val="center"/>
          </w:tcPr>
          <w:p w14:paraId="3CED7587">
            <w:pPr>
              <w:widowControl w:val="0"/>
              <w:jc w:val="center"/>
              <w:rPr>
                <w:rFonts w:ascii="Times New Roman" w:hAnsi="Times New Roman"/>
                <w:b/>
                <w:sz w:val="20"/>
                <w:szCs w:val="24"/>
                <w:lang w:eastAsia="id-ID"/>
              </w:rPr>
            </w:pPr>
            <w:r>
              <w:rPr>
                <w:rFonts w:ascii="Times New Roman" w:hAnsi="Times New Roman"/>
                <w:b/>
                <w:sz w:val="20"/>
                <w:szCs w:val="24"/>
                <w:lang w:eastAsia="id-ID"/>
              </w:rPr>
              <w:t>Mean</w:t>
            </w:r>
          </w:p>
        </w:tc>
        <w:tc>
          <w:tcPr>
            <w:tcW w:w="1450" w:type="dxa"/>
            <w:vAlign w:val="center"/>
          </w:tcPr>
          <w:p w14:paraId="624C9631">
            <w:pPr>
              <w:widowControl w:val="0"/>
              <w:jc w:val="center"/>
              <w:rPr>
                <w:rFonts w:ascii="Times New Roman" w:hAnsi="Times New Roman"/>
                <w:b/>
                <w:sz w:val="20"/>
                <w:szCs w:val="24"/>
                <w:lang w:eastAsia="id-ID"/>
              </w:rPr>
            </w:pPr>
            <w:r>
              <w:rPr>
                <w:rFonts w:ascii="Times New Roman" w:hAnsi="Times New Roman"/>
                <w:b/>
                <w:sz w:val="20"/>
                <w:szCs w:val="24"/>
                <w:lang w:eastAsia="id-ID"/>
              </w:rPr>
              <w:t>Std.</w:t>
            </w:r>
          </w:p>
          <w:p w14:paraId="5B844EF6">
            <w:pPr>
              <w:widowControl w:val="0"/>
              <w:jc w:val="center"/>
              <w:rPr>
                <w:rFonts w:ascii="Times New Roman" w:hAnsi="Times New Roman"/>
                <w:b/>
                <w:sz w:val="20"/>
                <w:szCs w:val="24"/>
                <w:lang w:eastAsia="id-ID"/>
              </w:rPr>
            </w:pPr>
            <w:r>
              <w:rPr>
                <w:rFonts w:ascii="Times New Roman" w:hAnsi="Times New Roman"/>
                <w:b/>
                <w:sz w:val="20"/>
                <w:szCs w:val="24"/>
                <w:lang w:eastAsia="id-ID"/>
              </w:rPr>
              <w:t>Deviation</w:t>
            </w:r>
          </w:p>
        </w:tc>
      </w:tr>
      <w:tr w14:paraId="3EA8A7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50" w:type="dxa"/>
            <w:vMerge w:val="restart"/>
            <w:vAlign w:val="center"/>
          </w:tcPr>
          <w:p w14:paraId="7017D21A">
            <w:pPr>
              <w:widowControl w:val="0"/>
              <w:jc w:val="center"/>
              <w:rPr>
                <w:rFonts w:ascii="Times New Roman" w:hAnsi="Times New Roman"/>
                <w:sz w:val="20"/>
                <w:szCs w:val="24"/>
                <w:lang w:eastAsia="id-ID"/>
              </w:rPr>
            </w:pPr>
            <w:r>
              <w:rPr>
                <w:rFonts w:ascii="Times New Roman" w:hAnsi="Times New Roman"/>
                <w:sz w:val="20"/>
                <w:szCs w:val="24"/>
                <w:lang w:eastAsia="id-ID"/>
              </w:rPr>
              <w:t>Control</w:t>
            </w:r>
          </w:p>
        </w:tc>
        <w:tc>
          <w:tcPr>
            <w:tcW w:w="1170" w:type="dxa"/>
            <w:vAlign w:val="center"/>
          </w:tcPr>
          <w:p w14:paraId="02CDEE28">
            <w:pPr>
              <w:widowControl w:val="0"/>
              <w:jc w:val="center"/>
              <w:rPr>
                <w:rFonts w:ascii="Times New Roman" w:hAnsi="Times New Roman"/>
                <w:sz w:val="20"/>
                <w:szCs w:val="24"/>
                <w:lang w:eastAsia="id-ID"/>
              </w:rPr>
            </w:pPr>
            <w:r>
              <w:rPr>
                <w:rFonts w:ascii="Times New Roman" w:hAnsi="Times New Roman"/>
                <w:sz w:val="20"/>
                <w:szCs w:val="24"/>
                <w:lang w:eastAsia="id-ID"/>
              </w:rPr>
              <w:t>Pre-Test</w:t>
            </w:r>
          </w:p>
        </w:tc>
        <w:tc>
          <w:tcPr>
            <w:tcW w:w="577" w:type="dxa"/>
            <w:vAlign w:val="center"/>
          </w:tcPr>
          <w:p w14:paraId="37B67F46">
            <w:pPr>
              <w:widowControl w:val="0"/>
              <w:jc w:val="center"/>
              <w:rPr>
                <w:rFonts w:ascii="Times New Roman" w:hAnsi="Times New Roman"/>
                <w:sz w:val="20"/>
                <w:szCs w:val="24"/>
                <w:lang w:eastAsia="id-ID"/>
              </w:rPr>
            </w:pPr>
            <w:r>
              <w:rPr>
                <w:rFonts w:ascii="Times New Roman" w:hAnsi="Times New Roman"/>
                <w:sz w:val="20"/>
                <w:szCs w:val="24"/>
                <w:lang w:eastAsia="id-ID"/>
              </w:rPr>
              <w:t>36</w:t>
            </w:r>
          </w:p>
        </w:tc>
        <w:tc>
          <w:tcPr>
            <w:tcW w:w="1286" w:type="dxa"/>
            <w:vAlign w:val="center"/>
          </w:tcPr>
          <w:p w14:paraId="2FF93E30">
            <w:pPr>
              <w:widowControl w:val="0"/>
              <w:jc w:val="center"/>
              <w:rPr>
                <w:rFonts w:ascii="Times New Roman" w:hAnsi="Times New Roman"/>
                <w:sz w:val="20"/>
                <w:szCs w:val="24"/>
                <w:lang w:eastAsia="id-ID"/>
              </w:rPr>
            </w:pPr>
            <w:r>
              <w:rPr>
                <w:rFonts w:ascii="Times New Roman" w:hAnsi="Times New Roman"/>
                <w:sz w:val="20"/>
                <w:szCs w:val="24"/>
                <w:lang w:eastAsia="id-ID"/>
              </w:rPr>
              <w:t>27</w:t>
            </w:r>
          </w:p>
        </w:tc>
        <w:tc>
          <w:tcPr>
            <w:tcW w:w="1351" w:type="dxa"/>
            <w:vAlign w:val="center"/>
          </w:tcPr>
          <w:p w14:paraId="23B55DED">
            <w:pPr>
              <w:widowControl w:val="0"/>
              <w:jc w:val="center"/>
              <w:rPr>
                <w:rFonts w:ascii="Times New Roman" w:hAnsi="Times New Roman"/>
                <w:sz w:val="20"/>
                <w:szCs w:val="24"/>
                <w:lang w:eastAsia="id-ID"/>
              </w:rPr>
            </w:pPr>
            <w:r>
              <w:rPr>
                <w:rFonts w:ascii="Times New Roman" w:hAnsi="Times New Roman"/>
                <w:sz w:val="20"/>
                <w:szCs w:val="24"/>
                <w:lang w:eastAsia="id-ID"/>
              </w:rPr>
              <w:t>77</w:t>
            </w:r>
          </w:p>
        </w:tc>
        <w:tc>
          <w:tcPr>
            <w:tcW w:w="1006" w:type="dxa"/>
            <w:shd w:val="clear" w:color="auto" w:fill="FFFFFF"/>
            <w:vAlign w:val="center"/>
          </w:tcPr>
          <w:p w14:paraId="2CA67F3A">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51.42</w:t>
            </w:r>
          </w:p>
        </w:tc>
        <w:tc>
          <w:tcPr>
            <w:tcW w:w="1450" w:type="dxa"/>
            <w:shd w:val="clear" w:color="auto" w:fill="FFFFFF"/>
            <w:vAlign w:val="center"/>
          </w:tcPr>
          <w:p w14:paraId="703233A1">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13.342</w:t>
            </w:r>
          </w:p>
        </w:tc>
      </w:tr>
      <w:tr w14:paraId="19DE2D7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50" w:type="dxa"/>
            <w:vMerge w:val="continue"/>
            <w:vAlign w:val="center"/>
          </w:tcPr>
          <w:p w14:paraId="1A826308">
            <w:pPr>
              <w:widowControl w:val="0"/>
              <w:jc w:val="center"/>
              <w:rPr>
                <w:rFonts w:ascii="Times New Roman" w:hAnsi="Times New Roman"/>
                <w:sz w:val="20"/>
                <w:szCs w:val="24"/>
                <w:lang w:eastAsia="id-ID"/>
              </w:rPr>
            </w:pPr>
          </w:p>
        </w:tc>
        <w:tc>
          <w:tcPr>
            <w:tcW w:w="1170" w:type="dxa"/>
            <w:vAlign w:val="center"/>
          </w:tcPr>
          <w:p w14:paraId="2B7A6AFE">
            <w:pPr>
              <w:widowControl w:val="0"/>
              <w:jc w:val="center"/>
              <w:rPr>
                <w:rFonts w:ascii="Times New Roman" w:hAnsi="Times New Roman"/>
                <w:sz w:val="20"/>
                <w:szCs w:val="24"/>
                <w:lang w:eastAsia="id-ID"/>
              </w:rPr>
            </w:pPr>
            <w:r>
              <w:rPr>
                <w:rFonts w:ascii="Times New Roman" w:hAnsi="Times New Roman"/>
                <w:sz w:val="20"/>
                <w:szCs w:val="24"/>
                <w:lang w:eastAsia="id-ID"/>
              </w:rPr>
              <w:t>Post-Test</w:t>
            </w:r>
          </w:p>
        </w:tc>
        <w:tc>
          <w:tcPr>
            <w:tcW w:w="577" w:type="dxa"/>
            <w:vAlign w:val="center"/>
          </w:tcPr>
          <w:p w14:paraId="555761E2">
            <w:pPr>
              <w:widowControl w:val="0"/>
              <w:jc w:val="center"/>
              <w:rPr>
                <w:rFonts w:ascii="Times New Roman" w:hAnsi="Times New Roman"/>
                <w:sz w:val="20"/>
                <w:szCs w:val="24"/>
                <w:lang w:eastAsia="id-ID"/>
              </w:rPr>
            </w:pPr>
            <w:r>
              <w:rPr>
                <w:rFonts w:ascii="Times New Roman" w:hAnsi="Times New Roman"/>
                <w:sz w:val="20"/>
                <w:szCs w:val="24"/>
                <w:lang w:eastAsia="id-ID"/>
              </w:rPr>
              <w:t>36</w:t>
            </w:r>
          </w:p>
        </w:tc>
        <w:tc>
          <w:tcPr>
            <w:tcW w:w="1286" w:type="dxa"/>
            <w:vAlign w:val="center"/>
          </w:tcPr>
          <w:p w14:paraId="4D305BCA">
            <w:pPr>
              <w:widowControl w:val="0"/>
              <w:jc w:val="center"/>
              <w:rPr>
                <w:rFonts w:ascii="Times New Roman" w:hAnsi="Times New Roman"/>
                <w:sz w:val="20"/>
                <w:szCs w:val="24"/>
                <w:lang w:eastAsia="id-ID"/>
              </w:rPr>
            </w:pPr>
            <w:r>
              <w:rPr>
                <w:rFonts w:ascii="Times New Roman" w:hAnsi="Times New Roman"/>
                <w:sz w:val="20"/>
                <w:szCs w:val="24"/>
                <w:lang w:eastAsia="id-ID"/>
              </w:rPr>
              <w:t>50</w:t>
            </w:r>
          </w:p>
        </w:tc>
        <w:tc>
          <w:tcPr>
            <w:tcW w:w="1351" w:type="dxa"/>
            <w:vAlign w:val="center"/>
          </w:tcPr>
          <w:p w14:paraId="4CEAD2F2">
            <w:pPr>
              <w:widowControl w:val="0"/>
              <w:jc w:val="center"/>
              <w:rPr>
                <w:rFonts w:ascii="Times New Roman" w:hAnsi="Times New Roman"/>
                <w:sz w:val="20"/>
                <w:szCs w:val="24"/>
                <w:lang w:eastAsia="id-ID"/>
              </w:rPr>
            </w:pPr>
            <w:r>
              <w:rPr>
                <w:rFonts w:ascii="Times New Roman" w:hAnsi="Times New Roman"/>
                <w:sz w:val="20"/>
                <w:szCs w:val="24"/>
                <w:lang w:eastAsia="id-ID"/>
              </w:rPr>
              <w:t>92</w:t>
            </w:r>
          </w:p>
        </w:tc>
        <w:tc>
          <w:tcPr>
            <w:tcW w:w="1006" w:type="dxa"/>
            <w:shd w:val="clear" w:color="auto" w:fill="FFFFFF"/>
            <w:vAlign w:val="center"/>
          </w:tcPr>
          <w:p w14:paraId="00B48E63">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74.81</w:t>
            </w:r>
          </w:p>
        </w:tc>
        <w:tc>
          <w:tcPr>
            <w:tcW w:w="1450" w:type="dxa"/>
            <w:shd w:val="clear" w:color="auto" w:fill="FFFFFF"/>
            <w:vAlign w:val="center"/>
          </w:tcPr>
          <w:p w14:paraId="72CB3CF7">
            <w:pPr>
              <w:widowControl w:val="0"/>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11.988</w:t>
            </w:r>
          </w:p>
        </w:tc>
      </w:tr>
    </w:tbl>
    <w:p w14:paraId="620094CB">
      <w:pPr>
        <w:rPr>
          <w:rFonts w:ascii="Times New Roman" w:hAnsi="Times New Roman"/>
          <w:b/>
          <w:bCs/>
          <w:sz w:val="24"/>
          <w:szCs w:val="24"/>
          <w:lang w:val="en-US"/>
        </w:rPr>
      </w:pPr>
    </w:p>
    <w:p w14:paraId="58FC936F">
      <w:pPr>
        <w:spacing w:line="360" w:lineRule="auto"/>
        <w:jc w:val="both"/>
        <w:rPr>
          <w:rFonts w:ascii="Times New Roman" w:hAnsi="Times New Roman"/>
          <w:b/>
          <w:bCs/>
          <w:i/>
          <w:sz w:val="24"/>
          <w:szCs w:val="24"/>
        </w:rPr>
      </w:pPr>
      <w:r>
        <w:rPr>
          <w:rFonts w:ascii="Times New Roman" w:hAnsi="Times New Roman"/>
          <w:b/>
          <w:bCs/>
          <w:i/>
          <w:sz w:val="24"/>
          <w:szCs w:val="24"/>
          <w:lang w:val="en-US"/>
        </w:rPr>
        <w:t xml:space="preserve">The </w:t>
      </w:r>
      <w:r>
        <w:rPr>
          <w:rFonts w:ascii="Times New Roman" w:hAnsi="Times New Roman"/>
          <w:b/>
          <w:bCs/>
          <w:i/>
          <w:sz w:val="24"/>
          <w:szCs w:val="24"/>
        </w:rPr>
        <w:t>Frequency Analysis</w:t>
      </w:r>
    </w:p>
    <w:p w14:paraId="4DED737C">
      <w:pPr>
        <w:ind w:firstLine="720"/>
        <w:jc w:val="both"/>
        <w:rPr>
          <w:rFonts w:ascii="Times New Roman" w:hAnsi="Times New Roman"/>
          <w:sz w:val="24"/>
          <w:szCs w:val="24"/>
          <w:lang w:val="en-US"/>
        </w:rPr>
      </w:pPr>
      <w:r>
        <w:rPr>
          <w:rFonts w:ascii="Times New Roman" w:hAnsi="Times New Roman"/>
          <w:sz w:val="24"/>
          <w:szCs w:val="24"/>
          <w:lang w:val="en-US"/>
        </w:rPr>
        <w:t>An analysis of the pre-test results for the experimental group shown that most students were at the good and very good levels, while some students were at the adequate, low, and failing levels. On the post-test, the number of students at the very good and good levels increased significantly, while the number of students at the lower levels decreased. The writing skill results for the experimental group is presented in figure 2.</w:t>
      </w:r>
    </w:p>
    <w:p w14:paraId="13D10A9C">
      <w:pPr>
        <w:jc w:val="center"/>
        <w:rPr>
          <w:rFonts w:ascii="Times New Roman" w:hAnsi="Times New Roman"/>
          <w:b/>
          <w:bCs/>
          <w:sz w:val="24"/>
          <w:szCs w:val="24"/>
        </w:rPr>
      </w:pPr>
    </w:p>
    <w:p w14:paraId="2ECC9796">
      <w:pPr>
        <w:jc w:val="center"/>
        <w:rPr>
          <w:rFonts w:ascii="Times New Roman" w:hAnsi="Times New Roman"/>
          <w:b/>
          <w:bCs/>
          <w:sz w:val="24"/>
          <w:szCs w:val="24"/>
          <w:lang w:val="en-US"/>
        </w:rPr>
      </w:pPr>
      <w:r>
        <w:rPr>
          <w:lang w:val="en-US"/>
        </w:rPr>
        <w:drawing>
          <wp:inline distT="0" distB="0" distL="114300" distR="114300">
            <wp:extent cx="5024120" cy="3034030"/>
            <wp:effectExtent l="0" t="0" r="5080" b="1397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B224403">
      <w:pPr>
        <w:spacing w:before="240" w:after="240"/>
        <w:jc w:val="center"/>
        <w:rPr>
          <w:sz w:val="20"/>
        </w:rPr>
      </w:pPr>
      <w:r>
        <w:rPr>
          <w:rFonts w:ascii="Times New Roman" w:hAnsi="Times New Roman"/>
          <w:bCs/>
          <w:i/>
          <w:szCs w:val="24"/>
        </w:rPr>
        <w:t xml:space="preserve">Figure </w:t>
      </w:r>
      <w:r>
        <w:rPr>
          <w:rFonts w:ascii="Times New Roman" w:hAnsi="Times New Roman"/>
          <w:bCs/>
          <w:i/>
          <w:szCs w:val="24"/>
          <w:lang w:val="en-US"/>
        </w:rPr>
        <w:t>2</w:t>
      </w:r>
      <w:r>
        <w:rPr>
          <w:rFonts w:ascii="Times New Roman" w:hAnsi="Times New Roman"/>
          <w:bCs/>
          <w:szCs w:val="24"/>
        </w:rPr>
        <w:t xml:space="preserve"> </w:t>
      </w:r>
      <w:r>
        <w:rPr>
          <w:rFonts w:ascii="Times New Roman" w:hAnsi="Times New Roman"/>
          <w:bCs/>
          <w:szCs w:val="24"/>
          <w:lang w:val="en-US"/>
        </w:rPr>
        <w:t xml:space="preserve">The </w:t>
      </w:r>
      <w:r>
        <w:rPr>
          <w:rFonts w:ascii="Times New Roman" w:hAnsi="Times New Roman"/>
          <w:bCs/>
          <w:szCs w:val="24"/>
        </w:rPr>
        <w:t>Score Distribution of the Experimental Group</w:t>
      </w:r>
    </w:p>
    <w:p w14:paraId="1CA870FA">
      <w:pPr>
        <w:ind w:firstLine="720"/>
        <w:jc w:val="both"/>
        <w:rPr>
          <w:rFonts w:ascii="Times New Roman" w:hAnsi="Times New Roman"/>
          <w:bCs/>
          <w:sz w:val="24"/>
          <w:szCs w:val="24"/>
        </w:rPr>
      </w:pPr>
      <w:r>
        <w:rPr>
          <w:rFonts w:ascii="Times New Roman" w:hAnsi="Times New Roman"/>
          <w:bCs/>
          <w:sz w:val="24"/>
          <w:szCs w:val="24"/>
        </w:rPr>
        <w:t xml:space="preserve">Meanwhile, the pre-test results for the experimental group showed that most students were at the sufficient, low, and failing levels, with only a few at the good level. However, the post-test results showed an improvement, as more students achieved the very good and good levels, while fewer students remained at the lower levels. The writing skill results for students in the experimental group </w:t>
      </w:r>
      <w:r>
        <w:rPr>
          <w:rFonts w:ascii="Times New Roman" w:hAnsi="Times New Roman"/>
          <w:bCs/>
          <w:sz w:val="24"/>
          <w:szCs w:val="24"/>
          <w:lang w:val="en-US"/>
        </w:rPr>
        <w:t>is</w:t>
      </w:r>
      <w:r>
        <w:rPr>
          <w:rFonts w:ascii="Times New Roman" w:hAnsi="Times New Roman"/>
          <w:bCs/>
          <w:sz w:val="24"/>
          <w:szCs w:val="24"/>
        </w:rPr>
        <w:t xml:space="preserve"> presented in </w:t>
      </w:r>
      <w:r>
        <w:rPr>
          <w:rFonts w:ascii="Times New Roman" w:hAnsi="Times New Roman"/>
          <w:bCs/>
          <w:sz w:val="24"/>
          <w:szCs w:val="24"/>
          <w:lang w:val="en-US"/>
        </w:rPr>
        <w:t>figure 3</w:t>
      </w:r>
      <w:r>
        <w:rPr>
          <w:rFonts w:ascii="Times New Roman" w:hAnsi="Times New Roman"/>
          <w:bCs/>
          <w:sz w:val="24"/>
          <w:szCs w:val="24"/>
        </w:rPr>
        <w:t>.</w:t>
      </w:r>
    </w:p>
    <w:p w14:paraId="5AB1D0E6">
      <w:pPr>
        <w:ind w:firstLine="720"/>
        <w:jc w:val="both"/>
        <w:rPr>
          <w:rFonts w:ascii="Times New Roman" w:hAnsi="Times New Roman"/>
          <w:bCs/>
          <w:sz w:val="24"/>
          <w:szCs w:val="24"/>
        </w:rPr>
      </w:pPr>
    </w:p>
    <w:p w14:paraId="1CEB3634">
      <w:pPr>
        <w:jc w:val="center"/>
        <w:rPr>
          <w:rFonts w:ascii="Times New Roman" w:hAnsi="Times New Roman"/>
          <w:b/>
          <w:sz w:val="24"/>
          <w:szCs w:val="24"/>
        </w:rPr>
      </w:pPr>
      <w:r>
        <w:rPr>
          <w:lang w:val="en-US"/>
        </w:rPr>
        <w:drawing>
          <wp:inline distT="0" distB="0" distL="114300" distR="114300">
            <wp:extent cx="5132070" cy="2906395"/>
            <wp:effectExtent l="4445" t="4445" r="6985" b="22860"/>
            <wp:docPr id="1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84FADC0">
      <w:pPr>
        <w:jc w:val="center"/>
        <w:rPr>
          <w:rFonts w:ascii="Times New Roman" w:hAnsi="Times New Roman"/>
          <w:bCs/>
          <w:szCs w:val="24"/>
        </w:rPr>
      </w:pPr>
      <w:r>
        <w:rPr>
          <w:rFonts w:ascii="Times New Roman" w:hAnsi="Times New Roman"/>
          <w:bCs/>
          <w:i/>
          <w:szCs w:val="24"/>
        </w:rPr>
        <w:t xml:space="preserve">Figure </w:t>
      </w:r>
      <w:r>
        <w:rPr>
          <w:rFonts w:ascii="Times New Roman" w:hAnsi="Times New Roman"/>
          <w:bCs/>
          <w:i/>
          <w:szCs w:val="24"/>
          <w:lang w:val="en-US"/>
        </w:rPr>
        <w:t>3</w:t>
      </w:r>
      <w:r>
        <w:rPr>
          <w:rFonts w:ascii="Times New Roman" w:hAnsi="Times New Roman"/>
          <w:bCs/>
          <w:szCs w:val="24"/>
        </w:rPr>
        <w:t xml:space="preserve"> </w:t>
      </w:r>
      <w:r>
        <w:rPr>
          <w:rFonts w:ascii="Times New Roman" w:hAnsi="Times New Roman"/>
          <w:bCs/>
          <w:szCs w:val="24"/>
          <w:lang w:val="en-US"/>
        </w:rPr>
        <w:t xml:space="preserve">The </w:t>
      </w:r>
      <w:r>
        <w:rPr>
          <w:rFonts w:ascii="Times New Roman" w:hAnsi="Times New Roman"/>
          <w:bCs/>
          <w:szCs w:val="24"/>
        </w:rPr>
        <w:t>Score Distribution of the Control Group</w:t>
      </w:r>
    </w:p>
    <w:p w14:paraId="6B0B9797">
      <w:pPr>
        <w:jc w:val="center"/>
        <w:rPr>
          <w:rFonts w:ascii="Times New Roman" w:hAnsi="Times New Roman"/>
          <w:b/>
          <w:bCs/>
          <w:sz w:val="24"/>
          <w:szCs w:val="24"/>
        </w:rPr>
      </w:pPr>
    </w:p>
    <w:p w14:paraId="54C0AB8D">
      <w:pPr>
        <w:spacing w:line="360" w:lineRule="auto"/>
        <w:jc w:val="both"/>
        <w:rPr>
          <w:rFonts w:ascii="Times New Roman" w:hAnsi="Times New Roman"/>
          <w:b/>
          <w:bCs/>
          <w:i/>
          <w:sz w:val="24"/>
          <w:szCs w:val="24"/>
          <w:lang w:val="en-US"/>
        </w:rPr>
      </w:pPr>
      <w:r>
        <w:rPr>
          <w:rFonts w:ascii="Times New Roman" w:hAnsi="Times New Roman"/>
          <w:b/>
          <w:bCs/>
          <w:i/>
          <w:sz w:val="24"/>
          <w:szCs w:val="24"/>
        </w:rPr>
        <w:t>Inferential</w:t>
      </w:r>
      <w:r>
        <w:rPr>
          <w:rFonts w:ascii="Times New Roman" w:hAnsi="Times New Roman"/>
          <w:b/>
          <w:bCs/>
          <w:i/>
          <w:sz w:val="24"/>
          <w:szCs w:val="24"/>
          <w:lang w:val="en-US"/>
        </w:rPr>
        <w:t xml:space="preserve"> Statistics</w:t>
      </w:r>
    </w:p>
    <w:p w14:paraId="7987EE03">
      <w:pPr>
        <w:pStyle w:val="4"/>
        <w:ind w:left="0"/>
        <w:jc w:val="both"/>
        <w:rPr>
          <w:i/>
        </w:rPr>
      </w:pPr>
      <w:r>
        <w:rPr>
          <w:i/>
        </w:rPr>
        <w:t>a. The Normality Test</w:t>
      </w:r>
    </w:p>
    <w:p w14:paraId="68A82BCA">
      <w:pPr>
        <w:jc w:val="both"/>
        <w:rPr>
          <w:rFonts w:ascii="Times New Roman" w:hAnsi="Times New Roman"/>
          <w:sz w:val="24"/>
          <w:szCs w:val="24"/>
          <w:lang w:val="en-US"/>
        </w:rPr>
      </w:pPr>
      <w:r>
        <w:rPr>
          <w:lang w:val="en-US"/>
        </w:rPr>
        <w:tab/>
      </w:r>
      <w:r>
        <w:rPr>
          <w:rFonts w:ascii="Times New Roman" w:hAnsi="Times New Roman"/>
          <w:sz w:val="24"/>
          <w:szCs w:val="24"/>
          <w:lang w:val="en-US"/>
        </w:rPr>
        <w:t xml:space="preserve">The results of the normality test indicated that the p-values for the experimental group were 0.167 for the pre-test and 0.165 for the post-test. As both values was greater than 0.05, the data was considered to be normally distributed. </w:t>
      </w:r>
    </w:p>
    <w:p w14:paraId="15E3963D">
      <w:pPr>
        <w:jc w:val="both"/>
        <w:rPr>
          <w:rFonts w:ascii="Times New Roman" w:hAnsi="Times New Roman"/>
          <w:sz w:val="24"/>
          <w:szCs w:val="24"/>
          <w:lang w:val="en-US"/>
        </w:rPr>
      </w:pPr>
    </w:p>
    <w:p w14:paraId="3AD1F028">
      <w:pPr>
        <w:jc w:val="both"/>
        <w:rPr>
          <w:rFonts w:ascii="Times New Roman" w:hAnsi="Times New Roman"/>
          <w:sz w:val="24"/>
          <w:szCs w:val="24"/>
          <w:lang w:val="en-US"/>
        </w:rPr>
      </w:pPr>
      <w:r>
        <w:rPr>
          <w:rFonts w:ascii="Times New Roman" w:hAnsi="Times New Roman"/>
          <w:sz w:val="24"/>
          <w:szCs w:val="24"/>
          <w:lang w:val="en-US"/>
        </w:rPr>
        <w:tab/>
      </w:r>
      <w:r>
        <w:rPr>
          <w:rFonts w:ascii="Times New Roman" w:hAnsi="Times New Roman"/>
          <w:sz w:val="24"/>
          <w:szCs w:val="24"/>
          <w:lang w:val="en-US"/>
        </w:rPr>
        <w:t>Similarly, the control group showed significance values of 0.200 for the pre-test and 0.074 for the post-test, indicating that the data was also normally distributed. These results is presented in Table 3.</w:t>
      </w:r>
    </w:p>
    <w:p w14:paraId="5EBA9290">
      <w:pPr>
        <w:rPr>
          <w:rFonts w:ascii="Times New Roman" w:hAnsi="Times New Roman"/>
          <w:b/>
          <w:bCs/>
          <w:sz w:val="24"/>
          <w:szCs w:val="24"/>
        </w:rPr>
      </w:pPr>
    </w:p>
    <w:p w14:paraId="142DF7F4">
      <w:pPr>
        <w:spacing w:after="240"/>
        <w:jc w:val="center"/>
        <w:rPr>
          <w:rFonts w:ascii="Times New Roman" w:hAnsi="Times New Roman"/>
          <w:bCs/>
          <w:szCs w:val="24"/>
        </w:rPr>
      </w:pPr>
      <w:r>
        <w:rPr>
          <w:rFonts w:ascii="Times New Roman" w:hAnsi="Times New Roman"/>
          <w:bCs/>
          <w:i/>
          <w:szCs w:val="24"/>
        </w:rPr>
        <w:t xml:space="preserve">Table </w:t>
      </w:r>
      <w:r>
        <w:rPr>
          <w:rFonts w:ascii="Times New Roman" w:hAnsi="Times New Roman"/>
          <w:bCs/>
          <w:i/>
          <w:szCs w:val="24"/>
          <w:lang w:val="en-US"/>
        </w:rPr>
        <w:t>3</w:t>
      </w:r>
      <w:r>
        <w:rPr>
          <w:rFonts w:ascii="Times New Roman" w:hAnsi="Times New Roman"/>
          <w:bCs/>
          <w:szCs w:val="24"/>
          <w:lang w:val="en-US"/>
        </w:rPr>
        <w:t xml:space="preserve"> </w:t>
      </w:r>
      <w:r>
        <w:rPr>
          <w:rFonts w:ascii="Times New Roman" w:hAnsi="Times New Roman"/>
          <w:bCs/>
          <w:szCs w:val="24"/>
        </w:rPr>
        <w:t>The Result of Normality</w:t>
      </w:r>
    </w:p>
    <w:tbl>
      <w:tblPr>
        <w:tblStyle w:val="3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17"/>
        <w:gridCol w:w="1315"/>
        <w:gridCol w:w="1403"/>
        <w:gridCol w:w="1420"/>
        <w:gridCol w:w="1298"/>
      </w:tblGrid>
      <w:tr w14:paraId="21F84CC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6" w:hRule="atLeast"/>
        </w:trPr>
        <w:tc>
          <w:tcPr>
            <w:tcW w:w="2717" w:type="dxa"/>
            <w:vMerge w:val="restart"/>
            <w:vAlign w:val="center"/>
          </w:tcPr>
          <w:p w14:paraId="64473A76">
            <w:pPr>
              <w:widowControl w:val="0"/>
              <w:spacing w:line="360" w:lineRule="auto"/>
              <w:jc w:val="center"/>
              <w:rPr>
                <w:rFonts w:ascii="Times New Roman" w:hAnsi="Times New Roman"/>
                <w:b/>
                <w:bCs/>
                <w:sz w:val="20"/>
                <w:szCs w:val="24"/>
                <w:lang w:eastAsia="id-ID"/>
              </w:rPr>
            </w:pPr>
          </w:p>
        </w:tc>
        <w:tc>
          <w:tcPr>
            <w:tcW w:w="2718" w:type="dxa"/>
            <w:gridSpan w:val="2"/>
          </w:tcPr>
          <w:p w14:paraId="2A3AE7DA">
            <w:pPr>
              <w:widowControl w:val="0"/>
              <w:spacing w:line="360" w:lineRule="auto"/>
              <w:jc w:val="center"/>
              <w:rPr>
                <w:rFonts w:ascii="Times New Roman" w:hAnsi="Times New Roman"/>
                <w:b/>
                <w:bCs/>
                <w:sz w:val="20"/>
                <w:szCs w:val="24"/>
                <w:lang w:eastAsia="id-ID"/>
              </w:rPr>
            </w:pPr>
            <w:r>
              <w:rPr>
                <w:rFonts w:ascii="Times New Roman" w:hAnsi="Times New Roman"/>
                <w:b/>
                <w:bCs/>
                <w:sz w:val="20"/>
                <w:szCs w:val="24"/>
                <w:lang w:eastAsia="id-ID"/>
              </w:rPr>
              <w:t>Experiment</w:t>
            </w:r>
          </w:p>
        </w:tc>
        <w:tc>
          <w:tcPr>
            <w:tcW w:w="2718" w:type="dxa"/>
            <w:gridSpan w:val="2"/>
          </w:tcPr>
          <w:p w14:paraId="461B1ADF">
            <w:pPr>
              <w:widowControl w:val="0"/>
              <w:spacing w:line="360" w:lineRule="auto"/>
              <w:jc w:val="center"/>
              <w:rPr>
                <w:rFonts w:ascii="Times New Roman" w:hAnsi="Times New Roman"/>
                <w:b/>
                <w:bCs/>
                <w:sz w:val="20"/>
                <w:szCs w:val="24"/>
                <w:lang w:eastAsia="id-ID"/>
              </w:rPr>
            </w:pPr>
            <w:r>
              <w:rPr>
                <w:rFonts w:ascii="Times New Roman" w:hAnsi="Times New Roman"/>
                <w:b/>
                <w:bCs/>
                <w:sz w:val="20"/>
                <w:szCs w:val="24"/>
                <w:lang w:eastAsia="id-ID"/>
              </w:rPr>
              <w:t>Control</w:t>
            </w:r>
          </w:p>
        </w:tc>
      </w:tr>
      <w:tr w14:paraId="240E9D9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8" w:hRule="atLeast"/>
        </w:trPr>
        <w:tc>
          <w:tcPr>
            <w:tcW w:w="2717" w:type="dxa"/>
            <w:vMerge w:val="continue"/>
            <w:vAlign w:val="center"/>
          </w:tcPr>
          <w:p w14:paraId="1737841D">
            <w:pPr>
              <w:widowControl w:val="0"/>
              <w:spacing w:line="360" w:lineRule="auto"/>
              <w:jc w:val="center"/>
              <w:rPr>
                <w:rFonts w:ascii="Times New Roman" w:hAnsi="Times New Roman"/>
                <w:b/>
                <w:bCs/>
                <w:sz w:val="20"/>
                <w:szCs w:val="24"/>
                <w:lang w:eastAsia="id-ID"/>
              </w:rPr>
            </w:pPr>
          </w:p>
        </w:tc>
        <w:tc>
          <w:tcPr>
            <w:tcW w:w="1315" w:type="dxa"/>
            <w:vAlign w:val="center"/>
          </w:tcPr>
          <w:p w14:paraId="70B2AFCF">
            <w:pPr>
              <w:widowControl w:val="0"/>
              <w:spacing w:line="360" w:lineRule="auto"/>
              <w:jc w:val="center"/>
              <w:rPr>
                <w:rFonts w:ascii="Times New Roman" w:hAnsi="Times New Roman"/>
                <w:b/>
                <w:bCs/>
                <w:sz w:val="20"/>
                <w:szCs w:val="24"/>
                <w:lang w:eastAsia="id-ID"/>
              </w:rPr>
            </w:pPr>
            <w:r>
              <w:rPr>
                <w:rFonts w:ascii="Times New Roman" w:hAnsi="Times New Roman"/>
                <w:b/>
                <w:bCs/>
                <w:sz w:val="20"/>
                <w:szCs w:val="24"/>
                <w:lang w:eastAsia="id-ID"/>
              </w:rPr>
              <w:t>Pre-Test</w:t>
            </w:r>
          </w:p>
        </w:tc>
        <w:tc>
          <w:tcPr>
            <w:tcW w:w="1403" w:type="dxa"/>
            <w:vAlign w:val="center"/>
          </w:tcPr>
          <w:p w14:paraId="529EE5DD">
            <w:pPr>
              <w:widowControl w:val="0"/>
              <w:spacing w:line="360" w:lineRule="auto"/>
              <w:jc w:val="center"/>
              <w:rPr>
                <w:rFonts w:ascii="Times New Roman" w:hAnsi="Times New Roman"/>
                <w:b/>
                <w:bCs/>
                <w:sz w:val="20"/>
                <w:szCs w:val="24"/>
                <w:lang w:eastAsia="id-ID"/>
              </w:rPr>
            </w:pPr>
            <w:r>
              <w:rPr>
                <w:rFonts w:ascii="Times New Roman" w:hAnsi="Times New Roman"/>
                <w:b/>
                <w:bCs/>
                <w:sz w:val="20"/>
                <w:szCs w:val="24"/>
                <w:lang w:eastAsia="id-ID"/>
              </w:rPr>
              <w:t>Post-Test</w:t>
            </w:r>
          </w:p>
        </w:tc>
        <w:tc>
          <w:tcPr>
            <w:tcW w:w="1420" w:type="dxa"/>
            <w:vAlign w:val="center"/>
          </w:tcPr>
          <w:p w14:paraId="1CE5B5C5">
            <w:pPr>
              <w:widowControl w:val="0"/>
              <w:spacing w:line="360" w:lineRule="auto"/>
              <w:jc w:val="center"/>
              <w:rPr>
                <w:rFonts w:ascii="Times New Roman" w:hAnsi="Times New Roman"/>
                <w:b/>
                <w:bCs/>
                <w:sz w:val="20"/>
                <w:szCs w:val="24"/>
                <w:lang w:eastAsia="id-ID"/>
              </w:rPr>
            </w:pPr>
            <w:r>
              <w:rPr>
                <w:rFonts w:ascii="Times New Roman" w:hAnsi="Times New Roman"/>
                <w:b/>
                <w:bCs/>
                <w:sz w:val="20"/>
                <w:szCs w:val="24"/>
                <w:lang w:eastAsia="id-ID"/>
              </w:rPr>
              <w:t>Pre-Test</w:t>
            </w:r>
          </w:p>
        </w:tc>
        <w:tc>
          <w:tcPr>
            <w:tcW w:w="1298" w:type="dxa"/>
            <w:vAlign w:val="center"/>
          </w:tcPr>
          <w:p w14:paraId="088FA40A">
            <w:pPr>
              <w:widowControl w:val="0"/>
              <w:spacing w:line="360" w:lineRule="auto"/>
              <w:jc w:val="center"/>
              <w:rPr>
                <w:rFonts w:ascii="Times New Roman" w:hAnsi="Times New Roman"/>
                <w:b/>
                <w:bCs/>
                <w:sz w:val="20"/>
                <w:szCs w:val="24"/>
                <w:lang w:eastAsia="id-ID"/>
              </w:rPr>
            </w:pPr>
            <w:r>
              <w:rPr>
                <w:rFonts w:ascii="Times New Roman" w:hAnsi="Times New Roman"/>
                <w:b/>
                <w:bCs/>
                <w:sz w:val="20"/>
                <w:szCs w:val="24"/>
                <w:lang w:eastAsia="id-ID"/>
              </w:rPr>
              <w:t>Post-Test</w:t>
            </w:r>
          </w:p>
        </w:tc>
      </w:tr>
      <w:tr w14:paraId="1B663BF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17" w:type="dxa"/>
          </w:tcPr>
          <w:p w14:paraId="6D815D49">
            <w:pPr>
              <w:widowControl w:val="0"/>
              <w:spacing w:line="360" w:lineRule="auto"/>
              <w:jc w:val="both"/>
              <w:rPr>
                <w:rFonts w:ascii="Times New Roman" w:hAnsi="Times New Roman"/>
                <w:b/>
                <w:bCs/>
                <w:sz w:val="20"/>
                <w:szCs w:val="24"/>
                <w:lang w:eastAsia="id-ID"/>
              </w:rPr>
            </w:pPr>
            <w:r>
              <w:rPr>
                <w:rFonts w:ascii="Times New Roman" w:hAnsi="Times New Roman"/>
                <w:sz w:val="20"/>
                <w:szCs w:val="24"/>
                <w:lang w:eastAsia="id-ID"/>
              </w:rPr>
              <w:t>Asymp. Sig. (2-tailed)</w:t>
            </w:r>
          </w:p>
        </w:tc>
        <w:tc>
          <w:tcPr>
            <w:tcW w:w="1315" w:type="dxa"/>
          </w:tcPr>
          <w:p w14:paraId="76B9FE6A">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.167</w:t>
            </w:r>
            <w:r>
              <w:rPr>
                <w:rFonts w:ascii="Times New Roman" w:hAnsi="Times New Roman"/>
                <w:color w:val="010205"/>
                <w:sz w:val="20"/>
                <w:szCs w:val="24"/>
                <w:vertAlign w:val="superscript"/>
                <w:lang w:eastAsia="id-ID"/>
              </w:rPr>
              <w:t>d</w:t>
            </w:r>
          </w:p>
        </w:tc>
        <w:tc>
          <w:tcPr>
            <w:tcW w:w="1403" w:type="dxa"/>
          </w:tcPr>
          <w:p w14:paraId="65BB7ECE">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.165</w:t>
            </w:r>
            <w:r>
              <w:rPr>
                <w:rFonts w:ascii="Times New Roman" w:hAnsi="Times New Roman"/>
                <w:color w:val="010205"/>
                <w:sz w:val="20"/>
                <w:szCs w:val="24"/>
                <w:vertAlign w:val="superscript"/>
                <w:lang w:eastAsia="id-ID"/>
              </w:rPr>
              <w:t>d</w:t>
            </w:r>
          </w:p>
        </w:tc>
        <w:tc>
          <w:tcPr>
            <w:tcW w:w="1420" w:type="dxa"/>
          </w:tcPr>
          <w:p w14:paraId="2AEA3E74">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.200</w:t>
            </w:r>
            <w:r>
              <w:rPr>
                <w:rFonts w:ascii="Times New Roman" w:hAnsi="Times New Roman"/>
                <w:color w:val="010205"/>
                <w:sz w:val="20"/>
                <w:szCs w:val="24"/>
                <w:vertAlign w:val="superscript"/>
                <w:lang w:eastAsia="id-ID"/>
              </w:rPr>
              <w:t>*</w:t>
            </w:r>
          </w:p>
        </w:tc>
        <w:tc>
          <w:tcPr>
            <w:tcW w:w="1298" w:type="dxa"/>
          </w:tcPr>
          <w:p w14:paraId="716BF841">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.074</w:t>
            </w:r>
          </w:p>
        </w:tc>
      </w:tr>
      <w:tr w14:paraId="056100F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17" w:type="dxa"/>
          </w:tcPr>
          <w:p w14:paraId="1FEEB246">
            <w:pPr>
              <w:widowControl w:val="0"/>
              <w:spacing w:line="360" w:lineRule="auto"/>
              <w:jc w:val="both"/>
              <w:rPr>
                <w:rFonts w:ascii="Times New Roman" w:hAnsi="Times New Roman"/>
                <w:b/>
                <w:bCs/>
                <w:sz w:val="20"/>
                <w:szCs w:val="24"/>
                <w:lang w:eastAsia="id-ID"/>
              </w:rPr>
            </w:pPr>
            <w:r>
              <w:rPr>
                <w:rFonts w:ascii="Times New Roman" w:hAnsi="Times New Roman"/>
                <w:sz w:val="20"/>
                <w:szCs w:val="24"/>
                <w:lang w:eastAsia="id-ID"/>
              </w:rPr>
              <w:t>Kolmogorov-Smirnov</w:t>
            </w:r>
          </w:p>
        </w:tc>
        <w:tc>
          <w:tcPr>
            <w:tcW w:w="1315" w:type="dxa"/>
          </w:tcPr>
          <w:p w14:paraId="0A0A696A">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.181</w:t>
            </w:r>
          </w:p>
        </w:tc>
        <w:tc>
          <w:tcPr>
            <w:tcW w:w="1403" w:type="dxa"/>
          </w:tcPr>
          <w:p w14:paraId="02492123">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.182</w:t>
            </w:r>
          </w:p>
        </w:tc>
        <w:tc>
          <w:tcPr>
            <w:tcW w:w="1420" w:type="dxa"/>
          </w:tcPr>
          <w:p w14:paraId="164D746E">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.073</w:t>
            </w:r>
          </w:p>
        </w:tc>
        <w:tc>
          <w:tcPr>
            <w:tcW w:w="1298" w:type="dxa"/>
          </w:tcPr>
          <w:p w14:paraId="61CBB270">
            <w:pPr>
              <w:widowControl w:val="0"/>
              <w:spacing w:line="360" w:lineRule="auto"/>
              <w:jc w:val="center"/>
              <w:rPr>
                <w:rFonts w:ascii="Times New Roman" w:hAnsi="Times New Roman"/>
                <w:b/>
                <w:bCs/>
                <w:sz w:val="20"/>
                <w:szCs w:val="24"/>
                <w:lang w:eastAsia="id-ID"/>
              </w:rPr>
            </w:pPr>
            <w:r>
              <w:rPr>
                <w:rFonts w:ascii="Times New Roman" w:hAnsi="Times New Roman"/>
                <w:color w:val="010205"/>
                <w:sz w:val="20"/>
                <w:szCs w:val="24"/>
                <w:lang w:eastAsia="id-ID"/>
              </w:rPr>
              <w:t>.140</w:t>
            </w:r>
          </w:p>
        </w:tc>
      </w:tr>
    </w:tbl>
    <w:p w14:paraId="79D5060C">
      <w:pPr>
        <w:jc w:val="both"/>
        <w:rPr>
          <w:rFonts w:ascii="Times New Roman" w:hAnsi="Times New Roman"/>
          <w:sz w:val="24"/>
          <w:szCs w:val="24"/>
          <w:lang w:val="en-US"/>
        </w:rPr>
      </w:pPr>
    </w:p>
    <w:p w14:paraId="61BAD021">
      <w:pPr>
        <w:pStyle w:val="4"/>
        <w:ind w:left="0"/>
        <w:jc w:val="both"/>
        <w:rPr>
          <w:i/>
        </w:rPr>
      </w:pPr>
      <w:r>
        <w:rPr>
          <w:i/>
        </w:rPr>
        <w:t>b. Homogeinity Test</w:t>
      </w:r>
    </w:p>
    <w:p w14:paraId="3D2E9668">
      <w:pPr>
        <w:ind w:firstLine="720"/>
        <w:jc w:val="both"/>
        <w:rPr>
          <w:lang w:val="en-US"/>
        </w:rPr>
      </w:pPr>
      <w:r>
        <w:rPr>
          <w:rFonts w:ascii="Times New Roman" w:hAnsi="Times New Roman"/>
          <w:sz w:val="24"/>
          <w:szCs w:val="24"/>
          <w:lang w:val="en-US"/>
        </w:rPr>
        <w:t>The researcher applied Levene’s test to assess the homogeneity of variances between the experimental and control groups prior to conducting an independent samples t-test. The results showed a p-value of 0.666, which was greater than 0.05, indicating that the students’ writing scores on the final test were homogeneous. These results is presented in Table 4</w:t>
      </w:r>
      <w:r>
        <w:rPr>
          <w:lang w:val="en-US"/>
        </w:rPr>
        <w:t>.</w:t>
      </w:r>
    </w:p>
    <w:p w14:paraId="669017D4">
      <w:pPr>
        <w:ind w:firstLine="720"/>
        <w:jc w:val="both"/>
        <w:rPr>
          <w:lang w:val="en-US"/>
        </w:rPr>
      </w:pPr>
    </w:p>
    <w:p w14:paraId="757635DA">
      <w:pPr>
        <w:spacing w:after="240"/>
        <w:jc w:val="center"/>
        <w:rPr>
          <w:rFonts w:ascii="Times New Roman" w:hAnsi="Times New Roman"/>
          <w:bCs/>
          <w:szCs w:val="24"/>
          <w:lang w:val="en-US"/>
        </w:rPr>
      </w:pPr>
      <w:r>
        <w:rPr>
          <w:rFonts w:ascii="Times New Roman" w:hAnsi="Times New Roman"/>
          <w:bCs/>
          <w:i/>
          <w:szCs w:val="24"/>
        </w:rPr>
        <w:t xml:space="preserve">Table </w:t>
      </w:r>
      <w:r>
        <w:rPr>
          <w:rFonts w:ascii="Times New Roman" w:hAnsi="Times New Roman"/>
          <w:bCs/>
          <w:i/>
          <w:szCs w:val="24"/>
          <w:lang w:val="en-US"/>
        </w:rPr>
        <w:t>4</w:t>
      </w:r>
      <w:r>
        <w:rPr>
          <w:rFonts w:ascii="Times New Roman" w:hAnsi="Times New Roman"/>
          <w:bCs/>
          <w:szCs w:val="24"/>
          <w:lang w:val="en-US"/>
        </w:rPr>
        <w:t xml:space="preserve"> </w:t>
      </w:r>
      <w:r>
        <w:rPr>
          <w:rFonts w:ascii="Times New Roman" w:hAnsi="Times New Roman"/>
          <w:bCs/>
          <w:szCs w:val="24"/>
        </w:rPr>
        <w:t>The Result of Homogeinity</w:t>
      </w:r>
    </w:p>
    <w:tbl>
      <w:tblPr>
        <w:tblStyle w:val="3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114"/>
        <w:gridCol w:w="1843"/>
        <w:gridCol w:w="708"/>
        <w:gridCol w:w="677"/>
        <w:gridCol w:w="1585"/>
      </w:tblGrid>
      <w:tr w14:paraId="2DEBA97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3114" w:type="dxa"/>
            <w:vAlign w:val="center"/>
          </w:tcPr>
          <w:p w14:paraId="7A68C4EE">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Variable</w:t>
            </w:r>
          </w:p>
        </w:tc>
        <w:tc>
          <w:tcPr>
            <w:tcW w:w="1843" w:type="dxa"/>
            <w:vAlign w:val="center"/>
          </w:tcPr>
          <w:p w14:paraId="3AF19962">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Levene</w:t>
            </w:r>
          </w:p>
          <w:p w14:paraId="0013CBB4">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Statistic</w:t>
            </w:r>
          </w:p>
        </w:tc>
        <w:tc>
          <w:tcPr>
            <w:tcW w:w="708" w:type="dxa"/>
            <w:vAlign w:val="center"/>
          </w:tcPr>
          <w:p w14:paraId="3F754E32">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df1</w:t>
            </w:r>
          </w:p>
        </w:tc>
        <w:tc>
          <w:tcPr>
            <w:tcW w:w="677" w:type="dxa"/>
            <w:vAlign w:val="center"/>
          </w:tcPr>
          <w:p w14:paraId="08E4F452">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df2</w:t>
            </w:r>
          </w:p>
        </w:tc>
        <w:tc>
          <w:tcPr>
            <w:tcW w:w="1585" w:type="dxa"/>
            <w:vAlign w:val="center"/>
          </w:tcPr>
          <w:p w14:paraId="6FA5624E">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Sig. (2-tailed)</w:t>
            </w:r>
          </w:p>
        </w:tc>
      </w:tr>
      <w:tr w14:paraId="0D2225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114" w:type="dxa"/>
          </w:tcPr>
          <w:p w14:paraId="1791272E">
            <w:pPr>
              <w:widowControl w:val="0"/>
              <w:spacing w:line="360" w:lineRule="auto"/>
              <w:jc w:val="center"/>
              <w:rPr>
                <w:rFonts w:ascii="Times New Roman" w:hAnsi="Times New Roman"/>
                <w:sz w:val="20"/>
                <w:szCs w:val="24"/>
                <w:lang w:eastAsia="id-ID"/>
              </w:rPr>
            </w:pPr>
            <w:r>
              <w:rPr>
                <w:rFonts w:ascii="Times New Roman" w:hAnsi="Times New Roman"/>
                <w:sz w:val="20"/>
                <w:szCs w:val="24"/>
                <w:lang w:eastAsia="id-ID"/>
              </w:rPr>
              <w:t>Post-test of the experimental and control group</w:t>
            </w:r>
          </w:p>
        </w:tc>
        <w:tc>
          <w:tcPr>
            <w:tcW w:w="1843" w:type="dxa"/>
          </w:tcPr>
          <w:p w14:paraId="3971C67B">
            <w:pPr>
              <w:widowControl w:val="0"/>
              <w:spacing w:line="360" w:lineRule="auto"/>
              <w:jc w:val="center"/>
              <w:rPr>
                <w:rFonts w:ascii="Times New Roman" w:hAnsi="Times New Roman"/>
                <w:sz w:val="20"/>
                <w:szCs w:val="24"/>
                <w:lang w:eastAsia="id-ID"/>
              </w:rPr>
            </w:pPr>
            <w:r>
              <w:rPr>
                <w:rFonts w:ascii="Times New Roman" w:hAnsi="Times New Roman"/>
                <w:sz w:val="20"/>
                <w:szCs w:val="24"/>
                <w:lang w:eastAsia="id-ID"/>
              </w:rPr>
              <w:t>.188</w:t>
            </w:r>
          </w:p>
        </w:tc>
        <w:tc>
          <w:tcPr>
            <w:tcW w:w="708" w:type="dxa"/>
          </w:tcPr>
          <w:p w14:paraId="4B8AB717">
            <w:pPr>
              <w:widowControl w:val="0"/>
              <w:spacing w:line="360" w:lineRule="auto"/>
              <w:jc w:val="center"/>
              <w:rPr>
                <w:rFonts w:ascii="Times New Roman" w:hAnsi="Times New Roman"/>
                <w:sz w:val="20"/>
                <w:szCs w:val="24"/>
                <w:lang w:eastAsia="id-ID"/>
              </w:rPr>
            </w:pPr>
            <w:r>
              <w:rPr>
                <w:rFonts w:ascii="Times New Roman" w:hAnsi="Times New Roman"/>
                <w:sz w:val="20"/>
                <w:szCs w:val="24"/>
                <w:lang w:eastAsia="id-ID"/>
              </w:rPr>
              <w:t>1</w:t>
            </w:r>
          </w:p>
        </w:tc>
        <w:tc>
          <w:tcPr>
            <w:tcW w:w="677" w:type="dxa"/>
          </w:tcPr>
          <w:p w14:paraId="27E23FA4">
            <w:pPr>
              <w:widowControl w:val="0"/>
              <w:spacing w:line="360" w:lineRule="auto"/>
              <w:jc w:val="center"/>
              <w:rPr>
                <w:rFonts w:ascii="Times New Roman" w:hAnsi="Times New Roman"/>
                <w:sz w:val="20"/>
                <w:szCs w:val="24"/>
                <w:lang w:eastAsia="id-ID"/>
              </w:rPr>
            </w:pPr>
            <w:r>
              <w:rPr>
                <w:rFonts w:ascii="Times New Roman" w:hAnsi="Times New Roman"/>
                <w:sz w:val="20"/>
                <w:szCs w:val="24"/>
                <w:lang w:eastAsia="id-ID"/>
              </w:rPr>
              <w:t>70</w:t>
            </w:r>
          </w:p>
        </w:tc>
        <w:tc>
          <w:tcPr>
            <w:tcW w:w="1585" w:type="dxa"/>
          </w:tcPr>
          <w:p w14:paraId="13F61F09">
            <w:pPr>
              <w:widowControl w:val="0"/>
              <w:spacing w:line="360" w:lineRule="auto"/>
              <w:jc w:val="center"/>
              <w:rPr>
                <w:rFonts w:ascii="Times New Roman" w:hAnsi="Times New Roman"/>
                <w:sz w:val="20"/>
                <w:szCs w:val="24"/>
                <w:lang w:eastAsia="id-ID"/>
              </w:rPr>
            </w:pPr>
            <w:r>
              <w:rPr>
                <w:rFonts w:ascii="Times New Roman" w:hAnsi="Times New Roman"/>
                <w:sz w:val="20"/>
                <w:szCs w:val="24"/>
                <w:lang w:eastAsia="id-ID"/>
              </w:rPr>
              <w:t>.666</w:t>
            </w:r>
          </w:p>
        </w:tc>
      </w:tr>
    </w:tbl>
    <w:p w14:paraId="0CD495E7">
      <w:pPr>
        <w:pStyle w:val="4"/>
        <w:ind w:left="0"/>
        <w:jc w:val="both"/>
      </w:pPr>
    </w:p>
    <w:p w14:paraId="36EEBF86">
      <w:pPr>
        <w:pStyle w:val="4"/>
        <w:ind w:left="0"/>
        <w:jc w:val="both"/>
        <w:rPr>
          <w:i/>
        </w:rPr>
      </w:pPr>
      <w:r>
        <w:rPr>
          <w:i/>
        </w:rPr>
        <w:t>The Paired Sample T-Test</w:t>
      </w:r>
    </w:p>
    <w:p w14:paraId="191B9934">
      <w:pPr>
        <w:ind w:firstLine="720"/>
        <w:jc w:val="both"/>
        <w:rPr>
          <w:rFonts w:ascii="Times New Roman" w:hAnsi="Times New Roman"/>
          <w:sz w:val="24"/>
          <w:szCs w:val="24"/>
        </w:rPr>
      </w:pPr>
      <w:r>
        <w:rPr>
          <w:rFonts w:ascii="Times New Roman" w:hAnsi="Times New Roman"/>
          <w:sz w:val="24"/>
          <w:szCs w:val="24"/>
        </w:rPr>
        <w:t xml:space="preserve">The mean scores of the experimental group before and after the treatment were analysed using a paired t-test. </w:t>
      </w:r>
      <w:r>
        <w:rPr>
          <w:rFonts w:ascii="Times New Roman" w:hAnsi="Times New Roman"/>
          <w:sz w:val="24"/>
          <w:szCs w:val="24"/>
          <w:lang w:val="en-US"/>
        </w:rPr>
        <w:t>These</w:t>
      </w:r>
      <w:r>
        <w:rPr>
          <w:rFonts w:ascii="Times New Roman" w:hAnsi="Times New Roman"/>
          <w:sz w:val="24"/>
          <w:szCs w:val="24"/>
        </w:rPr>
        <w:t xml:space="preserve"> test was conducted to determine whether the students in the experimental group showed a significant improvement in their writing skill. Based on the results of the paired t-test on the experimental group, the t-value obtained was 3.511, which exceeded the critical t-value of 2.0301. Furthermore, the significance level (sig. 2-tailed) was 0.001, which </w:t>
      </w:r>
      <w:r>
        <w:rPr>
          <w:rFonts w:ascii="Times New Roman" w:hAnsi="Times New Roman"/>
          <w:sz w:val="24"/>
          <w:szCs w:val="24"/>
          <w:lang w:val="en-US"/>
        </w:rPr>
        <w:t>was</w:t>
      </w:r>
      <w:r>
        <w:rPr>
          <w:rFonts w:ascii="Times New Roman" w:hAnsi="Times New Roman"/>
          <w:sz w:val="24"/>
          <w:szCs w:val="24"/>
        </w:rPr>
        <w:t xml:space="preserve"> smaller than the significance level (alpha) of 0.05. These results indicate</w:t>
      </w:r>
      <w:r>
        <w:rPr>
          <w:rFonts w:ascii="Times New Roman" w:hAnsi="Times New Roman"/>
          <w:sz w:val="24"/>
          <w:szCs w:val="24"/>
          <w:lang w:val="en-US"/>
        </w:rPr>
        <w:t>d</w:t>
      </w:r>
      <w:r>
        <w:rPr>
          <w:rFonts w:ascii="Times New Roman" w:hAnsi="Times New Roman"/>
          <w:sz w:val="24"/>
          <w:szCs w:val="24"/>
        </w:rPr>
        <w:t xml:space="preserve"> that the alternative hypothesis (Ha) </w:t>
      </w:r>
      <w:r>
        <w:rPr>
          <w:rFonts w:ascii="Times New Roman" w:hAnsi="Times New Roman"/>
          <w:sz w:val="24"/>
          <w:szCs w:val="24"/>
          <w:lang w:val="en-US"/>
        </w:rPr>
        <w:t>wa</w:t>
      </w:r>
      <w:r>
        <w:rPr>
          <w:rFonts w:ascii="Times New Roman" w:hAnsi="Times New Roman"/>
          <w:sz w:val="24"/>
          <w:szCs w:val="24"/>
        </w:rPr>
        <w:t xml:space="preserve">s accepted, whilst the null hypothesis (Ho) </w:t>
      </w:r>
      <w:r>
        <w:rPr>
          <w:rFonts w:ascii="Times New Roman" w:hAnsi="Times New Roman"/>
          <w:sz w:val="24"/>
          <w:szCs w:val="24"/>
          <w:lang w:val="en-US"/>
        </w:rPr>
        <w:t>wa</w:t>
      </w:r>
      <w:r>
        <w:rPr>
          <w:rFonts w:ascii="Times New Roman" w:hAnsi="Times New Roman"/>
          <w:sz w:val="24"/>
          <w:szCs w:val="24"/>
        </w:rPr>
        <w:t xml:space="preserve">s rejected. These findings suggest that the use of the graffiti wall technique </w:t>
      </w:r>
      <w:r>
        <w:rPr>
          <w:rFonts w:ascii="Times New Roman" w:hAnsi="Times New Roman"/>
          <w:sz w:val="24"/>
          <w:szCs w:val="24"/>
          <w:lang w:val="en-US"/>
        </w:rPr>
        <w:t>wa</w:t>
      </w:r>
      <w:r>
        <w:rPr>
          <w:rFonts w:ascii="Times New Roman" w:hAnsi="Times New Roman"/>
          <w:sz w:val="24"/>
          <w:szCs w:val="24"/>
        </w:rPr>
        <w:t xml:space="preserve">s effective in improving students’ writing skill. The results of the paired t-test </w:t>
      </w:r>
      <w:r>
        <w:rPr>
          <w:rFonts w:ascii="Times New Roman" w:hAnsi="Times New Roman"/>
          <w:sz w:val="24"/>
          <w:szCs w:val="24"/>
          <w:lang w:val="en-US"/>
        </w:rPr>
        <w:t>is</w:t>
      </w:r>
      <w:r>
        <w:rPr>
          <w:rFonts w:ascii="Times New Roman" w:hAnsi="Times New Roman"/>
          <w:sz w:val="24"/>
          <w:szCs w:val="24"/>
        </w:rPr>
        <w:t xml:space="preserve"> presented in Table </w:t>
      </w:r>
      <w:r>
        <w:rPr>
          <w:rFonts w:ascii="Times New Roman" w:hAnsi="Times New Roman"/>
          <w:sz w:val="24"/>
          <w:szCs w:val="24"/>
          <w:lang w:val="en-US"/>
        </w:rPr>
        <w:t>5</w:t>
      </w:r>
      <w:r>
        <w:rPr>
          <w:rFonts w:ascii="Times New Roman" w:hAnsi="Times New Roman"/>
          <w:sz w:val="24"/>
          <w:szCs w:val="24"/>
        </w:rPr>
        <w:t xml:space="preserve"> below.</w:t>
      </w:r>
    </w:p>
    <w:p w14:paraId="752EAD8F">
      <w:pPr>
        <w:rPr>
          <w:rFonts w:ascii="Times New Roman" w:hAnsi="Times New Roman"/>
          <w:b/>
          <w:sz w:val="24"/>
          <w:szCs w:val="24"/>
        </w:rPr>
      </w:pPr>
    </w:p>
    <w:p w14:paraId="36699430">
      <w:pPr>
        <w:spacing w:after="240"/>
        <w:jc w:val="center"/>
        <w:rPr>
          <w:rFonts w:ascii="Times New Roman" w:hAnsi="Times New Roman"/>
          <w:szCs w:val="24"/>
        </w:rPr>
      </w:pPr>
      <w:r>
        <w:rPr>
          <w:rFonts w:ascii="Times New Roman" w:hAnsi="Times New Roman"/>
          <w:i/>
          <w:szCs w:val="24"/>
        </w:rPr>
        <w:t xml:space="preserve">Table </w:t>
      </w:r>
      <w:r>
        <w:rPr>
          <w:rFonts w:ascii="Times New Roman" w:hAnsi="Times New Roman"/>
          <w:i/>
          <w:szCs w:val="24"/>
          <w:lang w:val="en-US"/>
        </w:rPr>
        <w:t>5</w:t>
      </w:r>
      <w:r>
        <w:rPr>
          <w:rFonts w:ascii="Times New Roman" w:hAnsi="Times New Roman"/>
          <w:szCs w:val="24"/>
          <w:lang w:val="en-US"/>
        </w:rPr>
        <w:t xml:space="preserve"> The </w:t>
      </w:r>
      <w:r>
        <w:rPr>
          <w:rFonts w:ascii="Times New Roman" w:hAnsi="Times New Roman"/>
          <w:szCs w:val="24"/>
        </w:rPr>
        <w:t>Paired Sample T-Test in Experimental Group</w:t>
      </w:r>
    </w:p>
    <w:tbl>
      <w:tblPr>
        <w:tblStyle w:val="3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09"/>
        <w:gridCol w:w="1272"/>
        <w:gridCol w:w="1314"/>
        <w:gridCol w:w="1299"/>
        <w:gridCol w:w="1251"/>
        <w:gridCol w:w="1282"/>
      </w:tblGrid>
      <w:tr w14:paraId="1830F9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81" w:type="dxa"/>
            <w:gridSpan w:val="2"/>
            <w:vAlign w:val="center"/>
          </w:tcPr>
          <w:p w14:paraId="6987AB2F">
            <w:pPr>
              <w:widowControl w:val="0"/>
              <w:jc w:val="center"/>
              <w:rPr>
                <w:rFonts w:ascii="Times New Roman" w:hAnsi="Times New Roman"/>
                <w:b/>
                <w:bCs/>
                <w:sz w:val="20"/>
                <w:szCs w:val="24"/>
                <w:lang w:eastAsia="id-ID"/>
              </w:rPr>
            </w:pPr>
            <w:r>
              <w:rPr>
                <w:rFonts w:ascii="Times New Roman" w:hAnsi="Times New Roman"/>
                <w:b/>
                <w:bCs/>
                <w:sz w:val="20"/>
                <w:szCs w:val="24"/>
                <w:lang w:eastAsia="id-ID"/>
              </w:rPr>
              <w:t>Group</w:t>
            </w:r>
          </w:p>
        </w:tc>
        <w:tc>
          <w:tcPr>
            <w:tcW w:w="1314" w:type="dxa"/>
            <w:vAlign w:val="center"/>
          </w:tcPr>
          <w:p w14:paraId="4E3835A3">
            <w:pPr>
              <w:widowControl w:val="0"/>
              <w:jc w:val="center"/>
              <w:rPr>
                <w:rFonts w:ascii="Times New Roman" w:hAnsi="Times New Roman"/>
                <w:b/>
                <w:bCs/>
                <w:sz w:val="20"/>
                <w:szCs w:val="24"/>
                <w:lang w:eastAsia="id-ID"/>
              </w:rPr>
            </w:pPr>
            <w:r>
              <w:rPr>
                <w:rFonts w:ascii="Times New Roman" w:hAnsi="Times New Roman"/>
                <w:b/>
                <w:bCs/>
                <w:sz w:val="20"/>
                <w:szCs w:val="24"/>
                <w:lang w:eastAsia="id-ID"/>
              </w:rPr>
              <w:t>Mean Difference</w:t>
            </w:r>
          </w:p>
        </w:tc>
        <w:tc>
          <w:tcPr>
            <w:tcW w:w="1299" w:type="dxa"/>
            <w:vAlign w:val="center"/>
          </w:tcPr>
          <w:p w14:paraId="13DB9BBE">
            <w:pPr>
              <w:widowControl w:val="0"/>
              <w:jc w:val="center"/>
              <w:rPr>
                <w:rFonts w:ascii="Times New Roman" w:hAnsi="Times New Roman"/>
                <w:b/>
                <w:bCs/>
                <w:sz w:val="20"/>
                <w:szCs w:val="24"/>
                <w:lang w:eastAsia="id-ID"/>
              </w:rPr>
            </w:pPr>
            <w:r>
              <w:rPr>
                <w:rFonts w:ascii="Times New Roman" w:hAnsi="Times New Roman"/>
                <w:b/>
                <w:bCs/>
                <w:sz w:val="20"/>
                <w:szCs w:val="24"/>
                <w:lang w:eastAsia="id-ID"/>
              </w:rPr>
              <w:t>t-obtained</w:t>
            </w:r>
          </w:p>
        </w:tc>
        <w:tc>
          <w:tcPr>
            <w:tcW w:w="1251" w:type="dxa"/>
            <w:vAlign w:val="center"/>
          </w:tcPr>
          <w:p w14:paraId="25D854CB">
            <w:pPr>
              <w:widowControl w:val="0"/>
              <w:jc w:val="center"/>
              <w:rPr>
                <w:rFonts w:ascii="Times New Roman" w:hAnsi="Times New Roman"/>
                <w:b/>
                <w:bCs/>
                <w:sz w:val="20"/>
                <w:szCs w:val="24"/>
                <w:lang w:eastAsia="id-ID"/>
              </w:rPr>
            </w:pPr>
            <w:r>
              <w:rPr>
                <w:rFonts w:ascii="Times New Roman" w:hAnsi="Times New Roman"/>
                <w:b/>
                <w:bCs/>
                <w:sz w:val="20"/>
                <w:szCs w:val="24"/>
                <w:lang w:eastAsia="id-ID"/>
              </w:rPr>
              <w:t>df</w:t>
            </w:r>
          </w:p>
        </w:tc>
        <w:tc>
          <w:tcPr>
            <w:tcW w:w="1282" w:type="dxa"/>
            <w:vAlign w:val="center"/>
          </w:tcPr>
          <w:p w14:paraId="3A055B38">
            <w:pPr>
              <w:widowControl w:val="0"/>
              <w:jc w:val="center"/>
              <w:rPr>
                <w:rFonts w:ascii="Times New Roman" w:hAnsi="Times New Roman"/>
                <w:b/>
                <w:bCs/>
                <w:sz w:val="20"/>
                <w:szCs w:val="24"/>
                <w:lang w:eastAsia="id-ID"/>
              </w:rPr>
            </w:pPr>
            <w:r>
              <w:rPr>
                <w:rFonts w:ascii="Times New Roman" w:hAnsi="Times New Roman"/>
                <w:b/>
                <w:bCs/>
                <w:sz w:val="20"/>
                <w:szCs w:val="24"/>
                <w:lang w:eastAsia="id-ID"/>
              </w:rPr>
              <w:t>Sig. (2-tailed)</w:t>
            </w:r>
          </w:p>
        </w:tc>
      </w:tr>
      <w:tr w14:paraId="395B55B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509" w:type="dxa"/>
            <w:vAlign w:val="center"/>
          </w:tcPr>
          <w:p w14:paraId="07897008">
            <w:pPr>
              <w:widowControl w:val="0"/>
              <w:jc w:val="center"/>
              <w:rPr>
                <w:rFonts w:ascii="Times New Roman" w:hAnsi="Times New Roman"/>
                <w:sz w:val="20"/>
                <w:szCs w:val="24"/>
                <w:lang w:eastAsia="id-ID"/>
              </w:rPr>
            </w:pPr>
            <w:r>
              <w:rPr>
                <w:rFonts w:ascii="Times New Roman" w:hAnsi="Times New Roman"/>
                <w:sz w:val="20"/>
                <w:szCs w:val="24"/>
                <w:lang w:eastAsia="id-ID"/>
              </w:rPr>
              <w:t>Experimental</w:t>
            </w:r>
          </w:p>
        </w:tc>
        <w:tc>
          <w:tcPr>
            <w:tcW w:w="1272" w:type="dxa"/>
            <w:vAlign w:val="center"/>
          </w:tcPr>
          <w:p w14:paraId="31BCCCD0">
            <w:pPr>
              <w:widowControl w:val="0"/>
              <w:jc w:val="both"/>
              <w:rPr>
                <w:rFonts w:ascii="Times New Roman" w:hAnsi="Times New Roman"/>
                <w:sz w:val="20"/>
                <w:szCs w:val="24"/>
                <w:lang w:eastAsia="id-ID"/>
              </w:rPr>
            </w:pPr>
            <w:r>
              <w:rPr>
                <w:rFonts w:ascii="Times New Roman" w:hAnsi="Times New Roman"/>
                <w:sz w:val="20"/>
                <w:szCs w:val="24"/>
                <w:lang w:eastAsia="id-ID"/>
              </w:rPr>
              <w:t xml:space="preserve">Post-test &amp; Pre-test   </w:t>
            </w:r>
          </w:p>
        </w:tc>
        <w:tc>
          <w:tcPr>
            <w:tcW w:w="1314" w:type="dxa"/>
            <w:vAlign w:val="center"/>
          </w:tcPr>
          <w:p w14:paraId="46B921C6">
            <w:pPr>
              <w:widowControl w:val="0"/>
              <w:jc w:val="center"/>
              <w:rPr>
                <w:rFonts w:ascii="Times New Roman" w:hAnsi="Times New Roman"/>
                <w:sz w:val="20"/>
                <w:szCs w:val="24"/>
                <w:lang w:eastAsia="id-ID"/>
              </w:rPr>
            </w:pPr>
            <w:r>
              <w:rPr>
                <w:rFonts w:ascii="Times New Roman" w:hAnsi="Times New Roman"/>
                <w:color w:val="010205"/>
                <w:sz w:val="20"/>
                <w:szCs w:val="24"/>
                <w:lang w:eastAsia="id-ID"/>
              </w:rPr>
              <w:t>9.111</w:t>
            </w:r>
          </w:p>
        </w:tc>
        <w:tc>
          <w:tcPr>
            <w:tcW w:w="1299" w:type="dxa"/>
            <w:vAlign w:val="center"/>
          </w:tcPr>
          <w:p w14:paraId="6E564BB2">
            <w:pPr>
              <w:widowControl w:val="0"/>
              <w:tabs>
                <w:tab w:val="center" w:pos="541"/>
              </w:tabs>
              <w:jc w:val="center"/>
              <w:rPr>
                <w:rFonts w:ascii="Times New Roman" w:hAnsi="Times New Roman"/>
                <w:sz w:val="20"/>
                <w:szCs w:val="24"/>
                <w:lang w:eastAsia="id-ID"/>
              </w:rPr>
            </w:pPr>
            <w:r>
              <w:rPr>
                <w:rFonts w:ascii="Times New Roman" w:hAnsi="Times New Roman"/>
                <w:color w:val="010205"/>
                <w:sz w:val="20"/>
                <w:szCs w:val="24"/>
                <w:lang w:eastAsia="id-ID"/>
              </w:rPr>
              <w:t>3.511</w:t>
            </w:r>
          </w:p>
        </w:tc>
        <w:tc>
          <w:tcPr>
            <w:tcW w:w="1251" w:type="dxa"/>
            <w:vAlign w:val="center"/>
          </w:tcPr>
          <w:p w14:paraId="59BCBF91">
            <w:pPr>
              <w:widowControl w:val="0"/>
              <w:jc w:val="center"/>
              <w:rPr>
                <w:rFonts w:ascii="Times New Roman" w:hAnsi="Times New Roman"/>
                <w:sz w:val="20"/>
                <w:szCs w:val="24"/>
                <w:lang w:eastAsia="id-ID"/>
              </w:rPr>
            </w:pPr>
            <w:r>
              <w:rPr>
                <w:rFonts w:ascii="Times New Roman" w:hAnsi="Times New Roman"/>
                <w:color w:val="010205"/>
                <w:sz w:val="20"/>
                <w:szCs w:val="24"/>
                <w:lang w:eastAsia="id-ID"/>
              </w:rPr>
              <w:t>35</w:t>
            </w:r>
          </w:p>
        </w:tc>
        <w:tc>
          <w:tcPr>
            <w:tcW w:w="1282" w:type="dxa"/>
            <w:vAlign w:val="center"/>
          </w:tcPr>
          <w:p w14:paraId="59F5E9F2">
            <w:pPr>
              <w:widowControl w:val="0"/>
              <w:jc w:val="center"/>
              <w:rPr>
                <w:rFonts w:ascii="Times New Roman" w:hAnsi="Times New Roman"/>
                <w:sz w:val="20"/>
                <w:szCs w:val="24"/>
                <w:lang w:eastAsia="id-ID"/>
              </w:rPr>
            </w:pPr>
            <w:r>
              <w:rPr>
                <w:rFonts w:ascii="Times New Roman" w:hAnsi="Times New Roman"/>
                <w:color w:val="010205"/>
                <w:sz w:val="20"/>
                <w:szCs w:val="24"/>
                <w:lang w:eastAsia="id-ID"/>
              </w:rPr>
              <w:t>.001</w:t>
            </w:r>
          </w:p>
        </w:tc>
      </w:tr>
    </w:tbl>
    <w:p w14:paraId="1E5AF44E">
      <w:pPr>
        <w:rPr>
          <w:lang w:val="en-US"/>
        </w:rPr>
      </w:pPr>
    </w:p>
    <w:p w14:paraId="6C1D6B8A">
      <w:pPr>
        <w:pStyle w:val="4"/>
        <w:ind w:left="0"/>
        <w:jc w:val="both"/>
        <w:rPr>
          <w:i/>
        </w:rPr>
      </w:pPr>
      <w:r>
        <w:rPr>
          <w:i/>
        </w:rPr>
        <w:t>Independent Sample T-Test</w:t>
      </w:r>
    </w:p>
    <w:p w14:paraId="6D84A336">
      <w:pPr>
        <w:ind w:firstLine="720"/>
        <w:jc w:val="both"/>
        <w:rPr>
          <w:rFonts w:ascii="Times New Roman" w:hAnsi="Times New Roman"/>
          <w:sz w:val="24"/>
          <w:szCs w:val="24"/>
          <w:lang w:val="en-US"/>
        </w:rPr>
      </w:pPr>
      <w:r>
        <w:rPr>
          <w:rFonts w:ascii="Times New Roman" w:hAnsi="Times New Roman"/>
          <w:sz w:val="24"/>
          <w:szCs w:val="24"/>
          <w:lang w:val="en-US"/>
        </w:rPr>
        <w:t>The results of the independent samples t-test shown that the t-value (3.857) was greater than the critical t-value (1.994), and the p-value (0.000) was low than 0.05. This indicates that the alternative hypothesis (Ha) was accepted and the null hypothesis (Ho) was rejected. The findings indicated a significant difference in students’ writing skill between those taught using the graffiti wall technique and those who were not. The results is presented in Table 6.</w:t>
      </w:r>
    </w:p>
    <w:p w14:paraId="6F31061D">
      <w:pPr>
        <w:ind w:firstLine="720"/>
        <w:jc w:val="both"/>
        <w:rPr>
          <w:rFonts w:ascii="Times New Roman" w:hAnsi="Times New Roman"/>
          <w:sz w:val="24"/>
          <w:szCs w:val="24"/>
          <w:lang w:val="en-US"/>
        </w:rPr>
      </w:pPr>
    </w:p>
    <w:p w14:paraId="22CF6EA9">
      <w:pPr>
        <w:jc w:val="center"/>
        <w:rPr>
          <w:rFonts w:ascii="Times New Roman" w:hAnsi="Times New Roman"/>
          <w:szCs w:val="24"/>
        </w:rPr>
      </w:pPr>
      <w:r>
        <w:rPr>
          <w:rFonts w:ascii="Times New Roman" w:hAnsi="Times New Roman"/>
          <w:i/>
          <w:szCs w:val="24"/>
        </w:rPr>
        <w:t xml:space="preserve">Table </w:t>
      </w:r>
      <w:r>
        <w:rPr>
          <w:rFonts w:ascii="Times New Roman" w:hAnsi="Times New Roman"/>
          <w:i/>
          <w:szCs w:val="24"/>
          <w:lang w:val="en-US"/>
        </w:rPr>
        <w:t>6</w:t>
      </w:r>
      <w:r>
        <w:rPr>
          <w:rFonts w:ascii="Times New Roman" w:hAnsi="Times New Roman"/>
          <w:szCs w:val="24"/>
          <w:lang w:val="en-US"/>
        </w:rPr>
        <w:t xml:space="preserve"> The </w:t>
      </w:r>
      <w:r>
        <w:rPr>
          <w:rFonts w:ascii="Times New Roman" w:hAnsi="Times New Roman"/>
          <w:szCs w:val="24"/>
        </w:rPr>
        <w:t>Independent Sample T-Test</w:t>
      </w:r>
    </w:p>
    <w:p w14:paraId="19853F3B"/>
    <w:tbl>
      <w:tblPr>
        <w:tblStyle w:val="3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89"/>
        <w:gridCol w:w="742"/>
        <w:gridCol w:w="742"/>
        <w:gridCol w:w="1275"/>
        <w:gridCol w:w="661"/>
        <w:gridCol w:w="1742"/>
      </w:tblGrid>
      <w:tr w14:paraId="6594B3A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689" w:type="dxa"/>
            <w:vAlign w:val="center"/>
          </w:tcPr>
          <w:p w14:paraId="08176A58">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Groups</w:t>
            </w:r>
          </w:p>
        </w:tc>
        <w:tc>
          <w:tcPr>
            <w:tcW w:w="742" w:type="dxa"/>
            <w:vAlign w:val="center"/>
          </w:tcPr>
          <w:p w14:paraId="1506A183">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F</w:t>
            </w:r>
          </w:p>
        </w:tc>
        <w:tc>
          <w:tcPr>
            <w:tcW w:w="742" w:type="dxa"/>
            <w:vAlign w:val="center"/>
          </w:tcPr>
          <w:p w14:paraId="373E1A48">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Sig.</w:t>
            </w:r>
          </w:p>
        </w:tc>
        <w:tc>
          <w:tcPr>
            <w:tcW w:w="1275" w:type="dxa"/>
            <w:vAlign w:val="center"/>
          </w:tcPr>
          <w:p w14:paraId="7D55509D">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t-obtained</w:t>
            </w:r>
          </w:p>
        </w:tc>
        <w:tc>
          <w:tcPr>
            <w:tcW w:w="661" w:type="dxa"/>
            <w:vAlign w:val="center"/>
          </w:tcPr>
          <w:p w14:paraId="1BF8A88D">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df</w:t>
            </w:r>
          </w:p>
        </w:tc>
        <w:tc>
          <w:tcPr>
            <w:tcW w:w="1742" w:type="dxa"/>
            <w:vAlign w:val="center"/>
          </w:tcPr>
          <w:p w14:paraId="4549D770">
            <w:pPr>
              <w:widowControl w:val="0"/>
              <w:spacing w:line="360" w:lineRule="auto"/>
              <w:jc w:val="center"/>
              <w:rPr>
                <w:rFonts w:ascii="Times New Roman" w:hAnsi="Times New Roman"/>
                <w:b/>
                <w:sz w:val="20"/>
                <w:szCs w:val="24"/>
                <w:lang w:eastAsia="id-ID"/>
              </w:rPr>
            </w:pPr>
            <w:r>
              <w:rPr>
                <w:rFonts w:ascii="Times New Roman" w:hAnsi="Times New Roman"/>
                <w:b/>
                <w:sz w:val="20"/>
                <w:szCs w:val="24"/>
                <w:lang w:eastAsia="id-ID"/>
              </w:rPr>
              <w:t>Sig. (2-tailed)</w:t>
            </w:r>
          </w:p>
        </w:tc>
      </w:tr>
      <w:tr w14:paraId="254014D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689" w:type="dxa"/>
            <w:vAlign w:val="center"/>
          </w:tcPr>
          <w:p w14:paraId="50A7E76E">
            <w:pPr>
              <w:widowControl w:val="0"/>
              <w:spacing w:line="360" w:lineRule="auto"/>
              <w:jc w:val="center"/>
              <w:rPr>
                <w:rFonts w:ascii="Times New Roman" w:hAnsi="Times New Roman"/>
                <w:sz w:val="20"/>
                <w:szCs w:val="24"/>
                <w:lang w:eastAsia="id-ID"/>
              </w:rPr>
            </w:pPr>
            <w:r>
              <w:rPr>
                <w:rFonts w:ascii="Times New Roman" w:hAnsi="Times New Roman"/>
                <w:sz w:val="20"/>
                <w:szCs w:val="24"/>
                <w:lang w:eastAsia="id-ID"/>
              </w:rPr>
              <w:t>Post-test experimental &amp; control group</w:t>
            </w:r>
          </w:p>
        </w:tc>
        <w:tc>
          <w:tcPr>
            <w:tcW w:w="742" w:type="dxa"/>
            <w:shd w:val="clear" w:color="auto" w:fill="FFFFFF"/>
          </w:tcPr>
          <w:p w14:paraId="5485A70E">
            <w:pPr>
              <w:widowControl w:val="0"/>
              <w:spacing w:line="320" w:lineRule="atLeast"/>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.188</w:t>
            </w:r>
          </w:p>
        </w:tc>
        <w:tc>
          <w:tcPr>
            <w:tcW w:w="742" w:type="dxa"/>
            <w:shd w:val="clear" w:color="auto" w:fill="FFFFFF"/>
          </w:tcPr>
          <w:p w14:paraId="4D09E59C">
            <w:pPr>
              <w:widowControl w:val="0"/>
              <w:spacing w:line="320" w:lineRule="atLeast"/>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.666</w:t>
            </w:r>
          </w:p>
        </w:tc>
        <w:tc>
          <w:tcPr>
            <w:tcW w:w="1275" w:type="dxa"/>
            <w:shd w:val="clear" w:color="auto" w:fill="FFFFFF"/>
          </w:tcPr>
          <w:p w14:paraId="525933B6">
            <w:pPr>
              <w:widowControl w:val="0"/>
              <w:spacing w:line="320" w:lineRule="atLeast"/>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3.857</w:t>
            </w:r>
          </w:p>
        </w:tc>
        <w:tc>
          <w:tcPr>
            <w:tcW w:w="661" w:type="dxa"/>
            <w:shd w:val="clear" w:color="auto" w:fill="FFFFFF"/>
          </w:tcPr>
          <w:p w14:paraId="40486F9F">
            <w:pPr>
              <w:widowControl w:val="0"/>
              <w:spacing w:line="320" w:lineRule="atLeast"/>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70</w:t>
            </w:r>
          </w:p>
        </w:tc>
        <w:tc>
          <w:tcPr>
            <w:tcW w:w="1742" w:type="dxa"/>
            <w:shd w:val="clear" w:color="auto" w:fill="FFFFFF"/>
          </w:tcPr>
          <w:p w14:paraId="03E6A6CB">
            <w:pPr>
              <w:widowControl w:val="0"/>
              <w:spacing w:line="320" w:lineRule="atLeast"/>
              <w:ind w:left="60" w:right="60"/>
              <w:jc w:val="center"/>
              <w:rPr>
                <w:rFonts w:ascii="Times New Roman" w:hAnsi="Times New Roman"/>
                <w:color w:val="010205"/>
                <w:sz w:val="20"/>
                <w:szCs w:val="24"/>
                <w:lang w:eastAsia="id-ID"/>
              </w:rPr>
            </w:pPr>
            <w:r>
              <w:rPr>
                <w:rFonts w:ascii="Times New Roman" w:hAnsi="Times New Roman"/>
                <w:color w:val="010205"/>
                <w:sz w:val="20"/>
                <w:szCs w:val="24"/>
                <w:lang w:eastAsia="id-ID"/>
              </w:rPr>
              <w:t>.000</w:t>
            </w:r>
          </w:p>
        </w:tc>
      </w:tr>
    </w:tbl>
    <w:p w14:paraId="6D360FA8">
      <w:pPr>
        <w:spacing w:line="360" w:lineRule="auto"/>
        <w:jc w:val="both"/>
        <w:rPr>
          <w:rFonts w:ascii="Times New Roman" w:hAnsi="Times New Roman"/>
          <w:b/>
          <w:sz w:val="24"/>
          <w:szCs w:val="24"/>
        </w:rPr>
      </w:pPr>
    </w:p>
    <w:p w14:paraId="0BF75F3E">
      <w:pPr>
        <w:spacing w:line="360" w:lineRule="auto"/>
        <w:jc w:val="both"/>
        <w:rPr>
          <w:rFonts w:ascii="Times New Roman" w:hAnsi="Times New Roman"/>
          <w:b/>
          <w:sz w:val="24"/>
          <w:szCs w:val="24"/>
          <w:lang w:val="en-US"/>
        </w:rPr>
      </w:pPr>
    </w:p>
    <w:p w14:paraId="5C1DFCEB">
      <w:pPr>
        <w:spacing w:line="360" w:lineRule="auto"/>
        <w:jc w:val="both"/>
        <w:rPr>
          <w:rFonts w:ascii="Times New Roman" w:hAnsi="Times New Roman"/>
          <w:b/>
          <w:sz w:val="24"/>
          <w:szCs w:val="24"/>
          <w:lang w:val="en-US"/>
        </w:rPr>
      </w:pPr>
    </w:p>
    <w:p w14:paraId="6649219C">
      <w:pPr>
        <w:spacing w:line="360" w:lineRule="auto"/>
        <w:jc w:val="both"/>
        <w:rPr>
          <w:rFonts w:ascii="Times New Roman" w:hAnsi="Times New Roman"/>
          <w:b/>
          <w:sz w:val="24"/>
          <w:szCs w:val="24"/>
        </w:rPr>
      </w:pPr>
      <w:r>
        <w:rPr>
          <w:rFonts w:ascii="Times New Roman" w:hAnsi="Times New Roman"/>
          <w:b/>
          <w:sz w:val="24"/>
          <w:szCs w:val="24"/>
        </w:rPr>
        <w:t>DISCUSSION</w:t>
      </w:r>
    </w:p>
    <w:p w14:paraId="67DE52DA">
      <w:pPr>
        <w:ind w:firstLine="720"/>
        <w:jc w:val="both"/>
      </w:pPr>
      <w:r>
        <w:rPr>
          <w:rFonts w:ascii="Times New Roman" w:hAnsi="Times New Roman"/>
          <w:sz w:val="24"/>
          <w:szCs w:val="24"/>
        </w:rPr>
        <w:t>The findings of this study indicated that the implementation of the graffiti wall technique had a positive effect on students’ writing skill achievement. The improvement</w:t>
      </w:r>
      <w:r>
        <w:rPr>
          <w:rFonts w:ascii="Times New Roman" w:hAnsi="Times New Roman"/>
          <w:sz w:val="24"/>
          <w:szCs w:val="24"/>
          <w:lang w:val="en-US"/>
        </w:rPr>
        <w:t xml:space="preserve"> on</w:t>
      </w:r>
      <w:r>
        <w:rPr>
          <w:rFonts w:ascii="Times New Roman" w:hAnsi="Times New Roman"/>
          <w:sz w:val="24"/>
          <w:szCs w:val="24"/>
        </w:rPr>
        <w:t xml:space="preserve"> students’ writing scores suggested that the technique helped students generate ideas, organize their thoughts, and express their experiences more effectively in written form.</w:t>
      </w:r>
      <w:r>
        <w:rPr>
          <w:rFonts w:ascii="Times New Roman" w:hAnsi="Times New Roman"/>
          <w:sz w:val="24"/>
          <w:szCs w:val="24"/>
          <w:lang w:val="en-US"/>
        </w:rPr>
        <w:t xml:space="preserve"> </w:t>
      </w:r>
      <w:r>
        <w:rPr>
          <w:rFonts w:ascii="Times New Roman" w:hAnsi="Times New Roman"/>
          <w:sz w:val="24"/>
          <w:szCs w:val="24"/>
        </w:rPr>
        <w:t>One possible explanation for this improvement was that the graffiti wall technique encouraged collaborative learning among students. During the activity, students were able to share ideas, respond to their peers’ opinions, and develop their thoughts collectively. This interaction helped students expand their vocabulary and improve their understanding of how to organize ideas in recount texts.</w:t>
      </w:r>
    </w:p>
    <w:p w14:paraId="559F117A">
      <w:pPr>
        <w:pStyle w:val="29"/>
        <w:spacing w:before="0" w:beforeAutospacing="0" w:after="0" w:afterAutospacing="0"/>
        <w:ind w:firstLine="720"/>
        <w:jc w:val="both"/>
      </w:pPr>
      <w:r>
        <w:t>In addition, the graffiti wall activity created a more engaging and interactive classroom environment. Students became more motivated to participate in writing activities because they were allowed to express their ideas freely on a large surface such as a wall or poster. This learning environment reduced students’ anxiety and increased their confidence in writing.The findings of this study are consistent with the theory proposed by Farnia</w:t>
      </w:r>
      <w:r>
        <w:rPr>
          <w:lang w:val="en-US"/>
        </w:rPr>
        <w:t xml:space="preserve"> (2014)</w:t>
      </w:r>
      <w:r>
        <w:t>, who explained that graffiti can serve as a medium for individuals to express ideas, feelings, and messages in a creative way. When applied in the classroom, graffiti activities can encourage students to participate actively and interact with others in the learning process.</w:t>
      </w:r>
    </w:p>
    <w:p w14:paraId="48ADBDCE">
      <w:pPr>
        <w:pStyle w:val="29"/>
        <w:spacing w:before="0" w:beforeAutospacing="0" w:after="0" w:afterAutospacing="0"/>
        <w:ind w:firstLine="720"/>
        <w:jc w:val="both"/>
        <w:rPr>
          <w:b/>
        </w:rPr>
      </w:pPr>
      <w:r>
        <w:t>Furthermore, the results of this study support previous research findings which reported that graffiti-based learning strategies c</w:t>
      </w:r>
      <w:r>
        <w:rPr>
          <w:lang w:val="en-US"/>
        </w:rPr>
        <w:t>ould</w:t>
      </w:r>
      <w:r>
        <w:t xml:space="preserve"> improve students’ engagement and learning outcomes. By allowing students to exchange ideas and collaborate with peers, the graffiti wall technique helped students develop their writing ability more effectively.</w:t>
      </w:r>
      <w:r>
        <w:rPr>
          <w:lang w:val="en-US"/>
        </w:rPr>
        <w:t xml:space="preserve"> </w:t>
      </w:r>
      <w:r>
        <w:t>Therefore, it c</w:t>
      </w:r>
      <w:r>
        <w:rPr>
          <w:lang w:val="en-US"/>
        </w:rPr>
        <w:t>ould</w:t>
      </w:r>
      <w:r>
        <w:t xml:space="preserve"> be concluded that the graffiti wall technique </w:t>
      </w:r>
      <w:r>
        <w:rPr>
          <w:lang w:val="en-US"/>
        </w:rPr>
        <w:t>wa</w:t>
      </w:r>
      <w:r>
        <w:t>s an effective teaching strategy for improving students’ writing skill, particularly in writing recount text</w:t>
      </w:r>
      <w:r>
        <w:rPr>
          <w:lang w:val="en-US"/>
        </w:rPr>
        <w:t>.</w:t>
      </w:r>
    </w:p>
    <w:p w14:paraId="74365FF4">
      <w:pPr>
        <w:spacing w:before="240" w:line="360" w:lineRule="auto"/>
        <w:jc w:val="both"/>
        <w:rPr>
          <w:rFonts w:ascii="Times New Roman" w:hAnsi="Times New Roman"/>
          <w:b/>
          <w:sz w:val="24"/>
          <w:szCs w:val="24"/>
        </w:rPr>
      </w:pPr>
      <w:r>
        <w:rPr>
          <w:rFonts w:ascii="Times New Roman" w:hAnsi="Times New Roman"/>
          <w:b/>
          <w:sz w:val="24"/>
          <w:szCs w:val="24"/>
        </w:rPr>
        <w:t>CONCLUSION</w:t>
      </w:r>
    </w:p>
    <w:p w14:paraId="5011C828">
      <w:pPr>
        <w:pStyle w:val="72"/>
        <w:contextualSpacing/>
        <w:rPr>
          <w:sz w:val="24"/>
        </w:rPr>
      </w:pPr>
      <w:r>
        <w:rPr>
          <w:sz w:val="24"/>
          <w:lang w:val="en-US"/>
        </w:rPr>
        <w:t>B</w:t>
      </w:r>
      <w:r>
        <w:rPr>
          <w:sz w:val="24"/>
        </w:rPr>
        <w:t xml:space="preserve">ased on the research findings, it was concluded that the application of the graffiti wall technique improved the writing skill of </w:t>
      </w:r>
      <w:r>
        <w:rPr>
          <w:sz w:val="24"/>
          <w:lang w:val="en-US"/>
        </w:rPr>
        <w:t xml:space="preserve">the tenth grade </w:t>
      </w:r>
      <w:r>
        <w:rPr>
          <w:sz w:val="24"/>
        </w:rPr>
        <w:t xml:space="preserve">students at SMA Negeri 11 Palembang. The results showed that students’ writing scores improved from the pre-test to the post-test in the experimental group, indicating a greater ability to develop and organise ideas in </w:t>
      </w:r>
      <w:r>
        <w:rPr>
          <w:sz w:val="24"/>
          <w:lang w:val="en-US"/>
        </w:rPr>
        <w:t>recount</w:t>
      </w:r>
      <w:r>
        <w:rPr>
          <w:sz w:val="24"/>
        </w:rPr>
        <w:t xml:space="preserve"> text. Furthermore, statistical analysis revealed a significant difference between pre-test and post-test results, with the experimental group achieving higher post-test scores than the control group. Consequently, the graffiti wall technique </w:t>
      </w:r>
      <w:r>
        <w:rPr>
          <w:sz w:val="24"/>
          <w:lang w:val="en-US"/>
        </w:rPr>
        <w:t>was</w:t>
      </w:r>
      <w:r>
        <w:rPr>
          <w:sz w:val="24"/>
        </w:rPr>
        <w:t xml:space="preserve"> considered an effective strategy for improving students’ writing skill by encouraging active participation and the sharing of ideas during the learning process.</w:t>
      </w:r>
    </w:p>
    <w:p w14:paraId="25E3E433">
      <w:pPr>
        <w:jc w:val="both"/>
        <w:rPr>
          <w:rFonts w:ascii="Times New Roman" w:hAnsi="Times New Roman"/>
          <w:b/>
          <w:sz w:val="24"/>
          <w:szCs w:val="24"/>
        </w:rPr>
      </w:pPr>
    </w:p>
    <w:p w14:paraId="271CE640">
      <w:pPr>
        <w:jc w:val="both"/>
        <w:rPr>
          <w:rFonts w:ascii="Times New Roman" w:hAnsi="Times New Roman"/>
          <w:b/>
          <w:sz w:val="24"/>
          <w:szCs w:val="24"/>
          <w:lang w:val="en-US"/>
        </w:rPr>
      </w:pPr>
    </w:p>
    <w:p w14:paraId="68D64A72">
      <w:pPr>
        <w:jc w:val="both"/>
        <w:rPr>
          <w:rFonts w:ascii="Times New Roman" w:hAnsi="Times New Roman"/>
          <w:b/>
          <w:sz w:val="24"/>
          <w:szCs w:val="24"/>
          <w:lang w:val="en-US"/>
        </w:rPr>
      </w:pPr>
    </w:p>
    <w:p w14:paraId="42B9440D">
      <w:pPr>
        <w:jc w:val="both"/>
        <w:rPr>
          <w:rFonts w:ascii="Times New Roman" w:hAnsi="Times New Roman"/>
          <w:b/>
          <w:sz w:val="24"/>
          <w:szCs w:val="24"/>
          <w:lang w:val="en-US"/>
        </w:rPr>
      </w:pPr>
    </w:p>
    <w:p w14:paraId="786E5301">
      <w:pPr>
        <w:jc w:val="both"/>
        <w:rPr>
          <w:rFonts w:ascii="Times New Roman" w:hAnsi="Times New Roman"/>
          <w:b/>
          <w:sz w:val="24"/>
          <w:szCs w:val="24"/>
          <w:lang w:val="en-US"/>
        </w:rPr>
      </w:pPr>
    </w:p>
    <w:p w14:paraId="27399D1E">
      <w:pPr>
        <w:jc w:val="both"/>
        <w:rPr>
          <w:rFonts w:ascii="Times New Roman" w:hAnsi="Times New Roman"/>
          <w:b/>
          <w:sz w:val="24"/>
          <w:szCs w:val="24"/>
          <w:lang w:val="en-US"/>
        </w:rPr>
      </w:pPr>
      <w:r>
        <w:rPr>
          <w:rFonts w:ascii="Times New Roman" w:hAnsi="Times New Roman"/>
          <w:b/>
          <w:sz w:val="24"/>
          <w:szCs w:val="24"/>
        </w:rPr>
        <w:t>REFERENCE</w:t>
      </w:r>
      <w:r>
        <w:rPr>
          <w:rFonts w:ascii="Times New Roman" w:hAnsi="Times New Roman"/>
          <w:b/>
          <w:sz w:val="24"/>
          <w:szCs w:val="24"/>
          <w:lang w:val="en-US"/>
        </w:rPr>
        <w:t>S</w:t>
      </w:r>
    </w:p>
    <w:p w14:paraId="52711B78">
      <w:pPr>
        <w:ind w:left="540" w:hanging="540"/>
        <w:jc w:val="both"/>
        <w:rPr>
          <w:rFonts w:ascii="Times New Roman" w:hAnsi="Times New Roman" w:eastAsia="Google Sans"/>
          <w:sz w:val="24"/>
          <w:szCs w:val="24"/>
        </w:rPr>
      </w:pPr>
    </w:p>
    <w:p w14:paraId="537026B1">
      <w:pPr>
        <w:spacing w:after="240"/>
        <w:ind w:left="540" w:hanging="540"/>
        <w:jc w:val="both"/>
        <w:rPr>
          <w:rFonts w:ascii="Times New Roman" w:hAnsi="Times New Roman" w:eastAsia="SimSun"/>
          <w:color w:val="000000"/>
          <w:sz w:val="24"/>
          <w:szCs w:val="24"/>
          <w:lang w:val="en-US"/>
        </w:rPr>
      </w:pPr>
      <w:r>
        <w:rPr>
          <w:rFonts w:ascii="Times New Roman" w:hAnsi="Times New Roman" w:eastAsia="SimSun"/>
          <w:color w:val="000000"/>
          <w:sz w:val="24"/>
          <w:szCs w:val="24"/>
          <w:lang w:val="en-US"/>
        </w:rPr>
        <w:t xml:space="preserve">Brookfield, S. D., &amp; Preskill, S. (2012). </w:t>
      </w:r>
      <w:r>
        <w:rPr>
          <w:rFonts w:ascii="Times New Roman" w:hAnsi="Times New Roman" w:eastAsia="SimSun"/>
          <w:i/>
          <w:iCs/>
          <w:color w:val="000000"/>
          <w:sz w:val="24"/>
          <w:szCs w:val="24"/>
          <w:lang w:val="en-US"/>
        </w:rPr>
        <w:t>Discussion as a way of Teaching: Tool and Techniques for Democratic Classroom</w:t>
      </w:r>
      <w:r>
        <w:rPr>
          <w:rFonts w:ascii="Times New Roman" w:hAnsi="Times New Roman" w:eastAsia="SimSun"/>
          <w:color w:val="000000"/>
          <w:sz w:val="24"/>
          <w:szCs w:val="24"/>
          <w:lang w:val="en-US"/>
        </w:rPr>
        <w:t xml:space="preserve"> (2</w:t>
      </w:r>
      <w:r>
        <w:rPr>
          <w:rFonts w:ascii="Times New Roman" w:hAnsi="Times New Roman" w:eastAsia="SimSun"/>
          <w:color w:val="000000"/>
          <w:sz w:val="24"/>
          <w:szCs w:val="24"/>
          <w:vertAlign w:val="superscript"/>
          <w:lang w:val="en-US"/>
        </w:rPr>
        <w:t>nd</w:t>
      </w:r>
      <w:r>
        <w:rPr>
          <w:rFonts w:ascii="Times New Roman" w:hAnsi="Times New Roman" w:eastAsia="SimSun"/>
          <w:color w:val="000000"/>
          <w:sz w:val="24"/>
          <w:szCs w:val="24"/>
          <w:lang w:val="en-US"/>
        </w:rPr>
        <w:t xml:space="preserve"> ed.). Jossey-Bass.</w:t>
      </w:r>
    </w:p>
    <w:p w14:paraId="39AEFFF6">
      <w:pPr>
        <w:spacing w:after="240"/>
        <w:ind w:left="540" w:hanging="540"/>
        <w:jc w:val="both"/>
        <w:rPr>
          <w:rFonts w:ascii="Times New Roman" w:hAnsi="Times New Roman" w:eastAsia="SimSun"/>
          <w:color w:val="000000"/>
          <w:sz w:val="24"/>
          <w:szCs w:val="24"/>
          <w:lang w:val="en-US"/>
        </w:rPr>
      </w:pPr>
      <w:r>
        <w:rPr>
          <w:rFonts w:ascii="Times New Roman" w:hAnsi="Times New Roman" w:eastAsia="SimSun"/>
          <w:color w:val="000000"/>
          <w:sz w:val="24"/>
          <w:szCs w:val="24"/>
          <w:lang w:val="en-US"/>
        </w:rPr>
        <w:t xml:space="preserve">Brown, H. D. (2004). </w:t>
      </w:r>
      <w:r>
        <w:rPr>
          <w:rFonts w:ascii="Times New Roman" w:hAnsi="Times New Roman" w:eastAsia="SimSun"/>
          <w:i/>
          <w:iCs/>
          <w:color w:val="000000"/>
          <w:sz w:val="24"/>
          <w:szCs w:val="24"/>
          <w:lang w:val="en-US"/>
        </w:rPr>
        <w:t>Language assessment: Principles and classroom practices</w:t>
      </w:r>
      <w:r>
        <w:rPr>
          <w:rFonts w:ascii="Times New Roman" w:hAnsi="Times New Roman" w:eastAsia="SimSun"/>
          <w:color w:val="000000"/>
          <w:sz w:val="24"/>
          <w:szCs w:val="24"/>
          <w:lang w:val="en-US"/>
        </w:rPr>
        <w:t>. Pearson Education.</w:t>
      </w:r>
    </w:p>
    <w:p w14:paraId="44670FF7">
      <w:pPr>
        <w:pStyle w:val="29"/>
        <w:spacing w:beforeAutospacing="0" w:after="240" w:afterAutospacing="0"/>
        <w:ind w:left="540" w:hanging="540"/>
        <w:jc w:val="both"/>
        <w:rPr>
          <w:rFonts w:eastAsia="SimSun"/>
          <w:color w:val="000000"/>
        </w:rPr>
      </w:pPr>
      <w:r>
        <w:rPr>
          <w:color w:val="000000"/>
        </w:rPr>
        <w:t xml:space="preserve">Brown,W.E.(2015). </w:t>
      </w:r>
      <w:r>
        <w:rPr>
          <w:i/>
          <w:iCs/>
          <w:color w:val="000000"/>
        </w:rPr>
        <w:t xml:space="preserve">Critical Hip-hop Graffiti Pedagogy in a Primary School, </w:t>
      </w:r>
      <w:r>
        <w:rPr>
          <w:color w:val="222222"/>
          <w:shd w:val="clear" w:color="auto" w:fill="FFFFFF"/>
        </w:rPr>
        <w:t>Loyola Marymount University</w:t>
      </w:r>
      <w:r>
        <w:rPr>
          <w:rFonts w:ascii="Arial" w:hAnsi="Arial" w:cs="Arial"/>
          <w:color w:val="222222"/>
          <w:sz w:val="19"/>
          <w:szCs w:val="19"/>
          <w:shd w:val="clear" w:color="auto" w:fill="FFFFFF"/>
        </w:rPr>
        <w:t>.</w:t>
      </w:r>
      <w:r>
        <w:rPr>
          <w:color w:val="000000"/>
        </w:rPr>
        <w:t>1-294.</w:t>
      </w:r>
    </w:p>
    <w:p w14:paraId="173FEC14">
      <w:pPr>
        <w:pStyle w:val="29"/>
        <w:spacing w:beforeAutospacing="0" w:after="240" w:afterAutospacing="0"/>
        <w:ind w:left="540" w:hanging="540"/>
        <w:jc w:val="both"/>
        <w:rPr>
          <w:color w:val="000000"/>
        </w:rPr>
      </w:pPr>
      <w:r>
        <w:rPr>
          <w:color w:val="000000"/>
        </w:rPr>
        <w:t xml:space="preserve">Cakrawati, L. M. (2018). Recount Text in SFL Perspective: Pedagogical Implication based on Student’s Writing Analysis. </w:t>
      </w:r>
      <w:r>
        <w:rPr>
          <w:i/>
          <w:iCs/>
          <w:shd w:val="clear" w:color="auto" w:fill="FFFFFF"/>
        </w:rPr>
        <w:t>Register Journal</w:t>
      </w:r>
      <w:r>
        <w:rPr>
          <w:color w:val="000000"/>
        </w:rPr>
        <w:t xml:space="preserve"> </w:t>
      </w:r>
      <w:r>
        <w:rPr>
          <w:i/>
          <w:iCs/>
          <w:color w:val="000000"/>
        </w:rPr>
        <w:t>11</w:t>
      </w:r>
      <w:r>
        <w:rPr>
          <w:color w:val="000000"/>
        </w:rPr>
        <w:t>(2), 210-227. 10.18326/rgt.v11i2.210-</w:t>
      </w:r>
    </w:p>
    <w:p w14:paraId="3CAD5F8A">
      <w:pPr>
        <w:spacing w:after="240"/>
        <w:ind w:left="540" w:hanging="540"/>
        <w:jc w:val="both"/>
        <w:rPr>
          <w:rFonts w:ascii="Times New Roman" w:hAnsi="Times New Roman"/>
          <w:sz w:val="24"/>
          <w:szCs w:val="24"/>
          <w:lang w:val="en-US"/>
        </w:rPr>
      </w:pPr>
      <w:r>
        <w:rPr>
          <w:rFonts w:ascii="Times New Roman" w:hAnsi="Times New Roman"/>
          <w:sz w:val="24"/>
          <w:szCs w:val="24"/>
          <w:lang w:val="en-US"/>
        </w:rPr>
        <w:t xml:space="preserve">Cresswell, J. W. (2012). </w:t>
      </w:r>
      <w:r>
        <w:rPr>
          <w:rFonts w:ascii="Times New Roman" w:hAnsi="Times New Roman"/>
          <w:i/>
          <w:iCs/>
          <w:sz w:val="24"/>
          <w:szCs w:val="24"/>
          <w:lang w:val="en-US"/>
        </w:rPr>
        <w:t>Educational research: planning, conducting, and evaluating quantitative and qualitative research</w:t>
      </w:r>
      <w:r>
        <w:rPr>
          <w:rFonts w:ascii="Times New Roman" w:hAnsi="Times New Roman"/>
          <w:sz w:val="24"/>
          <w:szCs w:val="24"/>
          <w:lang w:val="en-US"/>
        </w:rPr>
        <w:t xml:space="preserve"> (4</w:t>
      </w:r>
      <w:r>
        <w:rPr>
          <w:rFonts w:ascii="Times New Roman" w:hAnsi="Times New Roman"/>
          <w:sz w:val="24"/>
          <w:szCs w:val="24"/>
          <w:vertAlign w:val="superscript"/>
          <w:lang w:val="en-US"/>
        </w:rPr>
        <w:t>th</w:t>
      </w:r>
      <w:r>
        <w:rPr>
          <w:rFonts w:ascii="Times New Roman" w:hAnsi="Times New Roman"/>
          <w:sz w:val="24"/>
          <w:szCs w:val="24"/>
          <w:lang w:val="en-US"/>
        </w:rPr>
        <w:t xml:space="preserve"> ed.).</w:t>
      </w:r>
    </w:p>
    <w:p w14:paraId="570C45F7">
      <w:pPr>
        <w:spacing w:after="240"/>
        <w:ind w:left="540" w:hanging="540"/>
        <w:jc w:val="both"/>
        <w:rPr>
          <w:rFonts w:ascii="Times New Roman" w:hAnsi="Times New Roman"/>
          <w:sz w:val="24"/>
          <w:szCs w:val="24"/>
          <w:lang w:val="en-US"/>
        </w:rPr>
      </w:pPr>
      <w:r>
        <w:rPr>
          <w:rFonts w:ascii="Times New Roman" w:hAnsi="Times New Roman"/>
          <w:sz w:val="24"/>
          <w:szCs w:val="24"/>
          <w:lang w:val="en-US"/>
        </w:rPr>
        <w:t xml:space="preserve">Daniel, J. (2013). The graffiti wall: A tool for promoting student engagement and conceptual understanding. </w:t>
      </w:r>
      <w:r>
        <w:rPr>
          <w:rFonts w:ascii="Times New Roman" w:hAnsi="Times New Roman"/>
          <w:i/>
          <w:iCs/>
          <w:sz w:val="24"/>
          <w:szCs w:val="24"/>
          <w:lang w:val="en-US"/>
        </w:rPr>
        <w:t>Journal of English Education</w:t>
      </w:r>
      <w:r>
        <w:rPr>
          <w:rFonts w:ascii="Times New Roman" w:hAnsi="Times New Roman"/>
          <w:sz w:val="24"/>
          <w:szCs w:val="24"/>
          <w:lang w:val="en-US"/>
        </w:rPr>
        <w:t>, 1(1), 15-25.</w:t>
      </w:r>
    </w:p>
    <w:p w14:paraId="2B2CE9DA">
      <w:pPr>
        <w:spacing w:after="240"/>
        <w:ind w:left="540" w:hanging="540"/>
        <w:jc w:val="both"/>
        <w:rPr>
          <w:rStyle w:val="28"/>
          <w:rFonts w:ascii="Times New Roman" w:hAnsi="Times New Roman"/>
          <w:color w:val="auto"/>
          <w:sz w:val="24"/>
          <w:szCs w:val="24"/>
        </w:rPr>
      </w:pPr>
      <w:r>
        <w:rPr>
          <w:rFonts w:ascii="Times New Roman" w:hAnsi="Times New Roman"/>
          <w:sz w:val="24"/>
          <w:szCs w:val="24"/>
        </w:rPr>
        <w:t xml:space="preserve">Durga, V. S. S., &amp; Rao, C. S. (2018). Developing Students’ Writing Skills in English - A Process Approach. </w:t>
      </w:r>
      <w:r>
        <w:rPr>
          <w:rFonts w:ascii="Times New Roman" w:hAnsi="Times New Roman" w:eastAsia="SimSun"/>
          <w:i/>
          <w:iCs/>
          <w:sz w:val="24"/>
          <w:szCs w:val="24"/>
          <w:shd w:val="clear" w:color="auto" w:fill="FFFFFF"/>
        </w:rPr>
        <w:t>Journal for Research Scholars and Professionals of English Language Teaching, 6</w:t>
      </w:r>
      <w:r>
        <w:rPr>
          <w:rFonts w:eastAsia="SimSun" w:cs="Arial"/>
          <w:i/>
          <w:iCs/>
          <w:sz w:val="19"/>
          <w:szCs w:val="19"/>
          <w:shd w:val="clear" w:color="auto" w:fill="FFFFFF"/>
        </w:rPr>
        <w:t>(</w:t>
      </w:r>
      <w:r>
        <w:rPr>
          <w:rFonts w:ascii="Times New Roman" w:hAnsi="Times New Roman"/>
          <w:sz w:val="24"/>
          <w:szCs w:val="24"/>
        </w:rPr>
        <w:t xml:space="preserve">2), 1-5. </w:t>
      </w:r>
      <w:r>
        <w:rPr>
          <w:rFonts w:ascii="Times New Roman" w:hAnsi="Times New Roman"/>
          <w:sz w:val="24"/>
          <w:szCs w:val="24"/>
        </w:rPr>
        <w:fldChar w:fldCharType="begin"/>
      </w:r>
      <w:r>
        <w:rPr>
          <w:rFonts w:ascii="Times New Roman" w:hAnsi="Times New Roman"/>
          <w:sz w:val="24"/>
          <w:szCs w:val="24"/>
        </w:rPr>
        <w:instrText xml:space="preserve"> HYPERLINK "http://www.jrspelt.com/" </w:instrText>
      </w:r>
      <w:r>
        <w:rPr>
          <w:rFonts w:ascii="Times New Roman" w:hAnsi="Times New Roman"/>
          <w:sz w:val="24"/>
          <w:szCs w:val="24"/>
        </w:rPr>
        <w:fldChar w:fldCharType="separate"/>
      </w:r>
      <w:r>
        <w:rPr>
          <w:rStyle w:val="28"/>
          <w:rFonts w:ascii="Times New Roman" w:hAnsi="Times New Roman"/>
          <w:sz w:val="24"/>
          <w:szCs w:val="24"/>
        </w:rPr>
        <w:t>http://www.jrspelt.com/</w:t>
      </w:r>
      <w:r>
        <w:rPr>
          <w:rFonts w:ascii="Times New Roman" w:hAnsi="Times New Roman"/>
          <w:sz w:val="24"/>
          <w:szCs w:val="24"/>
        </w:rPr>
        <w:fldChar w:fldCharType="end"/>
      </w:r>
    </w:p>
    <w:p w14:paraId="3650E36C">
      <w:pPr>
        <w:spacing w:after="240"/>
        <w:ind w:left="540" w:hanging="540"/>
        <w:jc w:val="both"/>
        <w:rPr>
          <w:rFonts w:ascii="Times New Roman" w:hAnsi="Times New Roman" w:eastAsia="SimSun"/>
          <w:color w:val="222222"/>
          <w:sz w:val="24"/>
          <w:szCs w:val="24"/>
          <w:shd w:val="clear" w:color="auto" w:fill="FFFFFF"/>
        </w:rPr>
      </w:pPr>
      <w:r>
        <w:rPr>
          <w:rFonts w:ascii="Times New Roman" w:hAnsi="Times New Roman" w:eastAsia="SimSun"/>
          <w:color w:val="222222"/>
          <w:sz w:val="24"/>
          <w:szCs w:val="24"/>
          <w:shd w:val="clear" w:color="auto" w:fill="FFFFFF"/>
        </w:rPr>
        <w:t>Elbashir, B. (2023). Writing skills problems: causes and solutions. </w:t>
      </w:r>
      <w:r>
        <w:rPr>
          <w:rFonts w:ascii="Times New Roman" w:hAnsi="Times New Roman" w:eastAsia="SimSun"/>
          <w:i/>
          <w:iCs/>
          <w:color w:val="222222"/>
          <w:sz w:val="24"/>
          <w:szCs w:val="24"/>
          <w:shd w:val="clear" w:color="auto" w:fill="FFFFFF"/>
        </w:rPr>
        <w:t>International Journal of English Language Teaching</w:t>
      </w:r>
      <w:r>
        <w:rPr>
          <w:rFonts w:ascii="Times New Roman" w:hAnsi="Times New Roman" w:eastAsia="SimSun"/>
          <w:color w:val="222222"/>
          <w:sz w:val="24"/>
          <w:szCs w:val="24"/>
          <w:shd w:val="clear" w:color="auto" w:fill="FFFFFF"/>
        </w:rPr>
        <w:t>, </w:t>
      </w:r>
      <w:r>
        <w:rPr>
          <w:rFonts w:ascii="Times New Roman" w:hAnsi="Times New Roman" w:eastAsia="SimSun"/>
          <w:i/>
          <w:iCs/>
          <w:color w:val="222222"/>
          <w:sz w:val="24"/>
          <w:szCs w:val="24"/>
          <w:shd w:val="clear" w:color="auto" w:fill="FFFFFF"/>
        </w:rPr>
        <w:t>11</w:t>
      </w:r>
      <w:r>
        <w:rPr>
          <w:rFonts w:ascii="Times New Roman" w:hAnsi="Times New Roman" w:eastAsia="SimSun"/>
          <w:color w:val="222222"/>
          <w:sz w:val="24"/>
          <w:szCs w:val="24"/>
          <w:shd w:val="clear" w:color="auto" w:fill="FFFFFF"/>
        </w:rPr>
        <w:t>(5), 52-64.</w:t>
      </w:r>
    </w:p>
    <w:p w14:paraId="65C5213C">
      <w:pPr>
        <w:pStyle w:val="29"/>
        <w:spacing w:beforeAutospacing="0" w:after="240" w:afterAutospacing="0"/>
        <w:ind w:left="540" w:hanging="540"/>
        <w:jc w:val="both"/>
      </w:pPr>
      <w:r>
        <w:rPr>
          <w:color w:val="000000"/>
        </w:rPr>
        <w:t xml:space="preserve">Evans, D. M. (2024). Graffiti Writing: Unlock a Creative Strategy To Encourage </w:t>
      </w:r>
      <w:r>
        <w:rPr>
          <w:color w:val="000000"/>
        </w:rPr>
        <w:tab/>
      </w:r>
      <w:r>
        <w:rPr>
          <w:color w:val="000000"/>
        </w:rPr>
        <w:t>Text Interaction, 5-17</w:t>
      </w:r>
      <w:r>
        <w:t xml:space="preserve">. </w:t>
      </w:r>
      <w:r>
        <w:fldChar w:fldCharType="begin"/>
      </w:r>
      <w:r>
        <w:instrText xml:space="preserve"> HYPERLINK "https://hdl.handle.net/2346.1/41336" </w:instrText>
      </w:r>
      <w:r>
        <w:fldChar w:fldCharType="separate"/>
      </w:r>
      <w:r>
        <w:rPr>
          <w:rStyle w:val="28"/>
          <w:color w:val="auto"/>
        </w:rPr>
        <w:t>https://hdl.handle.net/2346.1/41336</w:t>
      </w:r>
      <w:r>
        <w:rPr>
          <w:rStyle w:val="28"/>
          <w:color w:val="auto"/>
        </w:rPr>
        <w:fldChar w:fldCharType="end"/>
      </w:r>
    </w:p>
    <w:p w14:paraId="5BE5BFE6">
      <w:pPr>
        <w:spacing w:after="240"/>
        <w:ind w:left="540" w:hanging="540"/>
        <w:jc w:val="both"/>
        <w:rPr>
          <w:rFonts w:ascii="Times New Roman" w:hAnsi="Times New Roman" w:eastAsia="SimSun"/>
          <w:sz w:val="24"/>
          <w:szCs w:val="24"/>
        </w:rPr>
      </w:pPr>
      <w:r>
        <w:rPr>
          <w:rFonts w:ascii="Times New Roman" w:hAnsi="Times New Roman" w:eastAsia="SimSun"/>
          <w:sz w:val="24"/>
          <w:szCs w:val="24"/>
        </w:rPr>
        <w:t xml:space="preserve">Farnia, M. (2014). A thematic Analysis of Graffiti on the University Classroom Walls-A Case of Iran. </w:t>
      </w:r>
      <w:r>
        <w:rPr>
          <w:rFonts w:ascii="Times New Roman" w:hAnsi="Times New Roman" w:eastAsia="SimSun"/>
          <w:i/>
          <w:iCs/>
          <w:sz w:val="24"/>
          <w:szCs w:val="24"/>
          <w:shd w:val="clear" w:color="auto" w:fill="FFFFFF"/>
        </w:rPr>
        <w:t>International Journal of Applied Linguistics and English Literature</w:t>
      </w:r>
      <w:r>
        <w:rPr>
          <w:rFonts w:ascii="Times New Roman" w:hAnsi="Times New Roman" w:eastAsia="SimSun"/>
          <w:sz w:val="24"/>
          <w:szCs w:val="24"/>
          <w:shd w:val="clear" w:color="auto" w:fill="FFFFFF"/>
        </w:rPr>
        <w:t>, </w:t>
      </w:r>
      <w:r>
        <w:rPr>
          <w:rFonts w:ascii="Times New Roman" w:hAnsi="Times New Roman" w:eastAsia="SimSun"/>
          <w:i/>
          <w:iCs/>
          <w:sz w:val="24"/>
          <w:szCs w:val="24"/>
          <w:shd w:val="clear" w:color="auto" w:fill="FFFFFF"/>
        </w:rPr>
        <w:t>3(</w:t>
      </w:r>
      <w:r>
        <w:rPr>
          <w:rFonts w:ascii="Times New Roman" w:hAnsi="Times New Roman" w:eastAsia="SimSun"/>
          <w:sz w:val="24"/>
          <w:szCs w:val="24"/>
        </w:rPr>
        <w:t xml:space="preserve">3), 48 - 57. </w:t>
      </w:r>
    </w:p>
    <w:p w14:paraId="3567D0E2">
      <w:pPr>
        <w:spacing w:after="240"/>
        <w:ind w:left="540" w:hanging="540"/>
        <w:jc w:val="both"/>
        <w:rPr>
          <w:rFonts w:ascii="Times New Roman" w:hAnsi="Times New Roman" w:eastAsia="sans-serif"/>
          <w:sz w:val="24"/>
          <w:szCs w:val="24"/>
          <w:shd w:val="clear" w:color="auto" w:fill="FFFFFF"/>
        </w:rPr>
      </w:pPr>
      <w:r>
        <w:rPr>
          <w:rFonts w:ascii="Times New Roman" w:hAnsi="Times New Roman" w:eastAsia="sans-serif"/>
          <w:sz w:val="24"/>
          <w:szCs w:val="24"/>
          <w:shd w:val="clear" w:color="auto" w:fill="FFFFFF"/>
        </w:rPr>
        <w:t>Frankel, J, R., Wallen, N, E. &amp; Hyu, H,H,. (2012).</w:t>
      </w:r>
      <w:r>
        <w:rPr>
          <w:rFonts w:ascii="Times New Roman" w:hAnsi="Times New Roman" w:eastAsia="sans-serif"/>
          <w:i/>
          <w:iCs/>
          <w:sz w:val="24"/>
          <w:szCs w:val="24"/>
          <w:shd w:val="clear" w:color="auto" w:fill="FFFFFF"/>
        </w:rPr>
        <w:t xml:space="preserve"> “How to Design and Evaluate </w:t>
      </w:r>
      <w:r>
        <w:rPr>
          <w:rFonts w:ascii="Times New Roman" w:hAnsi="Times New Roman" w:eastAsia="sans-serif"/>
          <w:i/>
          <w:iCs/>
          <w:sz w:val="24"/>
          <w:szCs w:val="24"/>
          <w:shd w:val="clear" w:color="auto" w:fill="FFFFFF"/>
        </w:rPr>
        <w:tab/>
      </w:r>
      <w:r>
        <w:rPr>
          <w:rFonts w:ascii="Times New Roman" w:hAnsi="Times New Roman" w:eastAsia="sans-serif"/>
          <w:i/>
          <w:iCs/>
          <w:sz w:val="24"/>
          <w:szCs w:val="24"/>
          <w:shd w:val="clear" w:color="auto" w:fill="FFFFFF"/>
        </w:rPr>
        <w:t>Research in Education (8th-Ed</w:t>
      </w:r>
      <w:r>
        <w:rPr>
          <w:rFonts w:ascii="Times New Roman" w:hAnsi="Times New Roman" w:eastAsia="sans-serif"/>
          <w:sz w:val="24"/>
          <w:szCs w:val="24"/>
          <w:shd w:val="clear" w:color="auto" w:fill="FFFFFF"/>
        </w:rPr>
        <w:t>)”.New York: Mc. Graw-Hill, Inc.</w:t>
      </w:r>
    </w:p>
    <w:p w14:paraId="22339719">
      <w:pPr>
        <w:pStyle w:val="29"/>
        <w:spacing w:beforeAutospacing="0" w:after="240" w:afterAutospacing="0"/>
        <w:ind w:left="540" w:hanging="540"/>
        <w:jc w:val="both"/>
        <w:rPr>
          <w:color w:val="000000"/>
        </w:rPr>
      </w:pPr>
      <w:r>
        <w:rPr>
          <w:color w:val="000000"/>
        </w:rPr>
        <w:t xml:space="preserve">H, R. p. (2019). </w:t>
      </w:r>
      <w:r>
        <w:rPr>
          <w:i/>
          <w:iCs/>
          <w:color w:val="000000"/>
        </w:rPr>
        <w:t>The Effect of Using Graffiti Strategy and Prior Knowledge on Students’ Reading Comprehension at Sma Plus Binabangsa Pekanbaru.</w:t>
      </w:r>
      <w:r>
        <w:rPr>
          <w:color w:val="000000"/>
        </w:rPr>
        <w:t xml:space="preserve"> </w:t>
      </w:r>
      <w:r>
        <w:rPr>
          <w:color w:val="222222"/>
          <w:shd w:val="clear" w:color="auto" w:fill="FFFFFF"/>
        </w:rPr>
        <w:t>(Doctoral dissertation, Universitas Islam Negeri Sultan Syarif Kasim Riau).</w:t>
      </w:r>
      <w:r>
        <w:rPr>
          <w:color w:val="000000"/>
        </w:rPr>
        <w:t>1-300.</w:t>
      </w:r>
    </w:p>
    <w:p w14:paraId="3CCAD3B9">
      <w:pPr>
        <w:pStyle w:val="29"/>
        <w:spacing w:beforeAutospacing="0" w:after="240" w:afterAutospacing="0"/>
        <w:ind w:left="540" w:hanging="540"/>
        <w:jc w:val="both"/>
        <w:rPr>
          <w:color w:val="000000"/>
          <w:lang w:val="en-US"/>
        </w:rPr>
      </w:pPr>
      <w:r>
        <w:rPr>
          <w:color w:val="000000"/>
          <w:lang w:val="en-US"/>
        </w:rPr>
        <w:t xml:space="preserve">Harmer, Jeremy. (2001). </w:t>
      </w:r>
      <w:r>
        <w:rPr>
          <w:i/>
          <w:iCs/>
          <w:color w:val="000000"/>
          <w:lang w:val="en-US"/>
        </w:rPr>
        <w:t>The practice of English Language Teaching</w:t>
      </w:r>
      <w:r>
        <w:rPr>
          <w:color w:val="000000"/>
          <w:lang w:val="en-US"/>
        </w:rPr>
        <w:t>. London: Longman</w:t>
      </w:r>
    </w:p>
    <w:p w14:paraId="616A3DB5">
      <w:pPr>
        <w:spacing w:after="240"/>
        <w:ind w:left="540" w:hanging="540"/>
        <w:jc w:val="both"/>
        <w:rPr>
          <w:rStyle w:val="28"/>
          <w:rFonts w:ascii="Times New Roman" w:hAnsi="Times New Roman" w:eastAsia="SimSun"/>
          <w:color w:val="auto"/>
          <w:sz w:val="24"/>
          <w:szCs w:val="24"/>
        </w:rPr>
      </w:pPr>
      <w:r>
        <w:rPr>
          <w:rFonts w:ascii="Times New Roman" w:hAnsi="Times New Roman" w:eastAsia="SimSun"/>
          <w:sz w:val="24"/>
          <w:szCs w:val="24"/>
          <w:lang w:val="en-US"/>
        </w:rPr>
        <w:tab/>
      </w:r>
      <w:r>
        <w:fldChar w:fldCharType="begin"/>
      </w:r>
      <w:r>
        <w:instrText xml:space="preserve"> HYPERLINK "http://dx.doi.org/10.7575/aiac.ijalel.v.3n.3p.48" </w:instrText>
      </w:r>
      <w:r>
        <w:fldChar w:fldCharType="separate"/>
      </w:r>
      <w:r>
        <w:rPr>
          <w:rStyle w:val="28"/>
          <w:rFonts w:ascii="Times New Roman" w:hAnsi="Times New Roman" w:eastAsia="SimSun"/>
          <w:color w:val="auto"/>
          <w:sz w:val="24"/>
          <w:szCs w:val="24"/>
        </w:rPr>
        <w:t>http://dx.doi.org/10.7575/aiac.ijalel.v.3n.3p.48</w:t>
      </w:r>
      <w:r>
        <w:rPr>
          <w:rStyle w:val="28"/>
          <w:rFonts w:ascii="Times New Roman" w:hAnsi="Times New Roman" w:eastAsia="SimSun"/>
          <w:color w:val="auto"/>
          <w:sz w:val="24"/>
          <w:szCs w:val="24"/>
        </w:rPr>
        <w:fldChar w:fldCharType="end"/>
      </w:r>
    </w:p>
    <w:p w14:paraId="711A4278">
      <w:pPr>
        <w:spacing w:after="240"/>
        <w:ind w:left="540" w:hanging="540"/>
        <w:jc w:val="both"/>
        <w:rPr>
          <w:rFonts w:ascii="Times New Roman" w:hAnsi="Times New Roman" w:eastAsia="SimSun"/>
          <w:color w:val="000000"/>
          <w:sz w:val="24"/>
          <w:szCs w:val="24"/>
        </w:rPr>
      </w:pPr>
      <w:r>
        <w:rPr>
          <w:rFonts w:ascii="Times New Roman" w:hAnsi="Times New Roman" w:eastAsia="SimSun"/>
          <w:color w:val="000000"/>
          <w:sz w:val="24"/>
          <w:szCs w:val="24"/>
        </w:rPr>
        <w:t xml:space="preserve">Kariuki, G. N., Yieke, F. A., &amp; Ndoro, P. N. (2016). Graffiti on the Walls: High </w:t>
      </w:r>
      <w:r>
        <w:rPr>
          <w:rFonts w:ascii="Times New Roman" w:hAnsi="Times New Roman" w:eastAsia="SimSun"/>
          <w:color w:val="000000"/>
          <w:sz w:val="24"/>
          <w:szCs w:val="24"/>
        </w:rPr>
        <w:tab/>
      </w:r>
      <w:r>
        <w:rPr>
          <w:rFonts w:ascii="Times New Roman" w:hAnsi="Times New Roman" w:eastAsia="SimSun"/>
          <w:color w:val="000000"/>
          <w:sz w:val="24"/>
          <w:szCs w:val="24"/>
        </w:rPr>
        <w:t xml:space="preserve">School Students in Kenya Communicating Their Social Issues. </w:t>
      </w:r>
      <w:r>
        <w:rPr>
          <w:rFonts w:ascii="Times New Roman" w:hAnsi="Times New Roman" w:eastAsia="SimSun"/>
          <w:i/>
          <w:iCs/>
          <w:color w:val="222222"/>
          <w:sz w:val="24"/>
          <w:szCs w:val="24"/>
          <w:shd w:val="clear" w:color="auto" w:fill="FFFFFF"/>
        </w:rPr>
        <w:t>Journal of Applied Linguistics and Language Research</w:t>
      </w:r>
      <w:r>
        <w:rPr>
          <w:rFonts w:ascii="Times New Roman" w:hAnsi="Times New Roman" w:eastAsia="SimSun"/>
          <w:color w:val="222222"/>
          <w:sz w:val="24"/>
          <w:szCs w:val="24"/>
          <w:shd w:val="clear" w:color="auto" w:fill="FFFFFF"/>
        </w:rPr>
        <w:t>, </w:t>
      </w:r>
      <w:r>
        <w:rPr>
          <w:rFonts w:ascii="Times New Roman" w:hAnsi="Times New Roman" w:eastAsia="SimSun"/>
          <w:i/>
          <w:iCs/>
          <w:color w:val="222222"/>
          <w:sz w:val="24"/>
          <w:szCs w:val="24"/>
          <w:shd w:val="clear" w:color="auto" w:fill="FFFFFF"/>
        </w:rPr>
        <w:t>3</w:t>
      </w:r>
      <w:r>
        <w:rPr>
          <w:rFonts w:ascii="Times New Roman" w:hAnsi="Times New Roman" w:eastAsia="SimSun"/>
          <w:color w:val="222222"/>
          <w:sz w:val="24"/>
          <w:szCs w:val="24"/>
          <w:shd w:val="clear" w:color="auto" w:fill="FFFFFF"/>
        </w:rPr>
        <w:t>(6)</w:t>
      </w:r>
      <w:r>
        <w:rPr>
          <w:rFonts w:ascii="Times New Roman" w:hAnsi="Times New Roman" w:eastAsia="SimSun"/>
          <w:color w:val="000000"/>
          <w:sz w:val="24"/>
          <w:szCs w:val="24"/>
        </w:rPr>
        <w:t>160 - 174.</w:t>
      </w:r>
    </w:p>
    <w:p w14:paraId="23044063">
      <w:pPr>
        <w:spacing w:after="240"/>
        <w:ind w:left="540" w:hanging="540"/>
        <w:jc w:val="both"/>
        <w:rPr>
          <w:rFonts w:ascii="Times New Roman" w:hAnsi="Times New Roman" w:eastAsia="SimSun"/>
          <w:color w:val="000000"/>
          <w:sz w:val="24"/>
          <w:szCs w:val="24"/>
          <w:lang w:val="en-US"/>
        </w:rPr>
      </w:pPr>
      <w:r>
        <w:rPr>
          <w:rFonts w:ascii="Times New Roman" w:hAnsi="Times New Roman" w:eastAsia="SimSun"/>
          <w:color w:val="000000"/>
          <w:sz w:val="24"/>
          <w:szCs w:val="24"/>
          <w:lang w:val="en-US"/>
        </w:rPr>
        <w:t xml:space="preserve">Peter, J., &amp; Singaravelu, G. (2020) Problems in writing  in English among high school learners. </w:t>
      </w:r>
      <w:r>
        <w:rPr>
          <w:rFonts w:ascii="Times New Roman" w:hAnsi="Times New Roman" w:eastAsia="SimSun"/>
          <w:i/>
          <w:iCs/>
          <w:color w:val="000000"/>
          <w:sz w:val="24"/>
          <w:szCs w:val="24"/>
          <w:lang w:val="en-US"/>
        </w:rPr>
        <w:t>Aegaum Journal</w:t>
      </w:r>
      <w:r>
        <w:rPr>
          <w:rFonts w:ascii="Times New Roman" w:hAnsi="Times New Roman" w:eastAsia="SimSun"/>
          <w:color w:val="000000"/>
          <w:sz w:val="24"/>
          <w:szCs w:val="24"/>
          <w:lang w:val="en-US"/>
        </w:rPr>
        <w:t>, 8(9), 1502-1515.</w:t>
      </w:r>
    </w:p>
    <w:p w14:paraId="730B640B">
      <w:pPr>
        <w:spacing w:after="240"/>
        <w:ind w:left="540" w:hanging="540"/>
        <w:jc w:val="both"/>
        <w:rPr>
          <w:rFonts w:ascii="Times New Roman" w:hAnsi="Times New Roman" w:eastAsia="Google Sans"/>
          <w:sz w:val="24"/>
          <w:szCs w:val="24"/>
        </w:rPr>
      </w:pPr>
      <w:r>
        <w:rPr>
          <w:rFonts w:ascii="Times New Roman" w:hAnsi="Times New Roman" w:eastAsia="Google Sans"/>
          <w:sz w:val="24"/>
          <w:szCs w:val="24"/>
        </w:rPr>
        <w:t xml:space="preserve">Ria, N., &amp; Novtapianti, R. (2019). The Use of Fresh Technique in Teaching Writing Descriptive Text to the Eighth Grade Students of Smp Pgri Sukamoro. </w:t>
      </w:r>
      <w:r>
        <w:rPr>
          <w:rFonts w:ascii="Times New Roman" w:hAnsi="Times New Roman" w:eastAsia="SimSun"/>
          <w:i/>
          <w:iCs/>
          <w:color w:val="222222"/>
          <w:sz w:val="24"/>
          <w:szCs w:val="24"/>
          <w:shd w:val="clear" w:color="auto" w:fill="FFFFFF"/>
        </w:rPr>
        <w:t>Jurnal Didascein Bahasa</w:t>
      </w:r>
      <w:r>
        <w:rPr>
          <w:rFonts w:ascii="Times New Roman" w:hAnsi="Times New Roman" w:eastAsia="SimSun"/>
          <w:color w:val="222222"/>
          <w:sz w:val="24"/>
          <w:szCs w:val="24"/>
          <w:shd w:val="clear" w:color="auto" w:fill="FFFFFF"/>
        </w:rPr>
        <w:t>, </w:t>
      </w:r>
      <w:r>
        <w:rPr>
          <w:rFonts w:ascii="Times New Roman" w:hAnsi="Times New Roman" w:eastAsia="SimSun"/>
          <w:i/>
          <w:iCs/>
          <w:color w:val="222222"/>
          <w:sz w:val="24"/>
          <w:szCs w:val="24"/>
          <w:shd w:val="clear" w:color="auto" w:fill="FFFFFF"/>
        </w:rPr>
        <w:t>4</w:t>
      </w:r>
      <w:r>
        <w:rPr>
          <w:rFonts w:ascii="Times New Roman" w:hAnsi="Times New Roman" w:eastAsia="Google Sans"/>
          <w:sz w:val="24"/>
          <w:szCs w:val="24"/>
        </w:rPr>
        <w:t>(2), 33 - 42.</w:t>
      </w:r>
    </w:p>
    <w:p w14:paraId="12FD8534">
      <w:pPr>
        <w:spacing w:after="240"/>
        <w:ind w:left="540" w:hanging="540"/>
        <w:jc w:val="both"/>
        <w:rPr>
          <w:rFonts w:ascii="Times New Roman" w:hAnsi="Times New Roman" w:eastAsia="Google Sans"/>
          <w:sz w:val="24"/>
          <w:szCs w:val="24"/>
          <w:lang w:val="en-US"/>
        </w:rPr>
      </w:pPr>
      <w:r>
        <w:rPr>
          <w:rFonts w:ascii="Times New Roman" w:hAnsi="Times New Roman" w:eastAsia="Google Sans"/>
          <w:sz w:val="24"/>
          <w:szCs w:val="24"/>
          <w:lang w:val="en-US"/>
        </w:rPr>
        <w:t>Rojas, M. (2010)</w:t>
      </w:r>
      <w:r>
        <w:rPr>
          <w:rFonts w:ascii="Times New Roman" w:hAnsi="Times New Roman" w:eastAsia="Google Sans"/>
          <w:i/>
          <w:iCs/>
          <w:sz w:val="24"/>
          <w:szCs w:val="24"/>
          <w:lang w:val="en-US"/>
        </w:rPr>
        <w:t xml:space="preserve">. Genre - Based Writing for EFL Students. </w:t>
      </w:r>
      <w:r>
        <w:rPr>
          <w:rFonts w:ascii="Times New Roman" w:hAnsi="Times New Roman" w:eastAsia="Google Sans"/>
          <w:sz w:val="24"/>
          <w:szCs w:val="24"/>
          <w:lang w:val="en-US"/>
        </w:rPr>
        <w:t>Academic Press.</w:t>
      </w:r>
    </w:p>
    <w:p w14:paraId="29950BC0">
      <w:pPr>
        <w:spacing w:after="240"/>
        <w:ind w:left="540" w:hanging="540"/>
        <w:jc w:val="both"/>
        <w:rPr>
          <w:rFonts w:ascii="Times New Roman" w:hAnsi="Times New Roman" w:eastAsia="Google Sans"/>
          <w:sz w:val="24"/>
          <w:szCs w:val="24"/>
          <w:lang w:val="en-US"/>
        </w:rPr>
      </w:pPr>
      <w:r>
        <w:rPr>
          <w:rFonts w:ascii="Times New Roman" w:hAnsi="Times New Roman" w:eastAsia="Google Sans"/>
          <w:sz w:val="24"/>
          <w:szCs w:val="24"/>
          <w:lang w:val="en-US"/>
        </w:rPr>
        <w:t xml:space="preserve">Saragih, Natanael &amp; Silalahi, Roswita &amp; Pardede, Hilman. (2014). The Effectiveness of Using Recount Text to Improve Writing Skill for Grade III Students of Kalam Kudus Elementary School 2 Pematangsiantar. </w:t>
      </w:r>
      <w:r>
        <w:rPr>
          <w:rFonts w:ascii="Times New Roman" w:hAnsi="Times New Roman" w:eastAsia="Google Sans"/>
          <w:i/>
          <w:iCs/>
          <w:sz w:val="24"/>
          <w:szCs w:val="24"/>
          <w:lang w:val="en-US"/>
        </w:rPr>
        <w:t>IOSR Journal of Humanities and Social Science</w:t>
      </w:r>
      <w:r>
        <w:rPr>
          <w:rFonts w:ascii="Times New Roman" w:hAnsi="Times New Roman" w:eastAsia="Google Sans"/>
          <w:sz w:val="24"/>
          <w:szCs w:val="24"/>
          <w:lang w:val="en-US"/>
        </w:rPr>
        <w:t>. 19. 56-64.</w:t>
      </w:r>
    </w:p>
    <w:p w14:paraId="059C28B9">
      <w:pPr>
        <w:pStyle w:val="29"/>
        <w:spacing w:beforeAutospacing="0" w:after="240" w:afterAutospacing="0"/>
        <w:ind w:left="540" w:hanging="540"/>
        <w:jc w:val="both"/>
        <w:rPr>
          <w:rFonts w:eastAsia="Google Sans"/>
        </w:rPr>
      </w:pPr>
      <w:r>
        <w:rPr>
          <w:color w:val="000000"/>
        </w:rPr>
        <w:t xml:space="preserve">Sari, P. (2021). Students’ Expository Writing: A Case Study in Paragraph Writing </w:t>
      </w:r>
      <w:r>
        <w:rPr>
          <w:color w:val="000000"/>
        </w:rPr>
        <w:tab/>
      </w:r>
      <w:r>
        <w:rPr>
          <w:color w:val="000000"/>
        </w:rPr>
        <w:t xml:space="preserve">Class, 5(2), 374-380. </w:t>
      </w:r>
      <w:r>
        <w:rPr>
          <w:color w:val="000000"/>
        </w:rPr>
        <w:tab/>
      </w:r>
      <w:r>
        <w:rPr>
          <w:color w:val="000000"/>
        </w:rPr>
        <w:tab/>
      </w:r>
      <w:r>
        <w:rPr>
          <w:color w:val="000000"/>
        </w:rPr>
        <w:tab/>
      </w:r>
      <w:r>
        <w:rPr>
          <w:color w:val="000000"/>
        </w:rPr>
        <w:tab/>
      </w:r>
      <w:r>
        <w:rPr>
          <w:color w:val="000000"/>
        </w:rPr>
        <w:tab/>
      </w:r>
      <w:r>
        <w:rPr>
          <w:color w:val="000000"/>
        </w:rPr>
        <w:t xml:space="preserve">   </w:t>
      </w:r>
      <w:r>
        <w:rPr>
          <w:color w:val="000000"/>
        </w:rPr>
        <w:tab/>
      </w:r>
      <w:r>
        <w:rPr>
          <w:color w:val="000000"/>
        </w:rPr>
        <w:tab/>
      </w:r>
      <w:r>
        <w:rPr>
          <w:color w:val="000000"/>
        </w:rPr>
        <w:t xml:space="preserve">  </w:t>
      </w:r>
      <w:r>
        <w:rPr>
          <w:color w:val="000000"/>
        </w:rPr>
        <w:tab/>
      </w:r>
      <w:r>
        <w:rPr>
          <w:color w:val="000000"/>
        </w:rPr>
        <w:tab/>
      </w:r>
      <w:r>
        <w:fldChar w:fldCharType="begin"/>
      </w:r>
      <w:r>
        <w:instrText xml:space="preserve"> HYPERLINK "https://doi.org/10.33197/ejlutama.vol5.iss2.2020.2655.4585" </w:instrText>
      </w:r>
      <w:r>
        <w:fldChar w:fldCharType="separate"/>
      </w:r>
      <w:r>
        <w:rPr>
          <w:rStyle w:val="28"/>
          <w:color w:val="auto"/>
        </w:rPr>
        <w:t>https://doi.org/10.33197/ejlutama.vol5.iss2.2020.2655.4585</w:t>
      </w:r>
      <w:r>
        <w:rPr>
          <w:rStyle w:val="28"/>
          <w:color w:val="auto"/>
        </w:rPr>
        <w:fldChar w:fldCharType="end"/>
      </w:r>
    </w:p>
    <w:p w14:paraId="4B24B5E1">
      <w:pPr>
        <w:pStyle w:val="29"/>
        <w:spacing w:beforeAutospacing="0" w:after="240" w:afterAutospacing="0"/>
        <w:ind w:left="540" w:hanging="540"/>
        <w:jc w:val="both"/>
        <w:rPr>
          <w:color w:val="000000"/>
        </w:rPr>
      </w:pPr>
      <w:r>
        <w:rPr>
          <w:color w:val="000000"/>
        </w:rPr>
        <w:t xml:space="preserve">Sehgal, S. (2013). Psycho - Analysis of the Graffiti in the Classroom. </w:t>
      </w:r>
      <w:r>
        <w:rPr>
          <w:i/>
          <w:iCs/>
          <w:color w:val="222222"/>
          <w:shd w:val="clear" w:color="auto" w:fill="FFFFFF"/>
        </w:rPr>
        <w:t>International Journal of Research in Sociology and Social Anthropology</w:t>
      </w:r>
      <w:r>
        <w:rPr>
          <w:color w:val="222222"/>
          <w:shd w:val="clear" w:color="auto" w:fill="FFFFFF"/>
        </w:rPr>
        <w:t>, </w:t>
      </w:r>
      <w:r>
        <w:rPr>
          <w:i/>
          <w:iCs/>
          <w:color w:val="222222"/>
          <w:shd w:val="clear" w:color="auto" w:fill="FFFFFF"/>
        </w:rPr>
        <w:t>1</w:t>
      </w:r>
      <w:r>
        <w:rPr>
          <w:color w:val="222222"/>
          <w:shd w:val="clear" w:color="auto" w:fill="FFFFFF"/>
        </w:rPr>
        <w:t>(1</w:t>
      </w:r>
      <w:r>
        <w:rPr>
          <w:rFonts w:ascii="Arial" w:hAnsi="Arial" w:cs="Arial"/>
          <w:i/>
          <w:iCs/>
          <w:color w:val="222222"/>
          <w:sz w:val="19"/>
          <w:szCs w:val="19"/>
          <w:shd w:val="clear" w:color="auto" w:fill="FFFFFF"/>
        </w:rPr>
        <w:t xml:space="preserve">) </w:t>
      </w:r>
      <w:r>
        <w:rPr>
          <w:color w:val="000000"/>
        </w:rPr>
        <w:t>39 - 44.</w:t>
      </w:r>
    </w:p>
    <w:p w14:paraId="265FDEE7">
      <w:pPr>
        <w:pStyle w:val="29"/>
        <w:spacing w:beforeAutospacing="0" w:after="240" w:afterAutospacing="0"/>
        <w:ind w:left="540" w:hanging="540"/>
        <w:jc w:val="both"/>
        <w:rPr>
          <w:rFonts w:eastAsia="Google Sans"/>
          <w:lang w:val="en-US"/>
        </w:rPr>
      </w:pPr>
      <w:r>
        <w:rPr>
          <w:rFonts w:eastAsia="Google Sans"/>
          <w:lang w:val="en-US"/>
        </w:rPr>
        <w:t xml:space="preserve">Taylor, M. (2012). Addicted to the risk, recognition and respect that the graffiti lifestyle provides: Towards an understanding of the reasons for graffiti engagement. </w:t>
      </w:r>
      <w:r>
        <w:rPr>
          <w:rFonts w:eastAsia="Google Sans"/>
          <w:i/>
          <w:iCs/>
          <w:lang w:val="en-US"/>
        </w:rPr>
        <w:t>International Journal of Mental Health and Addiction</w:t>
      </w:r>
      <w:r>
        <w:rPr>
          <w:rFonts w:eastAsia="Google Sans"/>
          <w:lang w:val="en-US"/>
        </w:rPr>
        <w:t>, 10(1), 54-68.</w:t>
      </w:r>
    </w:p>
    <w:sectPr>
      <w:headerReference r:id="rId5" w:type="default"/>
      <w:headerReference r:id="rId6" w:type="even"/>
      <w:type w:val="nextColumn"/>
      <w:pgSz w:w="11906" w:h="16838"/>
      <w:pgMar w:top="2268" w:right="1701" w:bottom="1701" w:left="2268" w:header="1134" w:footer="709" w:gutter="0"/>
      <w:cols w:space="567"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Garamond">
    <w:altName w:val="PMingLiU-ExtB"/>
    <w:panose1 w:val="02020404030301010803"/>
    <w:charset w:val="00"/>
    <w:family w:val="roman"/>
    <w:pitch w:val="default"/>
    <w:sig w:usb0="00000000" w:usb1="00000000" w:usb2="00000000" w:usb3="00000000" w:csb0="0000009F" w:csb1="00000000"/>
  </w:font>
  <w:font w:name="Google San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sdtPr>
    <w:sdtContent>
      <w:p w14:paraId="01DCD4F4">
        <w:pPr>
          <w:pStyle w:val="26"/>
          <w:jc w:val="right"/>
        </w:pPr>
        <w:r>
          <w:fldChar w:fldCharType="begin"/>
        </w:r>
        <w:r>
          <w:instrText xml:space="preserve"> PAGE   \* MERGEFORMAT </w:instrText>
        </w:r>
        <w:r>
          <w:fldChar w:fldCharType="separate"/>
        </w:r>
        <w:r>
          <w:t>10</w:t>
        </w:r>
        <w:r>
          <w:fldChar w:fldCharType="end"/>
        </w:r>
      </w:p>
    </w:sdtContent>
  </w:sdt>
  <w:p w14:paraId="1E3E03B4">
    <w:pPr>
      <w:pStyle w:val="26"/>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CE687">
    <w:pPr>
      <w:pStyle w:val="27"/>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Maret</w:t>
    </w:r>
    <w:r>
      <w:rPr>
        <w:rFonts w:ascii="Garamond" w:hAnsi="Garamond"/>
        <w:sz w:val="24"/>
        <w:szCs w:val="24"/>
        <w:lang w:val="id-ID"/>
      </w:rPr>
      <w:t xml:space="preserve"> 202</w:t>
    </w:r>
    <w:r>
      <w:rPr>
        <w:rFonts w:ascii="Garamond" w:hAnsi="Garamond"/>
        <w:sz w:val="24"/>
        <w:szCs w:val="24"/>
      </w:rPr>
      <w:t>6</w:t>
    </w:r>
    <w:r>
      <w:rPr>
        <w:rFonts w:ascii="Garamond" w:hAnsi="Garamond"/>
        <w:sz w:val="24"/>
        <w:szCs w:val="24"/>
        <w:lang w:val="id-ID"/>
      </w:rPr>
      <w:t>, Vol.1 No.</w:t>
    </w:r>
    <w:r>
      <w:rPr>
        <w:rFonts w:ascii="Garamond" w:hAnsi="Garamond"/>
        <w:sz w:val="24"/>
        <w:szCs w:val="24"/>
      </w:rPr>
      <w:t>1</w:t>
    </w:r>
  </w:p>
  <w:p w14:paraId="578A6DD2">
    <w:pPr>
      <w:pStyle w:val="27"/>
      <w:tabs>
        <w:tab w:val="right" w:pos="8505"/>
      </w:tabs>
      <w:rPr>
        <w:rFonts w:ascii="Calibri" w:hAnsi="Calibri" w:cs="Calibri"/>
      </w:rPr>
    </w:pPr>
    <w: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BB02F">
    <w:pPr>
      <w:pStyle w:val="27"/>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Maret</w:t>
    </w:r>
    <w:r>
      <w:rPr>
        <w:rFonts w:ascii="Garamond" w:hAnsi="Garamond"/>
        <w:sz w:val="24"/>
        <w:szCs w:val="24"/>
        <w:lang w:val="id-ID"/>
      </w:rPr>
      <w:t xml:space="preserve"> 202</w:t>
    </w:r>
    <w:r>
      <w:rPr>
        <w:rFonts w:ascii="Garamond" w:hAnsi="Garamond"/>
        <w:sz w:val="24"/>
        <w:szCs w:val="24"/>
      </w:rPr>
      <w:t>6</w:t>
    </w:r>
    <w:r>
      <w:rPr>
        <w:rFonts w:ascii="Garamond" w:hAnsi="Garamond"/>
        <w:sz w:val="24"/>
        <w:szCs w:val="24"/>
        <w:lang w:val="id-ID"/>
      </w:rPr>
      <w:t>, Vol.1 No.</w:t>
    </w:r>
    <w:r>
      <w:rPr>
        <w:rFonts w:ascii="Garamond" w:hAnsi="Garamond"/>
        <w:sz w:val="24"/>
        <w:szCs w:val="24"/>
      </w:rPr>
      <w:t>1</w:t>
    </w:r>
    <w:r>
      <w:rPr>
        <w:rFonts w:ascii="Times New Roman" w:hAnsi="Times New Roman"/>
        <w:lang w:val="id-ID"/>
      </w:rPr>
      <w:tab/>
    </w:r>
  </w:p>
  <w:p w14:paraId="533206A8">
    <w:pPr>
      <w:pStyle w:val="27"/>
      <w:tabs>
        <w:tab w:val="right" w:pos="8505"/>
      </w:tabs>
      <w:rPr>
        <w:rFonts w:ascii="Calibri" w:hAnsi="Calibri" w:cs="Calibri"/>
        <w:lang w:val="id-ID"/>
      </w:rPr>
    </w:pPr>
    <w: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A09F1">
    <w:pPr>
      <w:pStyle w:val="27"/>
      <w:rPr>
        <w:rFonts w:ascii="Times New Roman" w:hAnsi="Times New Roman"/>
        <w:i/>
        <w:color w:val="FF0000"/>
        <w:sz w:val="20"/>
        <w:lang w:val="fi-F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5C48"/>
    <w:rsid w:val="00055654"/>
    <w:rsid w:val="000D7C53"/>
    <w:rsid w:val="000F3E94"/>
    <w:rsid w:val="001174A6"/>
    <w:rsid w:val="001337AC"/>
    <w:rsid w:val="00146FDE"/>
    <w:rsid w:val="00161925"/>
    <w:rsid w:val="001F49FA"/>
    <w:rsid w:val="00214FF2"/>
    <w:rsid w:val="002476E3"/>
    <w:rsid w:val="00303B77"/>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21C54"/>
    <w:rsid w:val="00B8659F"/>
    <w:rsid w:val="00B943B7"/>
    <w:rsid w:val="00BE0AE4"/>
    <w:rsid w:val="00BF3A04"/>
    <w:rsid w:val="00C55564"/>
    <w:rsid w:val="00CA1EE5"/>
    <w:rsid w:val="00CE64D6"/>
    <w:rsid w:val="00CF76AC"/>
    <w:rsid w:val="00D003BB"/>
    <w:rsid w:val="00D02066"/>
    <w:rsid w:val="00DA11C1"/>
    <w:rsid w:val="00DD1135"/>
    <w:rsid w:val="00DF4413"/>
    <w:rsid w:val="00E101D2"/>
    <w:rsid w:val="00E23CC4"/>
    <w:rsid w:val="00E351FF"/>
    <w:rsid w:val="00E43E26"/>
    <w:rsid w:val="00E95E20"/>
    <w:rsid w:val="00F0676F"/>
    <w:rsid w:val="00F367FE"/>
    <w:rsid w:val="00F54814"/>
    <w:rsid w:val="00F658B4"/>
    <w:rsid w:val="00FB47D6"/>
    <w:rsid w:val="131F396E"/>
    <w:rsid w:val="14480E52"/>
    <w:rsid w:val="1C4A27F6"/>
    <w:rsid w:val="254B5DDC"/>
    <w:rsid w:val="26521B68"/>
    <w:rsid w:val="3B6F7C91"/>
    <w:rsid w:val="420D4A07"/>
    <w:rsid w:val="52A142A7"/>
    <w:rsid w:val="5A6B06E5"/>
    <w:rsid w:val="5ABD4626"/>
    <w:rsid w:val="62FF1978"/>
    <w:rsid w:val="6609481C"/>
    <w:rsid w:val="69891A9B"/>
    <w:rsid w:val="69EF2857"/>
    <w:rsid w:val="70CB4F8C"/>
    <w:rsid w:val="7B7B0BA3"/>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41"/>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2"/>
    <w:qFormat/>
    <w:uiPriority w:val="0"/>
    <w:pPr>
      <w:keepNext/>
      <w:spacing w:line="360" w:lineRule="auto"/>
      <w:ind w:left="810"/>
      <w:jc w:val="both"/>
      <w:outlineLvl w:val="1"/>
    </w:pPr>
    <w:rPr>
      <w:rFonts w:eastAsia="Times New Roman"/>
      <w:sz w:val="24"/>
      <w:szCs w:val="20"/>
      <w:lang w:val="en-US"/>
    </w:rPr>
  </w:style>
  <w:style w:type="paragraph" w:styleId="4">
    <w:name w:val="heading 3"/>
    <w:basedOn w:val="5"/>
    <w:next w:val="1"/>
    <w:link w:val="43"/>
    <w:qFormat/>
    <w:uiPriority w:val="0"/>
    <w:pPr>
      <w:keepNext/>
      <w:jc w:val="center"/>
      <w:outlineLvl w:val="2"/>
    </w:pPr>
    <w:rPr>
      <w:rFonts w:eastAsia="Times New Roman"/>
      <w:b/>
      <w:szCs w:val="20"/>
      <w:lang w:val="en-US"/>
    </w:rPr>
  </w:style>
  <w:style w:type="paragraph" w:styleId="6">
    <w:name w:val="heading 4"/>
    <w:basedOn w:val="1"/>
    <w:next w:val="1"/>
    <w:link w:val="44"/>
    <w:qFormat/>
    <w:uiPriority w:val="0"/>
    <w:pPr>
      <w:keepNext/>
      <w:spacing w:line="360" w:lineRule="auto"/>
      <w:ind w:firstLine="540"/>
      <w:jc w:val="both"/>
      <w:outlineLvl w:val="3"/>
    </w:pPr>
    <w:rPr>
      <w:rFonts w:eastAsia="Times New Roman"/>
      <w:sz w:val="24"/>
      <w:szCs w:val="20"/>
      <w:lang w:val="en-US"/>
    </w:rPr>
  </w:style>
  <w:style w:type="paragraph" w:styleId="7">
    <w:name w:val="heading 5"/>
    <w:basedOn w:val="1"/>
    <w:next w:val="1"/>
    <w:link w:val="45"/>
    <w:qFormat/>
    <w:uiPriority w:val="0"/>
    <w:pPr>
      <w:keepNext/>
      <w:jc w:val="both"/>
      <w:outlineLvl w:val="4"/>
    </w:pPr>
    <w:rPr>
      <w:rFonts w:ascii="Tahoma" w:hAnsi="Tahoma" w:eastAsia="Times New Roman"/>
      <w:b/>
      <w:sz w:val="28"/>
      <w:szCs w:val="20"/>
      <w:lang w:val="en-US"/>
    </w:rPr>
  </w:style>
  <w:style w:type="paragraph" w:styleId="8">
    <w:name w:val="heading 6"/>
    <w:basedOn w:val="1"/>
    <w:next w:val="1"/>
    <w:link w:val="46"/>
    <w:qFormat/>
    <w:uiPriority w:val="0"/>
    <w:pPr>
      <w:keepNext/>
      <w:spacing w:line="360" w:lineRule="auto"/>
      <w:jc w:val="center"/>
      <w:outlineLvl w:val="5"/>
    </w:pPr>
    <w:rPr>
      <w:rFonts w:eastAsia="Times New Roman"/>
      <w:sz w:val="24"/>
      <w:szCs w:val="20"/>
      <w:lang w:val="en-US"/>
    </w:rPr>
  </w:style>
  <w:style w:type="paragraph" w:styleId="9">
    <w:name w:val="heading 7"/>
    <w:basedOn w:val="1"/>
    <w:next w:val="1"/>
    <w:link w:val="47"/>
    <w:qFormat/>
    <w:uiPriority w:val="0"/>
    <w:pPr>
      <w:keepNext/>
      <w:ind w:right="39" w:hanging="18"/>
      <w:jc w:val="center"/>
      <w:outlineLvl w:val="6"/>
    </w:pPr>
    <w:rPr>
      <w:rFonts w:eastAsia="Times New Roman"/>
      <w:sz w:val="24"/>
      <w:szCs w:val="20"/>
      <w:lang w:val="en-US"/>
    </w:rPr>
  </w:style>
  <w:style w:type="paragraph" w:styleId="10">
    <w:name w:val="heading 8"/>
    <w:basedOn w:val="1"/>
    <w:next w:val="1"/>
    <w:link w:val="48"/>
    <w:qFormat/>
    <w:uiPriority w:val="0"/>
    <w:pPr>
      <w:keepNext/>
      <w:spacing w:line="360" w:lineRule="auto"/>
      <w:jc w:val="center"/>
      <w:outlineLvl w:val="7"/>
    </w:pPr>
    <w:rPr>
      <w:rFonts w:eastAsia="Times New Roman"/>
      <w:b/>
      <w:sz w:val="24"/>
      <w:szCs w:val="20"/>
      <w:u w:val="single"/>
      <w:lang w:val="en-US"/>
    </w:rPr>
  </w:style>
  <w:style w:type="paragraph" w:styleId="11">
    <w:name w:val="heading 9"/>
    <w:basedOn w:val="1"/>
    <w:next w:val="1"/>
    <w:link w:val="49"/>
    <w:qFormat/>
    <w:uiPriority w:val="0"/>
    <w:pPr>
      <w:keepNext/>
      <w:spacing w:line="360" w:lineRule="auto"/>
      <w:ind w:left="360" w:hanging="360"/>
      <w:jc w:val="both"/>
      <w:outlineLvl w:val="8"/>
    </w:pPr>
    <w:rPr>
      <w:rFonts w:eastAsia="Times New Roman"/>
      <w:b/>
      <w:bCs/>
      <w:sz w:val="24"/>
      <w:szCs w:val="20"/>
      <w:lang w:val="en-US"/>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spacing w:after="100" w:line="259" w:lineRule="auto"/>
      <w:ind w:left="440"/>
    </w:pPr>
    <w:rPr>
      <w:rFonts w:ascii="Times New Roman" w:hAnsi="Times New Roman"/>
      <w:sz w:val="24"/>
    </w:rPr>
  </w:style>
  <w:style w:type="paragraph" w:styleId="14">
    <w:name w:val="Balloon Text"/>
    <w:basedOn w:val="1"/>
    <w:link w:val="60"/>
    <w:unhideWhenUsed/>
    <w:qFormat/>
    <w:uiPriority w:val="0"/>
    <w:rPr>
      <w:rFonts w:ascii="Tahoma" w:hAnsi="Tahoma" w:cs="Tahoma"/>
      <w:sz w:val="16"/>
      <w:szCs w:val="16"/>
    </w:rPr>
  </w:style>
  <w:style w:type="paragraph" w:styleId="15">
    <w:name w:val="Body Text"/>
    <w:basedOn w:val="1"/>
    <w:link w:val="53"/>
    <w:qFormat/>
    <w:uiPriority w:val="0"/>
    <w:pPr>
      <w:spacing w:line="360" w:lineRule="auto"/>
      <w:jc w:val="both"/>
    </w:pPr>
    <w:rPr>
      <w:rFonts w:eastAsia="Times New Roman"/>
      <w:sz w:val="24"/>
      <w:szCs w:val="20"/>
      <w:lang w:val="en-US"/>
    </w:rPr>
  </w:style>
  <w:style w:type="paragraph" w:styleId="16">
    <w:name w:val="Body Text 2"/>
    <w:basedOn w:val="1"/>
    <w:link w:val="56"/>
    <w:qFormat/>
    <w:uiPriority w:val="0"/>
    <w:pPr>
      <w:spacing w:line="360" w:lineRule="auto"/>
      <w:ind w:left="540" w:hanging="540"/>
      <w:jc w:val="both"/>
    </w:pPr>
    <w:rPr>
      <w:rFonts w:eastAsia="Times New Roman"/>
      <w:sz w:val="24"/>
      <w:szCs w:val="20"/>
      <w:lang w:val="en-US"/>
    </w:rPr>
  </w:style>
  <w:style w:type="paragraph" w:styleId="17">
    <w:name w:val="Body Text 3"/>
    <w:basedOn w:val="1"/>
    <w:link w:val="57"/>
    <w:qFormat/>
    <w:uiPriority w:val="0"/>
    <w:pPr>
      <w:spacing w:line="360" w:lineRule="auto"/>
      <w:jc w:val="both"/>
    </w:pPr>
    <w:rPr>
      <w:rFonts w:eastAsia="Times New Roman"/>
      <w:sz w:val="24"/>
      <w:szCs w:val="20"/>
      <w:lang w:val="en-US"/>
    </w:rPr>
  </w:style>
  <w:style w:type="paragraph" w:styleId="18">
    <w:name w:val="Body Text Indent"/>
    <w:basedOn w:val="1"/>
    <w:link w:val="54"/>
    <w:qFormat/>
    <w:uiPriority w:val="0"/>
    <w:pPr>
      <w:spacing w:line="360" w:lineRule="auto"/>
      <w:ind w:left="810"/>
      <w:jc w:val="both"/>
    </w:pPr>
    <w:rPr>
      <w:rFonts w:eastAsia="Times New Roman"/>
      <w:sz w:val="24"/>
      <w:szCs w:val="20"/>
      <w:lang w:val="en-US"/>
    </w:rPr>
  </w:style>
  <w:style w:type="paragraph" w:styleId="19">
    <w:name w:val="Body Text Indent 2"/>
    <w:basedOn w:val="1"/>
    <w:link w:val="58"/>
    <w:qFormat/>
    <w:uiPriority w:val="0"/>
    <w:pPr>
      <w:spacing w:line="360" w:lineRule="auto"/>
      <w:ind w:left="720"/>
      <w:jc w:val="both"/>
    </w:pPr>
    <w:rPr>
      <w:rFonts w:eastAsia="Times New Roman"/>
      <w:sz w:val="24"/>
      <w:szCs w:val="20"/>
      <w:lang w:val="en-US"/>
    </w:rPr>
  </w:style>
  <w:style w:type="paragraph" w:styleId="20">
    <w:name w:val="Body Text Indent 3"/>
    <w:basedOn w:val="1"/>
    <w:link w:val="59"/>
    <w:qFormat/>
    <w:uiPriority w:val="0"/>
    <w:pPr>
      <w:spacing w:line="360" w:lineRule="auto"/>
      <w:ind w:left="450" w:hanging="450"/>
      <w:jc w:val="both"/>
    </w:pPr>
    <w:rPr>
      <w:rFonts w:eastAsia="Times New Roman"/>
      <w:sz w:val="24"/>
      <w:szCs w:val="20"/>
      <w:lang w:val="en-US"/>
    </w:rPr>
  </w:style>
  <w:style w:type="character" w:styleId="21">
    <w:name w:val="annotation reference"/>
    <w:basedOn w:val="12"/>
    <w:qFormat/>
    <w:uiPriority w:val="99"/>
    <w:rPr>
      <w:rFonts w:cs="Times New Roman"/>
      <w:sz w:val="16"/>
      <w:szCs w:val="16"/>
    </w:rPr>
  </w:style>
  <w:style w:type="paragraph" w:styleId="22">
    <w:name w:val="annotation text"/>
    <w:basedOn w:val="1"/>
    <w:link w:val="81"/>
    <w:qFormat/>
    <w:uiPriority w:val="99"/>
    <w:rPr>
      <w:rFonts w:ascii="Times New Roman" w:hAnsi="Times New Roman" w:eastAsia="Times New Roman"/>
      <w:sz w:val="20"/>
      <w:szCs w:val="20"/>
      <w:lang w:val="en-US"/>
    </w:rPr>
  </w:style>
  <w:style w:type="paragraph" w:styleId="23">
    <w:name w:val="annotation subject"/>
    <w:basedOn w:val="22"/>
    <w:next w:val="22"/>
    <w:link w:val="83"/>
    <w:semiHidden/>
    <w:unhideWhenUsed/>
    <w:qFormat/>
    <w:uiPriority w:val="99"/>
    <w:rPr>
      <w:rFonts w:ascii="Arial" w:hAnsi="Arial" w:eastAsiaTheme="minorHAnsi"/>
      <w:b/>
      <w:bCs/>
      <w:lang w:val="id-ID"/>
    </w:rPr>
  </w:style>
  <w:style w:type="character" w:styleId="24">
    <w:name w:val="Emphasis"/>
    <w:basedOn w:val="12"/>
    <w:qFormat/>
    <w:uiPriority w:val="0"/>
    <w:rPr>
      <w:i/>
      <w:iCs/>
    </w:rPr>
  </w:style>
  <w:style w:type="character" w:styleId="25">
    <w:name w:val="FollowedHyperlink"/>
    <w:basedOn w:val="12"/>
    <w:semiHidden/>
    <w:unhideWhenUsed/>
    <w:qFormat/>
    <w:uiPriority w:val="99"/>
    <w:rPr>
      <w:color w:val="954F72" w:themeColor="followedHyperlink"/>
      <w:u w:val="single"/>
      <w14:textFill>
        <w14:solidFill>
          <w14:schemeClr w14:val="folHlink"/>
        </w14:solidFill>
      </w14:textFill>
    </w:rPr>
  </w:style>
  <w:style w:type="paragraph" w:styleId="26">
    <w:name w:val="footer"/>
    <w:basedOn w:val="1"/>
    <w:link w:val="51"/>
    <w:qFormat/>
    <w:uiPriority w:val="99"/>
    <w:pPr>
      <w:tabs>
        <w:tab w:val="center" w:pos="4320"/>
        <w:tab w:val="right" w:pos="8640"/>
      </w:tabs>
      <w:jc w:val="both"/>
    </w:pPr>
    <w:rPr>
      <w:rFonts w:eastAsia="Times New Roman"/>
      <w:szCs w:val="20"/>
      <w:lang w:val="en-US"/>
    </w:rPr>
  </w:style>
  <w:style w:type="paragraph" w:styleId="27">
    <w:name w:val="header"/>
    <w:basedOn w:val="1"/>
    <w:link w:val="50"/>
    <w:qFormat/>
    <w:uiPriority w:val="99"/>
    <w:pPr>
      <w:tabs>
        <w:tab w:val="center" w:pos="4320"/>
        <w:tab w:val="right" w:pos="8640"/>
      </w:tabs>
      <w:jc w:val="both"/>
    </w:pPr>
    <w:rPr>
      <w:rFonts w:eastAsia="Times New Roman"/>
      <w:szCs w:val="20"/>
      <w:lang w:val="en-US"/>
    </w:rPr>
  </w:style>
  <w:style w:type="character" w:styleId="28">
    <w:name w:val="Hyperlink"/>
    <w:qFormat/>
    <w:uiPriority w:val="99"/>
    <w:rPr>
      <w:color w:val="0000FF"/>
      <w:u w:val="single"/>
    </w:rPr>
  </w:style>
  <w:style w:type="paragraph" w:styleId="29">
    <w:name w:val="Normal (Web)"/>
    <w:basedOn w:val="1"/>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30">
    <w:name w:val="page number"/>
    <w:basedOn w:val="12"/>
    <w:qFormat/>
    <w:uiPriority w:val="99"/>
  </w:style>
  <w:style w:type="character" w:styleId="31">
    <w:name w:val="Strong"/>
    <w:basedOn w:val="12"/>
    <w:qFormat/>
    <w:uiPriority w:val="0"/>
    <w:rPr>
      <w:b/>
      <w:bCs/>
    </w:rPr>
  </w:style>
  <w:style w:type="paragraph" w:styleId="32">
    <w:name w:val="Subtitle"/>
    <w:basedOn w:val="1"/>
    <w:next w:val="1"/>
    <w:link w:val="55"/>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3">
    <w:name w:val="Table Grid"/>
    <w:basedOn w:val="13"/>
    <w:qFormat/>
    <w:uiPriority w:val="59"/>
    <w:rPr>
      <w:rFonts w:ascii="Calibri" w:hAnsi="Calibri" w:eastAsia="Calibri"/>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4">
    <w:name w:val="Title"/>
    <w:basedOn w:val="1"/>
    <w:link w:val="52"/>
    <w:qFormat/>
    <w:uiPriority w:val="10"/>
    <w:pPr>
      <w:jc w:val="center"/>
    </w:pPr>
    <w:rPr>
      <w:rFonts w:eastAsia="Times New Roman"/>
      <w:b/>
      <w:sz w:val="26"/>
      <w:szCs w:val="20"/>
      <w:lang w:val="en-US"/>
    </w:rPr>
  </w:style>
  <w:style w:type="paragraph" w:styleId="35">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6">
    <w:name w:val="toc 2"/>
    <w:basedOn w:val="1"/>
    <w:next w:val="1"/>
    <w:autoRedefine/>
    <w:qFormat/>
    <w:uiPriority w:val="0"/>
    <w:pPr>
      <w:tabs>
        <w:tab w:val="right" w:leader="underscore" w:pos="13944"/>
      </w:tabs>
      <w:spacing w:before="120"/>
      <w:ind w:left="200"/>
    </w:pPr>
    <w:rPr>
      <w:rFonts w:eastAsia="Times New Roman" w:cs="Arial"/>
      <w:b/>
      <w:sz w:val="20"/>
      <w:szCs w:val="26"/>
      <w:lang w:val="en-US"/>
    </w:rPr>
  </w:style>
  <w:style w:type="table" w:styleId="37">
    <w:name w:val="Light Shading"/>
    <w:basedOn w:val="13"/>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8">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9">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40">
    <w:name w:val="st"/>
    <w:basedOn w:val="12"/>
    <w:qFormat/>
    <w:uiPriority w:val="0"/>
  </w:style>
  <w:style w:type="character" w:customStyle="1" w:styleId="41">
    <w:name w:val="Heading 1 Char"/>
    <w:link w:val="2"/>
    <w:qFormat/>
    <w:uiPriority w:val="0"/>
    <w:rPr>
      <w:rFonts w:ascii="Tahoma" w:hAnsi="Tahoma" w:eastAsia="Times New Roman" w:cs="Times New Roman"/>
      <w:b/>
      <w:sz w:val="24"/>
      <w:szCs w:val="24"/>
      <w:lang w:val="sv-SE"/>
    </w:rPr>
  </w:style>
  <w:style w:type="character" w:customStyle="1" w:styleId="42">
    <w:name w:val="Heading 2 Char"/>
    <w:link w:val="3"/>
    <w:qFormat/>
    <w:uiPriority w:val="0"/>
    <w:rPr>
      <w:rFonts w:ascii="Arial" w:hAnsi="Arial" w:eastAsia="Times New Roman" w:cs="Times New Roman"/>
      <w:sz w:val="24"/>
      <w:szCs w:val="20"/>
      <w:lang w:val="en-US"/>
    </w:rPr>
  </w:style>
  <w:style w:type="character" w:customStyle="1" w:styleId="43">
    <w:name w:val="Heading 3 Char"/>
    <w:link w:val="4"/>
    <w:qFormat/>
    <w:uiPriority w:val="0"/>
    <w:rPr>
      <w:rFonts w:ascii="Arial" w:hAnsi="Arial" w:eastAsia="Times New Roman" w:cs="Times New Roman"/>
      <w:b/>
      <w:sz w:val="24"/>
      <w:szCs w:val="20"/>
      <w:lang w:val="en-US"/>
    </w:rPr>
  </w:style>
  <w:style w:type="character" w:customStyle="1" w:styleId="44">
    <w:name w:val="Heading 4 Char"/>
    <w:link w:val="6"/>
    <w:qFormat/>
    <w:uiPriority w:val="0"/>
    <w:rPr>
      <w:rFonts w:ascii="Arial" w:hAnsi="Arial" w:eastAsia="Times New Roman" w:cs="Times New Roman"/>
      <w:sz w:val="24"/>
      <w:szCs w:val="20"/>
      <w:lang w:val="en-US"/>
    </w:rPr>
  </w:style>
  <w:style w:type="character" w:customStyle="1" w:styleId="45">
    <w:name w:val="Heading 5 Char"/>
    <w:link w:val="7"/>
    <w:qFormat/>
    <w:uiPriority w:val="0"/>
    <w:rPr>
      <w:rFonts w:ascii="Tahoma" w:hAnsi="Tahoma" w:eastAsia="Times New Roman" w:cs="Times New Roman"/>
      <w:b/>
      <w:sz w:val="28"/>
      <w:szCs w:val="20"/>
      <w:lang w:val="en-US"/>
    </w:rPr>
  </w:style>
  <w:style w:type="character" w:customStyle="1" w:styleId="46">
    <w:name w:val="Heading 6 Char"/>
    <w:link w:val="8"/>
    <w:qFormat/>
    <w:uiPriority w:val="0"/>
    <w:rPr>
      <w:rFonts w:ascii="Arial" w:hAnsi="Arial" w:eastAsia="Times New Roman" w:cs="Times New Roman"/>
      <w:sz w:val="24"/>
      <w:szCs w:val="20"/>
      <w:lang w:val="en-US"/>
    </w:rPr>
  </w:style>
  <w:style w:type="character" w:customStyle="1" w:styleId="47">
    <w:name w:val="Heading 7 Char"/>
    <w:link w:val="9"/>
    <w:qFormat/>
    <w:uiPriority w:val="0"/>
    <w:rPr>
      <w:rFonts w:ascii="Arial" w:hAnsi="Arial" w:eastAsia="Times New Roman" w:cs="Times New Roman"/>
      <w:sz w:val="24"/>
      <w:szCs w:val="20"/>
      <w:lang w:val="en-US"/>
    </w:rPr>
  </w:style>
  <w:style w:type="character" w:customStyle="1" w:styleId="48">
    <w:name w:val="Heading 8 Char"/>
    <w:link w:val="10"/>
    <w:qFormat/>
    <w:uiPriority w:val="0"/>
    <w:rPr>
      <w:rFonts w:ascii="Arial" w:hAnsi="Arial" w:eastAsia="Times New Roman" w:cs="Times New Roman"/>
      <w:b/>
      <w:sz w:val="24"/>
      <w:szCs w:val="20"/>
      <w:u w:val="single"/>
      <w:lang w:val="en-US"/>
    </w:rPr>
  </w:style>
  <w:style w:type="character" w:customStyle="1" w:styleId="49">
    <w:name w:val="Heading 9 Char"/>
    <w:link w:val="11"/>
    <w:qFormat/>
    <w:uiPriority w:val="0"/>
    <w:rPr>
      <w:rFonts w:ascii="Arial" w:hAnsi="Arial" w:eastAsia="Times New Roman" w:cs="Times New Roman"/>
      <w:b/>
      <w:bCs/>
      <w:sz w:val="24"/>
      <w:szCs w:val="20"/>
      <w:lang w:val="en-US"/>
    </w:rPr>
  </w:style>
  <w:style w:type="character" w:customStyle="1" w:styleId="50">
    <w:name w:val="Header Char"/>
    <w:link w:val="27"/>
    <w:qFormat/>
    <w:uiPriority w:val="99"/>
    <w:rPr>
      <w:rFonts w:ascii="Arial" w:hAnsi="Arial" w:eastAsia="Times New Roman" w:cs="Times New Roman"/>
      <w:szCs w:val="20"/>
      <w:lang w:val="en-US"/>
    </w:rPr>
  </w:style>
  <w:style w:type="character" w:customStyle="1" w:styleId="51">
    <w:name w:val="Footer Char"/>
    <w:link w:val="26"/>
    <w:qFormat/>
    <w:uiPriority w:val="99"/>
    <w:rPr>
      <w:rFonts w:ascii="Arial" w:hAnsi="Arial" w:eastAsia="Times New Roman" w:cs="Times New Roman"/>
      <w:szCs w:val="20"/>
      <w:lang w:val="en-US"/>
    </w:rPr>
  </w:style>
  <w:style w:type="character" w:customStyle="1" w:styleId="52">
    <w:name w:val="Title Char"/>
    <w:link w:val="34"/>
    <w:qFormat/>
    <w:uiPriority w:val="10"/>
    <w:rPr>
      <w:rFonts w:ascii="Arial" w:hAnsi="Arial" w:eastAsia="Times New Roman" w:cs="Times New Roman"/>
      <w:b/>
      <w:sz w:val="26"/>
      <w:szCs w:val="20"/>
      <w:lang w:val="en-US"/>
    </w:rPr>
  </w:style>
  <w:style w:type="character" w:customStyle="1" w:styleId="53">
    <w:name w:val="Body Text Char"/>
    <w:link w:val="15"/>
    <w:qFormat/>
    <w:uiPriority w:val="0"/>
    <w:rPr>
      <w:rFonts w:ascii="Arial" w:hAnsi="Arial" w:eastAsia="Times New Roman" w:cs="Times New Roman"/>
      <w:sz w:val="24"/>
      <w:szCs w:val="20"/>
      <w:lang w:val="en-US"/>
    </w:rPr>
  </w:style>
  <w:style w:type="character" w:customStyle="1" w:styleId="54">
    <w:name w:val="Body Text Indent Char"/>
    <w:link w:val="18"/>
    <w:qFormat/>
    <w:uiPriority w:val="0"/>
    <w:rPr>
      <w:rFonts w:ascii="Arial" w:hAnsi="Arial" w:eastAsia="Times New Roman" w:cs="Times New Roman"/>
      <w:sz w:val="24"/>
      <w:szCs w:val="20"/>
      <w:lang w:val="en-US"/>
    </w:rPr>
  </w:style>
  <w:style w:type="character" w:customStyle="1" w:styleId="55">
    <w:name w:val="Subtitle Char"/>
    <w:link w:val="32"/>
    <w:qFormat/>
    <w:uiPriority w:val="11"/>
    <w:rPr>
      <w:rFonts w:ascii="Cambria" w:hAnsi="Cambria" w:eastAsia="Times New Roman" w:cs="Times New Roman"/>
      <w:i/>
      <w:iCs/>
      <w:color w:val="4F81BD"/>
      <w:spacing w:val="15"/>
      <w:sz w:val="24"/>
      <w:szCs w:val="24"/>
      <w:lang w:val="en-US" w:eastAsia="ja-JP"/>
    </w:rPr>
  </w:style>
  <w:style w:type="character" w:customStyle="1" w:styleId="56">
    <w:name w:val="Body Text 2 Char"/>
    <w:link w:val="16"/>
    <w:qFormat/>
    <w:uiPriority w:val="0"/>
    <w:rPr>
      <w:rFonts w:ascii="Arial" w:hAnsi="Arial" w:eastAsia="Times New Roman" w:cs="Times New Roman"/>
      <w:sz w:val="24"/>
      <w:szCs w:val="20"/>
      <w:lang w:val="en-US"/>
    </w:rPr>
  </w:style>
  <w:style w:type="character" w:customStyle="1" w:styleId="57">
    <w:name w:val="Body Text 3 Char"/>
    <w:link w:val="17"/>
    <w:qFormat/>
    <w:uiPriority w:val="0"/>
    <w:rPr>
      <w:rFonts w:ascii="Arial" w:hAnsi="Arial" w:eastAsia="Times New Roman" w:cs="Times New Roman"/>
      <w:sz w:val="24"/>
      <w:szCs w:val="20"/>
      <w:lang w:val="en-US"/>
    </w:rPr>
  </w:style>
  <w:style w:type="character" w:customStyle="1" w:styleId="58">
    <w:name w:val="Body Text Indent 2 Char"/>
    <w:link w:val="19"/>
    <w:qFormat/>
    <w:uiPriority w:val="0"/>
    <w:rPr>
      <w:rFonts w:ascii="Arial" w:hAnsi="Arial" w:eastAsia="Times New Roman" w:cs="Times New Roman"/>
      <w:sz w:val="24"/>
      <w:szCs w:val="20"/>
      <w:lang w:val="en-US"/>
    </w:rPr>
  </w:style>
  <w:style w:type="character" w:customStyle="1" w:styleId="59">
    <w:name w:val="Body Text Indent 3 Char"/>
    <w:link w:val="20"/>
    <w:qFormat/>
    <w:uiPriority w:val="0"/>
    <w:rPr>
      <w:rFonts w:ascii="Arial" w:hAnsi="Arial" w:eastAsia="Times New Roman" w:cs="Times New Roman"/>
      <w:sz w:val="24"/>
      <w:szCs w:val="20"/>
      <w:lang w:val="en-US"/>
    </w:rPr>
  </w:style>
  <w:style w:type="character" w:customStyle="1" w:styleId="60">
    <w:name w:val="Balloon Text Char"/>
    <w:link w:val="14"/>
    <w:qFormat/>
    <w:uiPriority w:val="0"/>
    <w:rPr>
      <w:rFonts w:ascii="Tahoma" w:hAnsi="Tahoma" w:eastAsia="Calibri" w:cs="Tahoma"/>
      <w:sz w:val="16"/>
      <w:szCs w:val="16"/>
    </w:rPr>
  </w:style>
  <w:style w:type="paragraph" w:styleId="61">
    <w:name w:val="No Spacing"/>
    <w:link w:val="62"/>
    <w:qFormat/>
    <w:uiPriority w:val="1"/>
    <w:rPr>
      <w:rFonts w:ascii="Calibri" w:hAnsi="Calibri" w:eastAsia="Times New Roman" w:cs="Times New Roman"/>
      <w:sz w:val="22"/>
      <w:szCs w:val="22"/>
      <w:lang w:val="en-US" w:eastAsia="en-US" w:bidi="ar-SA"/>
    </w:rPr>
  </w:style>
  <w:style w:type="character" w:customStyle="1" w:styleId="62">
    <w:name w:val="No Spacing Char"/>
    <w:link w:val="61"/>
    <w:qFormat/>
    <w:uiPriority w:val="1"/>
    <w:rPr>
      <w:rFonts w:ascii="Calibri" w:hAnsi="Calibri" w:eastAsia="Times New Roman" w:cs="Times New Roman"/>
      <w:lang w:val="en-US"/>
    </w:rPr>
  </w:style>
  <w:style w:type="paragraph" w:styleId="63">
    <w:name w:val="List Paragraph"/>
    <w:basedOn w:val="1"/>
    <w:link w:val="84"/>
    <w:qFormat/>
    <w:uiPriority w:val="34"/>
    <w:pPr>
      <w:ind w:left="720"/>
      <w:contextualSpacing/>
    </w:pPr>
    <w:rPr>
      <w:rFonts w:ascii="Times New Roman" w:hAnsi="Times New Roman" w:eastAsia="Times New Roman"/>
      <w:sz w:val="24"/>
      <w:szCs w:val="24"/>
      <w:lang w:val="en-US"/>
    </w:rPr>
  </w:style>
  <w:style w:type="paragraph" w:customStyle="1" w:styleId="64">
    <w:name w:val="TOC Heading1"/>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5">
    <w:name w:val="E-JOURNAL_Title English"/>
    <w:basedOn w:val="1"/>
    <w:qFormat/>
    <w:uiPriority w:val="0"/>
    <w:pPr>
      <w:jc w:val="center"/>
    </w:pPr>
    <w:rPr>
      <w:rFonts w:ascii="Times New Roman" w:hAnsi="Times New Roman" w:eastAsia="Times New Roman"/>
      <w:b/>
      <w:i/>
      <w:szCs w:val="24"/>
    </w:rPr>
  </w:style>
  <w:style w:type="paragraph" w:customStyle="1" w:styleId="66">
    <w:name w:val="E-JOURNAL_Author"/>
    <w:basedOn w:val="1"/>
    <w:qFormat/>
    <w:uiPriority w:val="0"/>
    <w:pPr>
      <w:jc w:val="center"/>
    </w:pPr>
    <w:rPr>
      <w:rFonts w:ascii="Times New Roman" w:hAnsi="Times New Roman" w:eastAsia="Times New Roman"/>
    </w:rPr>
  </w:style>
  <w:style w:type="paragraph" w:customStyle="1" w:styleId="67">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8">
    <w:name w:val="E-JOURNAL_Title"/>
    <w:basedOn w:val="1"/>
    <w:qFormat/>
    <w:uiPriority w:val="0"/>
    <w:pPr>
      <w:ind w:firstLine="567"/>
      <w:jc w:val="center"/>
    </w:pPr>
    <w:rPr>
      <w:rFonts w:ascii="Times New Roman" w:hAnsi="Times New Roman" w:eastAsia="Times New Roman"/>
      <w:b/>
    </w:rPr>
  </w:style>
  <w:style w:type="paragraph" w:customStyle="1" w:styleId="69">
    <w:name w:val="E-JOURNAL_AbstractBody"/>
    <w:basedOn w:val="68"/>
    <w:qFormat/>
    <w:uiPriority w:val="0"/>
    <w:pPr>
      <w:jc w:val="both"/>
    </w:pPr>
    <w:rPr>
      <w:b w:val="0"/>
    </w:rPr>
  </w:style>
  <w:style w:type="paragraph" w:customStyle="1" w:styleId="70">
    <w:name w:val="E-JOURNAL_AbstractBodyEnglish"/>
    <w:basedOn w:val="1"/>
    <w:qFormat/>
    <w:uiPriority w:val="0"/>
    <w:pPr>
      <w:ind w:firstLine="567"/>
      <w:jc w:val="both"/>
    </w:pPr>
    <w:rPr>
      <w:rFonts w:ascii="Times New Roman" w:hAnsi="Times New Roman" w:eastAsia="Times New Roman"/>
      <w:i/>
    </w:rPr>
  </w:style>
  <w:style w:type="paragraph" w:customStyle="1" w:styleId="71">
    <w:name w:val="E-JOURNAL_Heading 1"/>
    <w:basedOn w:val="1"/>
    <w:qFormat/>
    <w:uiPriority w:val="0"/>
    <w:pPr>
      <w:spacing w:before="120" w:after="120"/>
    </w:pPr>
    <w:rPr>
      <w:rFonts w:ascii="Times New Roman" w:hAnsi="Times New Roman" w:eastAsia="Times New Roman"/>
      <w:b/>
      <w:lang w:val="en-US"/>
    </w:rPr>
  </w:style>
  <w:style w:type="paragraph" w:customStyle="1" w:styleId="72">
    <w:name w:val="E-JOURNAL_Body"/>
    <w:basedOn w:val="1"/>
    <w:qFormat/>
    <w:uiPriority w:val="0"/>
    <w:pPr>
      <w:ind w:firstLine="567"/>
      <w:jc w:val="both"/>
    </w:pPr>
    <w:rPr>
      <w:rFonts w:ascii="Times New Roman" w:hAnsi="Times New Roman" w:eastAsia="Times New Roman"/>
      <w:szCs w:val="24"/>
    </w:rPr>
  </w:style>
  <w:style w:type="paragraph" w:customStyle="1" w:styleId="73">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4">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5">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6">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7">
    <w:name w:val="E-JOURNAL_AbstrakKeywords"/>
    <w:basedOn w:val="70"/>
    <w:qFormat/>
    <w:uiPriority w:val="0"/>
    <w:pPr>
      <w:spacing w:before="240" w:after="240"/>
      <w:ind w:firstLine="0"/>
    </w:pPr>
  </w:style>
  <w:style w:type="paragraph" w:customStyle="1" w:styleId="78">
    <w:name w:val="Style E-Journal_Keywords + Not Italic"/>
    <w:basedOn w:val="77"/>
    <w:qFormat/>
    <w:uiPriority w:val="0"/>
    <w:pPr>
      <w:spacing w:before="120" w:after="120"/>
    </w:pPr>
    <w:rPr>
      <w:i w:val="0"/>
    </w:rPr>
  </w:style>
  <w:style w:type="paragraph" w:customStyle="1" w:styleId="79">
    <w:name w:val="E-JOURNAL_TitleAbstractEnglish"/>
    <w:basedOn w:val="1"/>
    <w:autoRedefine/>
    <w:qFormat/>
    <w:uiPriority w:val="0"/>
    <w:pPr>
      <w:spacing w:before="120" w:after="120"/>
      <w:jc w:val="center"/>
    </w:pPr>
    <w:rPr>
      <w:rFonts w:ascii="Times New Roman" w:hAnsi="Times New Roman" w:eastAsia="Times New Roman"/>
      <w:b/>
      <w:bCs/>
      <w:i/>
      <w:iCs/>
      <w:szCs w:val="20"/>
    </w:rPr>
  </w:style>
  <w:style w:type="paragraph" w:customStyle="1" w:styleId="80">
    <w:name w:val="E-JOURNAL_Picture"/>
    <w:basedOn w:val="74"/>
    <w:qFormat/>
    <w:uiPriority w:val="0"/>
    <w:rPr>
      <w:szCs w:val="22"/>
    </w:rPr>
  </w:style>
  <w:style w:type="character" w:customStyle="1" w:styleId="81">
    <w:name w:val="Comment Text Char"/>
    <w:basedOn w:val="12"/>
    <w:link w:val="22"/>
    <w:qFormat/>
    <w:uiPriority w:val="99"/>
    <w:rPr>
      <w:rFonts w:ascii="Times New Roman" w:hAnsi="Times New Roman" w:eastAsia="Times New Roman"/>
      <w:sz w:val="20"/>
      <w:szCs w:val="20"/>
      <w:lang w:val="en-US"/>
    </w:rPr>
  </w:style>
  <w:style w:type="character" w:customStyle="1" w:styleId="82">
    <w:name w:val="hps"/>
    <w:basedOn w:val="12"/>
    <w:qFormat/>
    <w:uiPriority w:val="0"/>
  </w:style>
  <w:style w:type="character" w:customStyle="1" w:styleId="83">
    <w:name w:val="Comment Subject Char"/>
    <w:basedOn w:val="81"/>
    <w:link w:val="23"/>
    <w:semiHidden/>
    <w:qFormat/>
    <w:uiPriority w:val="99"/>
    <w:rPr>
      <w:rFonts w:ascii="Times New Roman" w:hAnsi="Times New Roman" w:eastAsia="Times New Roman"/>
      <w:b/>
      <w:bCs/>
      <w:sz w:val="20"/>
      <w:szCs w:val="20"/>
      <w:lang w:val="en-US"/>
    </w:rPr>
  </w:style>
  <w:style w:type="character" w:customStyle="1" w:styleId="84">
    <w:name w:val="List Paragraph Char"/>
    <w:link w:val="63"/>
    <w:qFormat/>
    <w:locked/>
    <w:uiPriority w:val="34"/>
    <w:rPr>
      <w:rFonts w:ascii="Times New Roman" w:hAnsi="Times New Roman" w:eastAsia="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chart" Target="charts/chart2.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cuments\SCORE%20DISTRIBUTION%20IN%20PRETEST%20AND%20POST%20TEST%20EXPERIMENTAL%20GROUP.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cuments\SCORE%20DISTRIBUTION%20IN%20PRETEST%20AND%20POST%20TEST%20EXPERIMENTAL%20GROU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'[SCORE DISTRIBUTION IN PRETEST AND POST TEST EXPERIMENTAL GROUP.xlsx]Sheet1'!$G$27:$G$28</c:f>
              <c:strCache>
                <c:ptCount val="1"/>
                <c:pt idx="0">
                  <c:v>Category</c:v>
                </c:pt>
              </c:strCache>
            </c:strRef>
          </c:tx>
          <c:spPr>
            <a:solidFill>
              <a:schemeClr val="accent1"/>
            </a:solidFill>
            <a:ln>
              <a:noFill/>
            </a:ln>
            <a:effectLst/>
          </c:spPr>
          <c:invertIfNegative val="0"/>
          <c:dLbls>
            <c:delete val="1"/>
          </c:dLbls>
          <c:cat>
            <c:multiLvlStrRef>
              <c:f>'[SCORE DISTRIBUTION IN PRETEST AND POST TEST EXPERIMENTAL GROUP.xlsx]Sheet1'!$E$29:$F$34</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GROUP.xlsx]Sheet1'!$G$29:$G$34</c:f>
              <c:numCache>
                <c:formatCode>General</c:formatCode>
                <c:ptCount val="6"/>
                <c:pt idx="0">
                  <c:v>0</c:v>
                </c:pt>
                <c:pt idx="1">
                  <c:v>0</c:v>
                </c:pt>
                <c:pt idx="2">
                  <c:v>0</c:v>
                </c:pt>
                <c:pt idx="3">
                  <c:v>0</c:v>
                </c:pt>
                <c:pt idx="4">
                  <c:v>0</c:v>
                </c:pt>
              </c:numCache>
            </c:numRef>
          </c:val>
        </c:ser>
        <c:ser>
          <c:idx val="1"/>
          <c:order val="1"/>
          <c:tx>
            <c:strRef>
              <c:f>'[SCORE DISTRIBUTION IN PRETEST AND POST TEST EXPERIMENTAL GROUP.xlsx]Sheet1'!$H$27:$H$28</c:f>
              <c:strCache>
                <c:ptCount val="1"/>
                <c:pt idx="0">
                  <c:v>Pretest Frequency</c:v>
                </c:pt>
              </c:strCache>
            </c:strRef>
          </c:tx>
          <c:spPr>
            <a:solidFill>
              <a:schemeClr val="accent2"/>
            </a:solidFill>
            <a:ln>
              <a:noFill/>
            </a:ln>
            <a:effectLst/>
          </c:spPr>
          <c:invertIfNegative val="0"/>
          <c:dLbls>
            <c:delete val="1"/>
          </c:dLbls>
          <c:cat>
            <c:multiLvlStrRef>
              <c:f>'[SCORE DISTRIBUTION IN PRETEST AND POST TEST EXPERIMENTAL GROUP.xlsx]Sheet1'!$E$29:$F$34</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GROUP.xlsx]Sheet1'!$H$29:$H$34</c:f>
              <c:numCache>
                <c:formatCode>General</c:formatCode>
                <c:ptCount val="6"/>
                <c:pt idx="0">
                  <c:v>11</c:v>
                </c:pt>
                <c:pt idx="1">
                  <c:v>14</c:v>
                </c:pt>
                <c:pt idx="2">
                  <c:v>5</c:v>
                </c:pt>
                <c:pt idx="3">
                  <c:v>5</c:v>
                </c:pt>
                <c:pt idx="4">
                  <c:v>1</c:v>
                </c:pt>
                <c:pt idx="5">
                  <c:v>36</c:v>
                </c:pt>
              </c:numCache>
            </c:numRef>
          </c:val>
        </c:ser>
        <c:ser>
          <c:idx val="2"/>
          <c:order val="2"/>
          <c:tx>
            <c:strRef>
              <c:f>'[SCORE DISTRIBUTION IN PRETEST AND POST TEST EXPERIMENTAL GROUP.xlsx]Sheet1'!$I$27:$I$28</c:f>
              <c:strCache>
                <c:ptCount val="1"/>
                <c:pt idx="0">
                  <c:v>Pretest Percentage</c:v>
                </c:pt>
              </c:strCache>
            </c:strRef>
          </c:tx>
          <c:spPr>
            <a:solidFill>
              <a:schemeClr val="accent3"/>
            </a:solidFill>
            <a:ln>
              <a:noFill/>
            </a:ln>
            <a:effectLst/>
          </c:spPr>
          <c:invertIfNegative val="0"/>
          <c:dLbls>
            <c:delete val="1"/>
          </c:dLbls>
          <c:cat>
            <c:multiLvlStrRef>
              <c:f>'[SCORE DISTRIBUTION IN PRETEST AND POST TEST EXPERIMENTAL GROUP.xlsx]Sheet1'!$E$29:$F$34</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GROUP.xlsx]Sheet1'!$I$29:$I$34</c:f>
              <c:numCache>
                <c:formatCode>0.00%</c:formatCode>
                <c:ptCount val="6"/>
                <c:pt idx="0">
                  <c:v>0.305555555555556</c:v>
                </c:pt>
                <c:pt idx="1">
                  <c:v>0.388888888888889</c:v>
                </c:pt>
                <c:pt idx="2">
                  <c:v>0.138888888888889</c:v>
                </c:pt>
                <c:pt idx="3">
                  <c:v>0.138888888888889</c:v>
                </c:pt>
                <c:pt idx="4">
                  <c:v>0.0277777777777778</c:v>
                </c:pt>
                <c:pt idx="5" c:formatCode="0%">
                  <c:v>1</c:v>
                </c:pt>
              </c:numCache>
            </c:numRef>
          </c:val>
        </c:ser>
        <c:dLbls>
          <c:showLegendKey val="0"/>
          <c:showVal val="0"/>
          <c:showCatName val="0"/>
          <c:showSerName val="0"/>
          <c:showPercent val="0"/>
          <c:showBubbleSize val="0"/>
        </c:dLbls>
        <c:gapWidth val="246"/>
        <c:overlap val="-28"/>
        <c:axId val="242059136"/>
        <c:axId val="242753920"/>
      </c:barChart>
      <c:lineChart>
        <c:grouping val="standard"/>
        <c:varyColors val="0"/>
        <c:ser>
          <c:idx val="3"/>
          <c:order val="3"/>
          <c:tx>
            <c:strRef>
              <c:f>'[SCORE DISTRIBUTION IN PRETEST AND POST TEST EXPERIMENTAL GROUP.xlsx]Sheet1'!$J$27:$J$28</c:f>
              <c:strCache>
                <c:ptCount val="1"/>
                <c:pt idx="0">
                  <c:v>Posttest Frequency</c:v>
                </c:pt>
              </c:strCache>
            </c:strRef>
          </c:tx>
          <c:spPr>
            <a:ln w="28575" cap="rnd" cmpd="sng" algn="ctr">
              <a:solidFill>
                <a:schemeClr val="accent4"/>
              </a:solidFill>
              <a:prstDash val="solid"/>
              <a:round/>
            </a:ln>
            <a:effectLst/>
          </c:spPr>
          <c:marker>
            <c:symbol val="none"/>
          </c:marker>
          <c:dLbls>
            <c:delete val="1"/>
          </c:dLbls>
          <c:cat>
            <c:multiLvlStrRef>
              <c:f>'[SCORE DISTRIBUTION IN PRETEST AND POST TEST EXPERIMENTAL GROUP.xlsx]Sheet1'!$E$29:$F$34</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GROUP.xlsx]Sheet1'!$J$29:$J$34</c:f>
              <c:numCache>
                <c:formatCode>General</c:formatCode>
                <c:ptCount val="6"/>
                <c:pt idx="0">
                  <c:v>22</c:v>
                </c:pt>
                <c:pt idx="1">
                  <c:v>10</c:v>
                </c:pt>
                <c:pt idx="2">
                  <c:v>1</c:v>
                </c:pt>
                <c:pt idx="3">
                  <c:v>3</c:v>
                </c:pt>
                <c:pt idx="4">
                  <c:v>0</c:v>
                </c:pt>
                <c:pt idx="5">
                  <c:v>36</c:v>
                </c:pt>
              </c:numCache>
            </c:numRef>
          </c:val>
          <c:smooth val="0"/>
        </c:ser>
        <c:ser>
          <c:idx val="4"/>
          <c:order val="4"/>
          <c:tx>
            <c:strRef>
              <c:f>'[SCORE DISTRIBUTION IN PRETEST AND POST TEST EXPERIMENTAL GROUP.xlsx]Sheet1'!$K$27:$K$28</c:f>
              <c:strCache>
                <c:ptCount val="1"/>
                <c:pt idx="0">
                  <c:v>Posttest Percentage</c:v>
                </c:pt>
              </c:strCache>
            </c:strRef>
          </c:tx>
          <c:spPr>
            <a:ln w="28575" cap="rnd" cmpd="sng" algn="ctr">
              <a:solidFill>
                <a:schemeClr val="accent5"/>
              </a:solidFill>
              <a:prstDash val="solid"/>
              <a:round/>
            </a:ln>
            <a:effectLst/>
          </c:spPr>
          <c:marker>
            <c:symbol val="none"/>
          </c:marker>
          <c:dLbls>
            <c:delete val="1"/>
          </c:dLbls>
          <c:cat>
            <c:multiLvlStrRef>
              <c:f>'[SCORE DISTRIBUTION IN PRETEST AND POST TEST EXPERIMENTAL GROUP.xlsx]Sheet1'!$E$29:$F$34</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GROUP.xlsx]Sheet1'!$K$29:$K$34</c:f>
              <c:numCache>
                <c:formatCode>0.00%</c:formatCode>
                <c:ptCount val="6"/>
                <c:pt idx="0">
                  <c:v>0.611111111111111</c:v>
                </c:pt>
                <c:pt idx="1">
                  <c:v>0.277777777777778</c:v>
                </c:pt>
                <c:pt idx="2">
                  <c:v>0.0277777777777778</c:v>
                </c:pt>
                <c:pt idx="3">
                  <c:v>0.0833333333333333</c:v>
                </c:pt>
                <c:pt idx="4">
                  <c:v>0</c:v>
                </c:pt>
                <c:pt idx="5" c:formatCode="0%">
                  <c:v>1</c:v>
                </c:pt>
              </c:numCache>
            </c:numRef>
          </c:val>
          <c:smooth val="0"/>
        </c:ser>
        <c:dLbls>
          <c:showLegendKey val="0"/>
          <c:showVal val="0"/>
          <c:showCatName val="0"/>
          <c:showSerName val="0"/>
          <c:showPercent val="0"/>
          <c:showBubbleSize val="0"/>
        </c:dLbls>
        <c:marker val="0"/>
        <c:smooth val="0"/>
        <c:axId val="242059136"/>
        <c:axId val="242753920"/>
      </c:lineChart>
      <c:catAx>
        <c:axId val="24205913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42753920"/>
        <c:crosses val="autoZero"/>
        <c:auto val="1"/>
        <c:lblAlgn val="ctr"/>
        <c:lblOffset val="100"/>
        <c:noMultiLvlLbl val="0"/>
      </c:catAx>
      <c:valAx>
        <c:axId val="242753920"/>
        <c:scaling>
          <c:orientation val="minMax"/>
        </c:scaling>
        <c:delete val="0"/>
        <c:axPos val="l"/>
        <c:majorGridlines>
          <c:spPr>
            <a:ln w="9525" cap="flat" cmpd="sng" algn="ctr">
              <a:solidFill>
                <a:schemeClr val="lt1">
                  <a:lumMod val="902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420591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7c2ce17-b612-4dee-a0b3-e3735c615cb9}"/>
      </c:ext>
    </c:extLst>
  </c:chart>
  <c:spPr>
    <a:solidFill>
      <a:schemeClr val="bg1"/>
    </a:solidFill>
    <a:ln w="9525" cap="flat" cmpd="sng" algn="ctr">
      <a:solidFill>
        <a:schemeClr val="tx1">
          <a:lumMod val="15000"/>
          <a:lumOff val="85000"/>
        </a:schemeClr>
      </a:solidFill>
      <a:prstDash val="solid"/>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'[SCORE DISTRIBUTION IN PRETEST AND POST TEST EXPERIMENTAL GROUP.xlsx]Sheet1'!$K$13:$K$14</c:f>
              <c:strCache>
                <c:ptCount val="1"/>
                <c:pt idx="0">
                  <c:v>Category</c:v>
                </c:pt>
              </c:strCache>
            </c:strRef>
          </c:tx>
          <c:spPr>
            <a:solidFill>
              <a:schemeClr val="accent1"/>
            </a:solidFill>
            <a:ln>
              <a:noFill/>
            </a:ln>
            <a:effectLst/>
          </c:spPr>
          <c:invertIfNegative val="0"/>
          <c:dLbls>
            <c:delete val="1"/>
          </c:dLbls>
          <c:cat>
            <c:multiLvlStrRef>
              <c:f>'[SCORE DISTRIBUTION IN PRETEST AND POST TEST EXPERIMENTAL GROUP.xlsx]Sheet1'!$I$15:$J$20</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GROUP.xlsx]Sheet1'!$K$15:$K$20</c:f>
              <c:numCache>
                <c:formatCode>General</c:formatCode>
                <c:ptCount val="6"/>
                <c:pt idx="0">
                  <c:v>0</c:v>
                </c:pt>
                <c:pt idx="1">
                  <c:v>0</c:v>
                </c:pt>
                <c:pt idx="2">
                  <c:v>0</c:v>
                </c:pt>
                <c:pt idx="3">
                  <c:v>0</c:v>
                </c:pt>
                <c:pt idx="4">
                  <c:v>0</c:v>
                </c:pt>
              </c:numCache>
            </c:numRef>
          </c:val>
        </c:ser>
        <c:ser>
          <c:idx val="1"/>
          <c:order val="1"/>
          <c:tx>
            <c:strRef>
              <c:f>'[SCORE DISTRIBUTION IN PRETEST AND POST TEST EXPERIMENTAL GROUP.xlsx]Sheet1'!$L$13:$L$14</c:f>
              <c:strCache>
                <c:ptCount val="1"/>
                <c:pt idx="0">
                  <c:v>Pretest Frequency</c:v>
                </c:pt>
              </c:strCache>
            </c:strRef>
          </c:tx>
          <c:spPr>
            <a:solidFill>
              <a:schemeClr val="accent2"/>
            </a:solidFill>
            <a:ln>
              <a:noFill/>
            </a:ln>
            <a:effectLst/>
          </c:spPr>
          <c:invertIfNegative val="0"/>
          <c:dLbls>
            <c:delete val="1"/>
          </c:dLbls>
          <c:cat>
            <c:multiLvlStrRef>
              <c:f>'[SCORE DISTRIBUTION IN PRETEST AND POST TEST EXPERIMENTAL GROUP.xlsx]Sheet1'!$I$15:$J$20</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GROUP.xlsx]Sheet1'!$L$15:$L$20</c:f>
              <c:numCache>
                <c:formatCode>General</c:formatCode>
                <c:ptCount val="6"/>
                <c:pt idx="0">
                  <c:v>0</c:v>
                </c:pt>
                <c:pt idx="1">
                  <c:v>2</c:v>
                </c:pt>
                <c:pt idx="2">
                  <c:v>14</c:v>
                </c:pt>
                <c:pt idx="3">
                  <c:v>11</c:v>
                </c:pt>
                <c:pt idx="4">
                  <c:v>9</c:v>
                </c:pt>
                <c:pt idx="5">
                  <c:v>36</c:v>
                </c:pt>
              </c:numCache>
            </c:numRef>
          </c:val>
        </c:ser>
        <c:ser>
          <c:idx val="2"/>
          <c:order val="2"/>
          <c:tx>
            <c:strRef>
              <c:f>'[SCORE DISTRIBUTION IN PRETEST AND POST TEST EXPERIMENTAL GROUP.xlsx]Sheet1'!$M$13:$M$14</c:f>
              <c:strCache>
                <c:ptCount val="1"/>
                <c:pt idx="0">
                  <c:v>Pretest Percentage</c:v>
                </c:pt>
              </c:strCache>
            </c:strRef>
          </c:tx>
          <c:spPr>
            <a:solidFill>
              <a:schemeClr val="accent3"/>
            </a:solidFill>
            <a:ln>
              <a:noFill/>
            </a:ln>
            <a:effectLst/>
          </c:spPr>
          <c:invertIfNegative val="0"/>
          <c:dLbls>
            <c:delete val="1"/>
          </c:dLbls>
          <c:cat>
            <c:multiLvlStrRef>
              <c:f>'[SCORE DISTRIBUTION IN PRETEST AND POST TEST EXPERIMENTAL GROUP.xlsx]Sheet1'!$I$15:$J$20</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GROUP.xlsx]Sheet1'!$M$15:$M$20</c:f>
              <c:numCache>
                <c:formatCode>0.00%</c:formatCode>
                <c:ptCount val="6"/>
                <c:pt idx="0">
                  <c:v>0</c:v>
                </c:pt>
                <c:pt idx="1">
                  <c:v>0.0555555555555556</c:v>
                </c:pt>
                <c:pt idx="2">
                  <c:v>0.388888888888889</c:v>
                </c:pt>
                <c:pt idx="3">
                  <c:v>0.305555555555556</c:v>
                </c:pt>
                <c:pt idx="4">
                  <c:v>0.25</c:v>
                </c:pt>
                <c:pt idx="5" c:formatCode="0%">
                  <c:v>1</c:v>
                </c:pt>
              </c:numCache>
            </c:numRef>
          </c:val>
        </c:ser>
        <c:dLbls>
          <c:showLegendKey val="0"/>
          <c:showVal val="0"/>
          <c:showCatName val="0"/>
          <c:showSerName val="0"/>
          <c:showPercent val="0"/>
          <c:showBubbleSize val="0"/>
        </c:dLbls>
        <c:gapWidth val="246"/>
        <c:overlap val="-28"/>
        <c:axId val="150670720"/>
        <c:axId val="169096320"/>
      </c:barChart>
      <c:lineChart>
        <c:grouping val="standard"/>
        <c:varyColors val="0"/>
        <c:ser>
          <c:idx val="3"/>
          <c:order val="3"/>
          <c:tx>
            <c:strRef>
              <c:f>'[SCORE DISTRIBUTION IN PRETEST AND POST TEST EXPERIMENTAL GROUP.xlsx]Sheet1'!$N$13:$N$14</c:f>
              <c:strCache>
                <c:ptCount val="1"/>
                <c:pt idx="0">
                  <c:v>Posttest Frequency</c:v>
                </c:pt>
              </c:strCache>
            </c:strRef>
          </c:tx>
          <c:spPr>
            <a:ln w="28575" cap="rnd" cmpd="sng" algn="ctr">
              <a:solidFill>
                <a:schemeClr val="accent4"/>
              </a:solidFill>
              <a:prstDash val="solid"/>
              <a:round/>
            </a:ln>
            <a:effectLst/>
          </c:spPr>
          <c:marker>
            <c:symbol val="none"/>
          </c:marker>
          <c:dLbls>
            <c:delete val="1"/>
          </c:dLbls>
          <c:cat>
            <c:multiLvlStrRef>
              <c:f>'[SCORE DISTRIBUTION IN PRETEST AND POST TEST EXPERIMENTAL GROUP.xlsx]Sheet1'!$I$15:$J$20</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GROUP.xlsx]Sheet1'!$N$15:$N$20</c:f>
              <c:numCache>
                <c:formatCode>General</c:formatCode>
                <c:ptCount val="6"/>
                <c:pt idx="0">
                  <c:v>11</c:v>
                </c:pt>
                <c:pt idx="1">
                  <c:v>13</c:v>
                </c:pt>
                <c:pt idx="2">
                  <c:v>9</c:v>
                </c:pt>
                <c:pt idx="3">
                  <c:v>3</c:v>
                </c:pt>
                <c:pt idx="4">
                  <c:v>0</c:v>
                </c:pt>
                <c:pt idx="5">
                  <c:v>36</c:v>
                </c:pt>
              </c:numCache>
            </c:numRef>
          </c:val>
          <c:smooth val="0"/>
        </c:ser>
        <c:ser>
          <c:idx val="4"/>
          <c:order val="4"/>
          <c:tx>
            <c:strRef>
              <c:f>'[SCORE DISTRIBUTION IN PRETEST AND POST TEST EXPERIMENTAL GROUP.xlsx]Sheet1'!$O$13:$O$14</c:f>
              <c:strCache>
                <c:ptCount val="1"/>
                <c:pt idx="0">
                  <c:v>Posttest Percentage</c:v>
                </c:pt>
              </c:strCache>
            </c:strRef>
          </c:tx>
          <c:spPr>
            <a:ln w="28575" cap="rnd" cmpd="sng" algn="ctr">
              <a:solidFill>
                <a:schemeClr val="accent5"/>
              </a:solidFill>
              <a:prstDash val="solid"/>
              <a:round/>
            </a:ln>
            <a:effectLst/>
          </c:spPr>
          <c:marker>
            <c:symbol val="none"/>
          </c:marker>
          <c:dLbls>
            <c:delete val="1"/>
          </c:dLbls>
          <c:cat>
            <c:multiLvlStrRef>
              <c:f>'[SCORE DISTRIBUTION IN PRETEST AND POST TEST EXPERIMENTAL GROUP.xlsx]Sheet1'!$I$15:$J$20</c:f>
              <c:multiLvlStrCache>
                <c:ptCount val="6"/>
                <c:lvl>
                  <c:pt idx="0">
                    <c:v>86-100</c:v>
                  </c:pt>
                  <c:pt idx="1">
                    <c:v>71-85</c:v>
                  </c:pt>
                  <c:pt idx="2">
                    <c:v>56-70</c:v>
                  </c:pt>
                  <c:pt idx="3">
                    <c:v>41-55</c:v>
                  </c:pt>
                  <c:pt idx="4">
                    <c:v>0-40</c:v>
                  </c:pt>
                  <c:pt idx="5">
                    <c:v>Total</c:v>
                  </c:pt>
                </c:lvl>
                <c:lvl>
                  <c:pt idx="0">
                    <c:v>1</c:v>
                  </c:pt>
                  <c:pt idx="1">
                    <c:v>2</c:v>
                  </c:pt>
                  <c:pt idx="2">
                    <c:v>3</c:v>
                  </c:pt>
                  <c:pt idx="3">
                    <c:v>4</c:v>
                  </c:pt>
                  <c:pt idx="4">
                    <c:v>5</c:v>
                  </c:pt>
                </c:lvl>
              </c:multiLvlStrCache>
            </c:multiLvlStrRef>
          </c:cat>
          <c:val>
            <c:numRef>
              <c:f>'[SCORE DISTRIBUTION IN PRETEST AND POST TEST EXPERIMENTAL GROUP.xlsx]Sheet1'!$O$15:$O$20</c:f>
              <c:numCache>
                <c:formatCode>0.00%</c:formatCode>
                <c:ptCount val="6"/>
                <c:pt idx="0">
                  <c:v>0.305555555555556</c:v>
                </c:pt>
                <c:pt idx="1">
                  <c:v>0.361111111111111</c:v>
                </c:pt>
                <c:pt idx="2">
                  <c:v>0.25</c:v>
                </c:pt>
                <c:pt idx="3">
                  <c:v>0.0833333333333333</c:v>
                </c:pt>
                <c:pt idx="4">
                  <c:v>0</c:v>
                </c:pt>
                <c:pt idx="5" c:formatCode="0%">
                  <c:v>1</c:v>
                </c:pt>
              </c:numCache>
            </c:numRef>
          </c:val>
          <c:smooth val="0"/>
        </c:ser>
        <c:dLbls>
          <c:showLegendKey val="0"/>
          <c:showVal val="0"/>
          <c:showCatName val="0"/>
          <c:showSerName val="0"/>
          <c:showPercent val="0"/>
          <c:showBubbleSize val="0"/>
        </c:dLbls>
        <c:marker val="0"/>
        <c:smooth val="0"/>
        <c:axId val="150670720"/>
        <c:axId val="169096320"/>
      </c:lineChart>
      <c:catAx>
        <c:axId val="15067072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69096320"/>
        <c:crosses val="autoZero"/>
        <c:auto val="1"/>
        <c:lblAlgn val="ctr"/>
        <c:lblOffset val="100"/>
        <c:noMultiLvlLbl val="0"/>
      </c:catAx>
      <c:valAx>
        <c:axId val="169096320"/>
        <c:scaling>
          <c:orientation val="minMax"/>
        </c:scaling>
        <c:delete val="0"/>
        <c:axPos val="l"/>
        <c:majorGridlines>
          <c:spPr>
            <a:ln w="9525" cap="flat" cmpd="sng" algn="ctr">
              <a:solidFill>
                <a:schemeClr val="lt1">
                  <a:lumMod val="902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5067072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a7fface-0dd5-406e-a6e2-b364dbb0c013}"/>
      </c:ext>
    </c:extLst>
  </c:chart>
  <c:spPr>
    <a:solidFill>
      <a:schemeClr val="bg1"/>
    </a:solidFill>
    <a:ln w="9525" cap="flat" cmpd="sng" algn="ctr">
      <a:solidFill>
        <a:schemeClr val="tx1">
          <a:lumMod val="15000"/>
          <a:lumOff val="85000"/>
        </a:schemeClr>
      </a:solidFill>
      <a:prstDash val="solid"/>
      <a:round/>
    </a:ln>
    <a:effectLst/>
  </c:spPr>
  <c:txPr>
    <a:bodyPr/>
    <a:lstStyle/>
    <a:p>
      <a:pPr>
        <a:defRPr lang="en-US"/>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39767B-8D3D-4972-B98E-4C7098DFF8D3}">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11</Pages>
  <Words>3794</Words>
  <Characters>21627</Characters>
  <Lines>180</Lines>
  <Paragraphs>50</Paragraphs>
  <TotalTime>104</TotalTime>
  <ScaleCrop>false</ScaleCrop>
  <LinksUpToDate>false</LinksUpToDate>
  <CharactersWithSpaces>25371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Desi Indahsari</cp:lastModifiedBy>
  <dcterms:modified xsi:type="dcterms:W3CDTF">2026-04-01T07:50:41Z</dcterms:modified>
  <dc:title>Template Jurnal Didaktika FKIP UM Palembang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3BE5983992A14B859FC4E1BE90DCE8E1_13</vt:lpwstr>
  </property>
</Properties>
</file>