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D53D7B" w14:textId="77777777" w:rsidR="00893C86" w:rsidRPr="00893C86" w:rsidRDefault="00893C86" w:rsidP="00893C86">
      <w:pPr>
        <w:contextualSpacing/>
        <w:jc w:val="center"/>
        <w:rPr>
          <w:rFonts w:ascii="Times New Roman" w:hAnsi="Times New Roman"/>
          <w:b/>
          <w:bCs/>
          <w:sz w:val="24"/>
          <w:szCs w:val="24"/>
          <w:lang w:val="en-US"/>
        </w:rPr>
      </w:pPr>
      <w:r w:rsidRPr="00893C86">
        <w:rPr>
          <w:rFonts w:ascii="Times New Roman" w:hAnsi="Times New Roman"/>
          <w:b/>
          <w:bCs/>
          <w:sz w:val="24"/>
          <w:szCs w:val="24"/>
          <w:lang w:val="en-US"/>
        </w:rPr>
        <w:t>EXPLORING DIGITAL LITERACY LEVELS OF UNDERGRADUATE STUDENTS: EVIDENCE FROM A SURVEY AT TRIDINANTI UNIVERSITY</w:t>
      </w:r>
    </w:p>
    <w:p w14:paraId="53898AFD" w14:textId="77777777" w:rsidR="00D003BB" w:rsidRPr="00845AEE" w:rsidRDefault="00D003BB" w:rsidP="00D003BB">
      <w:pPr>
        <w:contextualSpacing/>
        <w:jc w:val="center"/>
        <w:rPr>
          <w:rFonts w:ascii="Times New Roman" w:hAnsi="Times New Roman"/>
          <w:b/>
          <w:sz w:val="24"/>
          <w:szCs w:val="24"/>
        </w:rPr>
      </w:pPr>
    </w:p>
    <w:p w14:paraId="21261D7D" w14:textId="405D077C" w:rsidR="00D003BB" w:rsidRDefault="00893C86" w:rsidP="00D003BB">
      <w:pPr>
        <w:ind w:right="283"/>
        <w:jc w:val="center"/>
        <w:rPr>
          <w:rFonts w:ascii="Times New Roman" w:hAnsi="Times New Roman"/>
          <w:b/>
          <w:vertAlign w:val="superscript"/>
          <w:lang w:val="en-ID"/>
        </w:rPr>
      </w:pPr>
      <w:r w:rsidRPr="00893C86">
        <w:rPr>
          <w:rFonts w:ascii="Times New Roman" w:hAnsi="Times New Roman"/>
          <w:b/>
          <w:lang w:val="en-ID"/>
        </w:rPr>
        <w:t xml:space="preserve">Oni </w:t>
      </w:r>
      <w:proofErr w:type="spellStart"/>
      <w:r w:rsidRPr="00893C86">
        <w:rPr>
          <w:rFonts w:ascii="Times New Roman" w:hAnsi="Times New Roman"/>
          <w:b/>
          <w:lang w:val="en-ID"/>
        </w:rPr>
        <w:t>Setiawan</w:t>
      </w:r>
      <w:proofErr w:type="spellEnd"/>
      <w:r w:rsidRPr="00893C86">
        <w:rPr>
          <w:rFonts w:ascii="Times New Roman" w:hAnsi="Times New Roman"/>
          <w:b/>
          <w:lang w:val="en-ID"/>
        </w:rPr>
        <w:t xml:space="preserve"> </w:t>
      </w:r>
      <w:proofErr w:type="spellStart"/>
      <w:r w:rsidRPr="00893C86">
        <w:rPr>
          <w:rFonts w:ascii="Times New Roman" w:hAnsi="Times New Roman"/>
          <w:b/>
          <w:lang w:val="en-ID"/>
        </w:rPr>
        <w:t>Peranginangin</w:t>
      </w:r>
      <w:proofErr w:type="spellEnd"/>
      <w:r w:rsidRPr="00893C86">
        <w:rPr>
          <w:rFonts w:ascii="Times New Roman" w:hAnsi="Times New Roman"/>
          <w:b/>
          <w:lang w:val="en-ID"/>
        </w:rPr>
        <w:t xml:space="preserve">, </w:t>
      </w:r>
      <w:proofErr w:type="spellStart"/>
      <w:r w:rsidRPr="00893C86">
        <w:rPr>
          <w:rFonts w:ascii="Times New Roman" w:hAnsi="Times New Roman"/>
          <w:b/>
          <w:lang w:val="en-ID"/>
        </w:rPr>
        <w:t>Rahma</w:t>
      </w:r>
      <w:proofErr w:type="spellEnd"/>
      <w:r w:rsidRPr="00893C86">
        <w:rPr>
          <w:rFonts w:ascii="Times New Roman" w:hAnsi="Times New Roman"/>
          <w:b/>
          <w:lang w:val="en-ID"/>
        </w:rPr>
        <w:t xml:space="preserve"> </w:t>
      </w:r>
      <w:proofErr w:type="spellStart"/>
      <w:r w:rsidRPr="00893C86">
        <w:rPr>
          <w:rFonts w:ascii="Times New Roman" w:hAnsi="Times New Roman"/>
          <w:b/>
          <w:lang w:val="en-ID"/>
        </w:rPr>
        <w:t>Dianti</w:t>
      </w:r>
      <w:proofErr w:type="spellEnd"/>
      <w:r w:rsidRPr="00893C86">
        <w:rPr>
          <w:rFonts w:ascii="Times New Roman" w:hAnsi="Times New Roman"/>
          <w:b/>
          <w:lang w:val="en-ID"/>
        </w:rPr>
        <w:t xml:space="preserve">, </w:t>
      </w:r>
      <w:proofErr w:type="spellStart"/>
      <w:r w:rsidRPr="00893C86">
        <w:rPr>
          <w:rFonts w:ascii="Times New Roman" w:hAnsi="Times New Roman"/>
          <w:b/>
          <w:lang w:val="en-ID"/>
        </w:rPr>
        <w:t>Heru</w:t>
      </w:r>
      <w:proofErr w:type="spellEnd"/>
      <w:r w:rsidRPr="00893C86">
        <w:rPr>
          <w:rFonts w:ascii="Times New Roman" w:hAnsi="Times New Roman"/>
          <w:b/>
          <w:lang w:val="en-ID"/>
        </w:rPr>
        <w:t xml:space="preserve"> Setiawan</w:t>
      </w:r>
    </w:p>
    <w:p w14:paraId="192D87B7" w14:textId="74C66443" w:rsidR="00893C86" w:rsidRDefault="00893C86" w:rsidP="00D003BB">
      <w:pPr>
        <w:ind w:right="283"/>
        <w:jc w:val="center"/>
        <w:rPr>
          <w:rFonts w:ascii="Times New Roman" w:hAnsi="Times New Roman"/>
          <w:b/>
        </w:rPr>
      </w:pPr>
      <w:proofErr w:type="spellStart"/>
      <w:r w:rsidRPr="00893C86">
        <w:rPr>
          <w:rFonts w:ascii="Times New Roman" w:hAnsi="Times New Roman"/>
          <w:b/>
          <w:i/>
          <w:lang w:val="en-ID"/>
        </w:rPr>
        <w:t>Universitas</w:t>
      </w:r>
      <w:proofErr w:type="spellEnd"/>
      <w:r w:rsidRPr="00893C86">
        <w:rPr>
          <w:rFonts w:ascii="Times New Roman" w:hAnsi="Times New Roman"/>
          <w:b/>
          <w:i/>
          <w:lang w:val="en-ID"/>
        </w:rPr>
        <w:t xml:space="preserve"> </w:t>
      </w:r>
      <w:proofErr w:type="spellStart"/>
      <w:r w:rsidRPr="00893C86">
        <w:rPr>
          <w:rFonts w:ascii="Times New Roman" w:hAnsi="Times New Roman"/>
          <w:b/>
          <w:i/>
          <w:lang w:val="en-ID"/>
        </w:rPr>
        <w:t>Tridinanti</w:t>
      </w:r>
      <w:proofErr w:type="spellEnd"/>
    </w:p>
    <w:p w14:paraId="4360B0FA" w14:textId="77777777" w:rsidR="00893C86" w:rsidRPr="00893C86" w:rsidRDefault="00893C86" w:rsidP="00893C86">
      <w:pPr>
        <w:pStyle w:val="fullauthor"/>
        <w:spacing w:after="120"/>
        <w:rPr>
          <w:b/>
          <w:color w:val="000000"/>
          <w:vertAlign w:val="superscript"/>
          <w:lang w:val="en-ID"/>
        </w:rPr>
      </w:pPr>
      <w:r w:rsidRPr="00893C86">
        <w:rPr>
          <w:b/>
          <w:color w:val="000000"/>
          <w:lang w:val="en-ID"/>
        </w:rPr>
        <w:t>Onicoo098@gmai.com</w:t>
      </w:r>
      <w:r w:rsidRPr="00893C86">
        <w:rPr>
          <w:b/>
          <w:color w:val="000000"/>
          <w:vertAlign w:val="superscript"/>
          <w:lang w:val="en-ID"/>
        </w:rPr>
        <w:t>1</w:t>
      </w:r>
      <w:r w:rsidRPr="00893C86">
        <w:rPr>
          <w:b/>
          <w:color w:val="000000"/>
          <w:lang w:val="en-ID"/>
        </w:rPr>
        <w:t>, rahma_dianti@univ-tridinanti.ac.id</w:t>
      </w:r>
      <w:r w:rsidRPr="00893C86">
        <w:rPr>
          <w:b/>
          <w:color w:val="000000"/>
          <w:vertAlign w:val="superscript"/>
          <w:lang w:val="en-ID"/>
        </w:rPr>
        <w:t>2</w:t>
      </w:r>
      <w:r w:rsidRPr="00893C86">
        <w:rPr>
          <w:b/>
          <w:color w:val="000000"/>
          <w:lang w:val="en-ID"/>
        </w:rPr>
        <w:t>, herusetiawan@univ-tridinanti.ac.id</w:t>
      </w:r>
      <w:r w:rsidRPr="00893C86">
        <w:rPr>
          <w:b/>
          <w:color w:val="000000"/>
          <w:vertAlign w:val="superscript"/>
          <w:lang w:val="en-ID"/>
        </w:rPr>
        <w:t>3</w:t>
      </w:r>
    </w:p>
    <w:p w14:paraId="4E21297B" w14:textId="237A17DC" w:rsidR="001174A6" w:rsidRPr="0093446A"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347C15" w:rsidRPr="00347C15">
        <w:rPr>
          <w:rFonts w:ascii="Times New Roman" w:hAnsi="Times New Roman"/>
        </w:rPr>
        <w:t>The increasing use digital technology in higher education has made digital literacy an essential skill, especially for students who are preparing to become teachers. This study aims to explore the level and key dimensions of digital literacy among undergraduate students of the Faculty of Teacher Training and Education at Tridinanti University. This research used a quantitative approach with a cross-sectional survey design, involving students selected through total sampling. Data were collected using a structured questionnaire covering several dimensions of digital literacy and were analyzed using descriptive statistical methods. The results show that, in general, students already have a good level of digital literacy. They tend to perform well in areas such as ethical awareness, creativity, and collaboration in digital environments. However, some aspects, particularly those related to managing information and maintaining digital connections, are still not as strong. These findings indicate that although students are quite ready to participate in technology-based learning, there is still a need to improve their ability to critically evaluate and manage information. Overall, this study highlights the importance of strengthening digital literacy as part of teacher education programs.</w:t>
      </w:r>
    </w:p>
    <w:p w14:paraId="55CC6EF4" w14:textId="3BC1F75F"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347C15" w:rsidRPr="00347C15">
        <w:rPr>
          <w:rFonts w:ascii="Times New Roman" w:hAnsi="Times New Roman"/>
          <w:i/>
        </w:rPr>
        <w:t xml:space="preserve">digital literacy, </w:t>
      </w:r>
      <w:r w:rsidR="00347C15" w:rsidRPr="00347C15">
        <w:rPr>
          <w:rFonts w:ascii="Times New Roman" w:hAnsi="Times New Roman"/>
          <w:i/>
          <w:lang w:val="en-US"/>
        </w:rPr>
        <w:t>undergraduate students</w:t>
      </w:r>
      <w:r w:rsidR="00347C15" w:rsidRPr="00347C15">
        <w:rPr>
          <w:rFonts w:ascii="Times New Roman" w:hAnsi="Times New Roman"/>
          <w:i/>
        </w:rPr>
        <w:t xml:space="preserve">, higher education, digital </w:t>
      </w:r>
      <w:r w:rsidR="00347C15" w:rsidRPr="00347C15">
        <w:rPr>
          <w:rFonts w:ascii="Times New Roman" w:hAnsi="Times New Roman"/>
          <w:i/>
          <w:lang w:val="en-US"/>
        </w:rPr>
        <w:t>literacy dimensions</w:t>
      </w:r>
      <w:r w:rsidR="00347C15" w:rsidRPr="00347C15">
        <w:rPr>
          <w:rFonts w:ascii="Times New Roman" w:hAnsi="Times New Roman"/>
          <w:i/>
        </w:rPr>
        <w:t>, technology integration</w:t>
      </w:r>
    </w:p>
    <w:p w14:paraId="5A91DBA1" w14:textId="77777777" w:rsidR="007A092F" w:rsidRDefault="007A092F" w:rsidP="007A092F">
      <w:pPr>
        <w:contextualSpacing/>
        <w:rPr>
          <w:rFonts w:ascii="Times New Roman" w:hAnsi="Times New Roman"/>
          <w:color w:val="FF0000"/>
        </w:rPr>
      </w:pPr>
    </w:p>
    <w:p w14:paraId="2830C6A6" w14:textId="18D78E72" w:rsidR="007A092F" w:rsidRPr="00045688"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918E418"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DEC6830" w14:textId="77777777" w:rsidR="00045688" w:rsidRPr="00045688" w:rsidRDefault="00045688" w:rsidP="00045688">
      <w:pPr>
        <w:tabs>
          <w:tab w:val="left" w:pos="8647"/>
        </w:tabs>
        <w:spacing w:before="240"/>
        <w:ind w:left="540" w:right="429"/>
        <w:jc w:val="both"/>
        <w:rPr>
          <w:rFonts w:ascii="Times New Roman" w:hAnsi="Times New Roman"/>
          <w:b/>
          <w:lang w:val="en-ID"/>
        </w:rPr>
      </w:pPr>
      <w:r w:rsidRPr="00045688">
        <w:rPr>
          <w:rFonts w:ascii="Times New Roman" w:hAnsi="Times New Roman"/>
          <w:b/>
          <w:lang w:val="en-ID"/>
        </w:rPr>
        <w:t>MENELITI TINGKAT LITERASI DIGITAL MAHASISWA SARJANA: TEMUAN DARI SURVEI DI UNIVERSITAS TRIDINANTI</w:t>
      </w:r>
    </w:p>
    <w:p w14:paraId="360225BB" w14:textId="1E913679" w:rsidR="00347C15" w:rsidRPr="00347C15" w:rsidRDefault="00D003BB" w:rsidP="00347C15">
      <w:pPr>
        <w:tabs>
          <w:tab w:val="left" w:pos="8647"/>
        </w:tabs>
        <w:spacing w:before="240"/>
        <w:ind w:left="540" w:right="429"/>
        <w:jc w:val="both"/>
        <w:rPr>
          <w:rFonts w:ascii="Times New Roman" w:hAnsi="Times New Roman"/>
        </w:rPr>
      </w:pPr>
      <w:r>
        <w:rPr>
          <w:rFonts w:ascii="Times New Roman" w:hAnsi="Times New Roman"/>
          <w:b/>
        </w:rPr>
        <w:t xml:space="preserve">ABSTRAK: </w:t>
      </w:r>
      <w:r w:rsidR="00347C15" w:rsidRPr="00347C15">
        <w:rPr>
          <w:rFonts w:ascii="Times New Roman" w:hAnsi="Times New Roman"/>
        </w:rPr>
        <w:t>Meningkatnya penggunaan teknologi digital di pendidikan tinggi telah menjadikan literasi digital sebagai keterampilan yang esensial, terutama bagi mahasiswa yang sedang mempersiapkan diri untuk menjadi guru. Penelitian ini bertujuan untuk mengkaji tingkat dan dimensi utama literasi digital di kalangan mahasiswa program sarjana Fakultas Pendidikan dan Pelatihan Guru di Universitas Tridinanti. Penelitian ini menggunakan pendekatan kuantitatif dengan desain survei cross-sectional, yang melibatkan mahasiswa yang dipilih melalui sampling total. Data dikumpulkan menggunakan kuesioner terstruktur yang mencakup beberapa dimensi literasi digital dan dianalisis menggunakan metode statistik deskriptif. Hasil menunjukkan bahwa, secara umum, mahasiswa sudah memiliki tingkat literasi digital yang baik. Mereka cenderung berprestasi baik dalam bidang-bidang seperti kesadaran etika, kreativitas, dan kolaborasi dalam lingkungan digital. Namun, beberapa aspek, terutama yang berkaitan dengan pengelolaan informasi dan pemeliharaan koneksi digital, masih belum sekuat yang diharapkan. Temuan ini menunjukkan bahwa meskipun mahasiswa cukup siap untuk berpartisipasi dalam pembelajaran berbasis teknologi, masih diperlukan peningkatan kemampuan mereka dalam mengevaluasi dan mengelola informasi secara kritis. Secara keseluruhan, penelitian ini menyoroti pentingnya memperkuat literasi digital sebagai bagian dari program pendidikan guru.</w:t>
      </w:r>
    </w:p>
    <w:p w14:paraId="624B2EC0" w14:textId="6DE5AA9C" w:rsidR="00D003BB" w:rsidRPr="004865FD" w:rsidRDefault="00CE64D6" w:rsidP="00347C15">
      <w:pPr>
        <w:tabs>
          <w:tab w:val="left" w:pos="8647"/>
        </w:tabs>
        <w:spacing w:before="240"/>
        <w:ind w:left="540" w:right="429"/>
        <w:jc w:val="both"/>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w:lastRenderedPageBreak/>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184380"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347C15" w:rsidRPr="00347C15">
        <w:rPr>
          <w:rFonts w:ascii="Times New Roman" w:hAnsi="Times New Roman"/>
          <w:i/>
        </w:rPr>
        <w:t>literasi digital, mahasiswa sarjana, pendidikan tinggi, dimensi literasi digital,integrasiteknologi</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67974509" w:rsidR="00885B4C" w:rsidRPr="00620718"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620718">
        <w:rPr>
          <w:position w:val="-6"/>
          <w:sz w:val="70"/>
          <w:lang w:val="en-US" w:eastAsia="id-ID"/>
        </w:rPr>
        <w:t>T</w:t>
      </w:r>
    </w:p>
    <w:p w14:paraId="57FE7F30" w14:textId="602FF8CC" w:rsidR="00620718" w:rsidRPr="00620718" w:rsidRDefault="00620718" w:rsidP="00282CFA">
      <w:pPr>
        <w:pStyle w:val="E-JOURNALBody"/>
        <w:spacing w:line="360" w:lineRule="auto"/>
        <w:ind w:firstLine="0"/>
        <w:contextualSpacing/>
        <w:rPr>
          <w:sz w:val="24"/>
          <w:lang w:eastAsia="id-ID"/>
        </w:rPr>
      </w:pPr>
      <w:r w:rsidRPr="00620718">
        <w:rPr>
          <w:sz w:val="24"/>
          <w:lang w:eastAsia="id-ID"/>
        </w:rPr>
        <w:t>he rapid advancement of digital technology has reshaped how information is accessed, processed, and communicated in contemporary society. In higher education, this transformation has led to a growing emphasis on digital literacy as a fundamental competency that supports students’ academic engagement and participation in technology-mediated learning environments. Digital literacy is no longer limited to the operational use of digital tools, but extends to the ability to critically evaluate information, communicate effectively, and engage responsibly in digital contexts (OECD, 2019; UNESCO, 2018).</w:t>
      </w:r>
    </w:p>
    <w:p w14:paraId="59624B33"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From a conceptual perspective, digital literacy is widely understood as a multidimensional construct. It encompasses a range of competencies, including accessing, analyzing, evaluating, and creating information through digital media (Gilster, 1997). In addition, digital literacy integrates cognitive, social, and ethical dimensions that enable individuals to navigate complex digital environments effectively (Amin et al., 2021; Akkaya et al., 2022). These competencies are particularly important in higher education, where students are required to interact with diverse digital resources and actively participate in online learning processes.</w:t>
      </w:r>
    </w:p>
    <w:p w14:paraId="2AEBB98C"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Previous studies have reported that students’ digital literacy levels vary across different contexts. Kaya and Korucuk (2022) found that university students’ digital literacy tends to be influenced by demographic and contextual factors, often resulting in uneven competency levels. Similarly, Listiana and Sari (2025) reported that students in Indonesia generally demonstrate moderate levels of digital literacy, which are often constrained by access to technology and limited digital experience. In the context of higher education, Farid et al. (2024) observed that students face challenges in evaluating the credibility of digital information, while Simanjuntak et al. (2024) highlighted that although students are proficient in using digital tools, their competencies in critical thinking and digital safety remain relatively limited.</w:t>
      </w:r>
    </w:p>
    <w:p w14:paraId="3039F76B"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 xml:space="preserve">In addition to these findings, digital literacy has also been linked to students’ ability to engage in meaningful learning processes. Malik et al. (2020) emphasize that digital literacy supports students’ learning autonomy, enabling them to manage information and learning resources more effectively. Furthermore, Hanim et al. (2025) point out that patterns of digital media use can influence how students interpret </w:t>
      </w:r>
      <w:r w:rsidRPr="00620718">
        <w:rPr>
          <w:sz w:val="24"/>
          <w:lang w:eastAsia="id-ID"/>
        </w:rPr>
        <w:lastRenderedPageBreak/>
        <w:t>information and develop their learning strategies. This suggests that digital literacy is shaped not only by formal education but also by students’ daily interactions with digital technologies.</w:t>
      </w:r>
    </w:p>
    <w:p w14:paraId="3AD58941"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Despite the growing body of research, most previous studies have focused on general student populations without specifically addressing the context of teacher education. This represents a significant gap, considering that prospective teachers are expected to integrate digital technologies into their future teaching practices. Moreover, prior research often emphasizes overall levels of digital literacy without examining how competencies are distributed within specific institutional settings. Therefore, a more context-specific investigation is needed to provide a clearer understanding of digital literacy among teacher education students.</w:t>
      </w:r>
    </w:p>
    <w:p w14:paraId="2CFF6419"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The increasing reliance on digital platforms in post-pandemic learning environments further highlights the urgency of this issue. Learning activities are now frequently conducted through online platforms, requiring students to not only access information but also evaluate its credibility, manage digital content, and collaborate effectively in virtual settings. Although students appear to adapt to these changes, it remains necessary to examine whether their digital literacy competencies are sufficiently developed to meet the demands of digital learning environments.</w:t>
      </w:r>
    </w:p>
    <w:p w14:paraId="4FF0BE86" w14:textId="5CAFD29F" w:rsidR="004A0A1D" w:rsidRDefault="00620718" w:rsidP="00282CFA">
      <w:pPr>
        <w:pStyle w:val="E-JOURNALBody"/>
        <w:spacing w:line="360" w:lineRule="auto"/>
        <w:ind w:firstLine="709"/>
        <w:contextualSpacing/>
        <w:rPr>
          <w:sz w:val="24"/>
        </w:rPr>
      </w:pPr>
      <w:r w:rsidRPr="00620718">
        <w:rPr>
          <w:sz w:val="24"/>
          <w:lang w:eastAsia="id-ID"/>
        </w:rPr>
        <w:t>Based on these considerations, this study aims to examine the level of digital literacy among undergraduate students of the Faculty of Teacher Training and Education at Tridinanti University. By focusing on this specific context, the study seeks to provide empirical evidence that contributes to a deeper understanding of students’ digital readiness, particularly in preparing prospective teachers to face the challenges of technology-integrated education.</w:t>
      </w:r>
      <w:r w:rsidR="00885B4C" w:rsidRPr="00175671">
        <w:rPr>
          <w:sz w:val="24"/>
        </w:rPr>
        <w:t xml:space="preserve"> </w:t>
      </w:r>
    </w:p>
    <w:p w14:paraId="140635AA" w14:textId="77777777" w:rsidR="00362B06" w:rsidRDefault="00362B06" w:rsidP="00282CFA">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A41A9E9" w14:textId="20217C67" w:rsidR="00362B06" w:rsidRDefault="0096184D" w:rsidP="0096184D">
      <w:pPr>
        <w:pStyle w:val="ListParagraph"/>
        <w:numPr>
          <w:ilvl w:val="0"/>
          <w:numId w:val="5"/>
        </w:numPr>
        <w:spacing w:line="360" w:lineRule="auto"/>
        <w:ind w:left="0" w:firstLine="0"/>
        <w:jc w:val="both"/>
      </w:pPr>
      <w:r>
        <w:t>Research Design</w:t>
      </w:r>
    </w:p>
    <w:p w14:paraId="3FAE314B" w14:textId="1038FDFE" w:rsidR="0096184D" w:rsidRDefault="0096184D" w:rsidP="0096184D">
      <w:pPr>
        <w:pStyle w:val="ListParagraph"/>
        <w:spacing w:line="360" w:lineRule="auto"/>
        <w:ind w:left="0" w:firstLine="709"/>
        <w:jc w:val="both"/>
      </w:pPr>
      <w:r w:rsidRPr="0096184D">
        <w:t xml:space="preserve">This research used a quantitative approach with a survey design to describe the level of students’ digital literacy. A quantitative approach was chosen because it allows the researcher to examine phenomena using measurable data and present the findings in a systematic way (Creswell, 2012). The survey method was considered suitable for this study since it enables data collection from a group of respondents efficiently, making it </w:t>
      </w:r>
      <w:r w:rsidRPr="0096184D">
        <w:lastRenderedPageBreak/>
        <w:t>possible to identify general patterns related to students’ digital literacy. Given that this study employed a survey design, a sufficiently large sample size was required to ensure that the data adequately represent the target population. In addition, the study applied a cross-sectional design, where the data were collected at one point in time to reflect the current condition of students’ competencies.</w:t>
      </w:r>
    </w:p>
    <w:p w14:paraId="7574B7D6" w14:textId="2B0E03D9" w:rsidR="0096184D" w:rsidRDefault="0096184D" w:rsidP="0096184D">
      <w:pPr>
        <w:pStyle w:val="ListParagraph"/>
        <w:numPr>
          <w:ilvl w:val="0"/>
          <w:numId w:val="5"/>
        </w:numPr>
        <w:spacing w:line="360" w:lineRule="auto"/>
        <w:jc w:val="both"/>
      </w:pPr>
      <w:r>
        <w:t>Research Participation</w:t>
      </w:r>
    </w:p>
    <w:p w14:paraId="53B66B8E" w14:textId="50F69C9B" w:rsidR="0096184D" w:rsidRDefault="0096184D" w:rsidP="0096184D">
      <w:pPr>
        <w:pStyle w:val="ListParagraph"/>
        <w:spacing w:line="360" w:lineRule="auto"/>
        <w:ind w:left="0" w:firstLine="709"/>
        <w:jc w:val="both"/>
      </w:pPr>
      <w:r w:rsidRPr="0096184D">
        <w:t xml:space="preserve">The study was carried out at the Faculty of Teacher Training and Education, </w:t>
      </w:r>
      <w:proofErr w:type="spellStart"/>
      <w:r w:rsidRPr="0096184D">
        <w:t>Tridinanti</w:t>
      </w:r>
      <w:proofErr w:type="spellEnd"/>
      <w:r w:rsidRPr="0096184D">
        <w:t xml:space="preserve"> University. The participants were undergraduate students from the Indonesian Language Education and English Education programs in the academic year 2024/2025. In this research, total sampling was applied, Total sampling can be defined as a purposive sampling technique in which all members of the target population referring to individuals who share particular characteristics are included in the study (</w:t>
      </w:r>
      <w:proofErr w:type="spellStart"/>
      <w:r w:rsidRPr="0096184D">
        <w:t>Mujere</w:t>
      </w:r>
      <w:proofErr w:type="spellEnd"/>
      <w:r w:rsidRPr="0096184D">
        <w:t>, 2016). Total sampling meaning that all members of the population were involved as respondents in order to obtain a more comprehensive representation of the data (Creswell, 2012; Cohen, Manion, &amp; Morrison, 2007). From the overall population, 144 responses were collected and considered valid for analysis, while incomplete responses were not included in the final dataset.</w:t>
      </w:r>
    </w:p>
    <w:p w14:paraId="1FE2D428" w14:textId="5CAABB93" w:rsidR="0096184D" w:rsidRDefault="009C6545" w:rsidP="0096184D">
      <w:pPr>
        <w:pStyle w:val="ListParagraph"/>
        <w:numPr>
          <w:ilvl w:val="0"/>
          <w:numId w:val="5"/>
        </w:numPr>
        <w:spacing w:line="360" w:lineRule="auto"/>
        <w:jc w:val="both"/>
      </w:pPr>
      <w:r>
        <w:t>Technique for Collecting Data</w:t>
      </w:r>
    </w:p>
    <w:p w14:paraId="1CEAE646" w14:textId="5945FAEB" w:rsidR="009C6545" w:rsidRDefault="009C6545" w:rsidP="009C6545">
      <w:pPr>
        <w:pStyle w:val="ListParagraph"/>
        <w:spacing w:line="360" w:lineRule="auto"/>
        <w:ind w:left="0" w:firstLine="720"/>
        <w:jc w:val="both"/>
      </w:pPr>
      <w:r w:rsidRPr="009C6545">
        <w:t>Data collection was conducted using a structured questionnaire adapted from Amin et al. (2021), which has been widely used to measure digital literacy in higher education contexts. The questionnaire covered several dimensions of digital literacy, including communication, collaboration, critical thinking, creativity, citizenship, character, curation, copyright, and connectedness. Each statement was rated using a Likert scale, allowing respondents to indicate their level of agreement to select the option that most accurately reflects their views or feelings toward a given statement or question (</w:t>
      </w:r>
      <w:proofErr w:type="spellStart"/>
      <w:r w:rsidRPr="009C6545">
        <w:t>McCombes</w:t>
      </w:r>
      <w:proofErr w:type="spellEnd"/>
      <w:r w:rsidRPr="009C6545">
        <w:t>, 2022). This type of instrument was chosen to ensure consistency in responses and to facilitate the process of quantitative data analysis (Creswell, 2012).</w:t>
      </w:r>
    </w:p>
    <w:p w14:paraId="6CB7FD95" w14:textId="7811C1D6" w:rsidR="009C6545" w:rsidRDefault="009C6545" w:rsidP="009C6545">
      <w:pPr>
        <w:pStyle w:val="ListParagraph"/>
        <w:numPr>
          <w:ilvl w:val="0"/>
          <w:numId w:val="5"/>
        </w:numPr>
        <w:spacing w:line="360" w:lineRule="auto"/>
        <w:jc w:val="both"/>
      </w:pPr>
      <w:r>
        <w:t>Technique for Analyzing Data</w:t>
      </w:r>
    </w:p>
    <w:p w14:paraId="5C4630F7" w14:textId="23C3CAA8" w:rsidR="009C6545" w:rsidRDefault="009C6545" w:rsidP="009C6545">
      <w:pPr>
        <w:pStyle w:val="ListParagraph"/>
        <w:spacing w:line="360" w:lineRule="auto"/>
        <w:ind w:left="0" w:firstLine="720"/>
        <w:jc w:val="both"/>
      </w:pPr>
      <w:r w:rsidRPr="009C6545">
        <w:t xml:space="preserve">The data obtained from the questionnaire were analyzed using descriptive statistics. The analysis focused on identifying the overall level of digital literacy as well as its distribution across different dimensions. Techniques such as mean scores, frequencies, and percentage distributions were used to interpret the findings and to </w:t>
      </w:r>
      <w:r w:rsidRPr="009C6545">
        <w:lastRenderedPageBreak/>
        <w:t>highlight key patterns in the data. Through this approach, the study provides a clear overview of students’ digital literacy within the context of teacher education.</w:t>
      </w:r>
    </w:p>
    <w:p w14:paraId="294265CD" w14:textId="77777777" w:rsidR="009C6545" w:rsidRPr="0096184D" w:rsidRDefault="009C6545" w:rsidP="009C6545">
      <w:pPr>
        <w:pStyle w:val="ListParagraph"/>
        <w:spacing w:line="360" w:lineRule="auto"/>
        <w:ind w:left="0" w:firstLine="720"/>
        <w:jc w:val="both"/>
      </w:pPr>
    </w:p>
    <w:p w14:paraId="060D0812" w14:textId="64CEDE5F" w:rsidR="00763467" w:rsidRPr="00282CFA" w:rsidRDefault="00362B06" w:rsidP="00282CFA">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EFAC006" w14:textId="77777777" w:rsidR="00282CFA" w:rsidRPr="00282CFA" w:rsidRDefault="00282CFA" w:rsidP="00282CFA">
      <w:pPr>
        <w:spacing w:line="360" w:lineRule="auto"/>
        <w:ind w:firstLine="709"/>
        <w:jc w:val="both"/>
        <w:rPr>
          <w:rFonts w:ascii="Times New Roman" w:hAnsi="Times New Roman"/>
          <w:sz w:val="24"/>
          <w:szCs w:val="24"/>
        </w:rPr>
      </w:pPr>
      <w:r w:rsidRPr="00282CFA">
        <w:rPr>
          <w:rFonts w:ascii="Times New Roman" w:hAnsi="Times New Roman"/>
          <w:sz w:val="24"/>
          <w:szCs w:val="24"/>
        </w:rPr>
        <w:t xml:space="preserve">The level of students’ digital literacy in this study was identified from the total scores obtained through the questionnaire. Each participant responded to a series of statements using a Likert scale, and these responses were then converted into numerical values and accumulated to form an overall score for each respondent. Based on these total scores, students were grouped into four categories of digital literacy: very high, high, moderate, and low. </w:t>
      </w:r>
    </w:p>
    <w:p w14:paraId="7306B150" w14:textId="00E3C6A6" w:rsidR="00594560" w:rsidRDefault="00282CFA" w:rsidP="00282CFA">
      <w:pPr>
        <w:spacing w:line="360" w:lineRule="auto"/>
        <w:ind w:firstLine="709"/>
        <w:jc w:val="both"/>
        <w:rPr>
          <w:rFonts w:ascii="Times New Roman" w:hAnsi="Times New Roman"/>
          <w:sz w:val="24"/>
          <w:szCs w:val="24"/>
        </w:rPr>
      </w:pPr>
      <w:r w:rsidRPr="00282CFA">
        <w:rPr>
          <w:rFonts w:ascii="Times New Roman" w:hAnsi="Times New Roman"/>
          <w:sz w:val="24"/>
          <w:szCs w:val="24"/>
        </w:rPr>
        <w:t>To make the results easier to interpret, the total scores were first transformed into percentage ranges and then classified according to predetermined criteria. Through this process, the researcher was able to present a clearer picture of students’ digital literacy levels, as well as observe how competencies are distributed across all respondents in a more systematic manner.</w:t>
      </w:r>
    </w:p>
    <w:p w14:paraId="34700D3B" w14:textId="5D7F0AD4" w:rsidR="00282CFA" w:rsidRDefault="00282CFA" w:rsidP="005E5132">
      <w:pPr>
        <w:pStyle w:val="ListParagraph"/>
        <w:numPr>
          <w:ilvl w:val="0"/>
          <w:numId w:val="6"/>
        </w:numPr>
        <w:spacing w:line="360" w:lineRule="auto"/>
        <w:ind w:left="709" w:hanging="425"/>
        <w:jc w:val="both"/>
      </w:pPr>
      <w:r>
        <w:t>Level of Students Digital Literacy</w:t>
      </w:r>
    </w:p>
    <w:p w14:paraId="0314C61F" w14:textId="77777777" w:rsidR="005E5132" w:rsidRDefault="005E5132" w:rsidP="005E5132">
      <w:pPr>
        <w:pStyle w:val="ListParagraph"/>
        <w:spacing w:line="360" w:lineRule="auto"/>
        <w:ind w:left="0" w:firstLine="709"/>
        <w:jc w:val="both"/>
      </w:pPr>
      <w:r>
        <w:t>Based on the classification results, the majority of students fall into the high category. Specifically, 51.39% of students are categorized as having a high level of digital literacy, while 12.50% are in the very high category. This means that more than half of the respondents already demonstrate strong digital competencies and are able to use digital technology effectively in supporting their academic activities.</w:t>
      </w:r>
    </w:p>
    <w:p w14:paraId="6DCF5322" w14:textId="2E03DDF8" w:rsidR="005E5132" w:rsidRDefault="005E5132" w:rsidP="005E5132">
      <w:pPr>
        <w:pStyle w:val="ListParagraph"/>
        <w:spacing w:line="360" w:lineRule="auto"/>
        <w:ind w:left="0" w:firstLine="709"/>
        <w:jc w:val="both"/>
      </w:pPr>
      <w:r>
        <w:t>In addition, 30.56% of students are classified in the moderate category. This indicates that a considerable number of students still possess only sufficient or basic digital skills and may not yet fully master more complex uses of technology. Meanwhile, 5.55% of students fall into the low category, showing that a small portion of respondents still experience difficulties in using digital tools effectively.</w:t>
      </w:r>
    </w:p>
    <w:p w14:paraId="400767A2" w14:textId="64D236F9" w:rsidR="005E5132" w:rsidRPr="005E5132" w:rsidRDefault="005E5132" w:rsidP="005E5132">
      <w:pPr>
        <w:pBdr>
          <w:bottom w:val="single" w:sz="4" w:space="1" w:color="auto"/>
        </w:pBdr>
        <w:ind w:right="261"/>
        <w:rPr>
          <w:rFonts w:ascii="Times New Roman" w:hAnsi="Times New Roman"/>
          <w:color w:val="000000"/>
          <w:sz w:val="20"/>
          <w:szCs w:val="20"/>
        </w:rPr>
      </w:pPr>
      <w:r w:rsidRPr="005E5132">
        <w:rPr>
          <w:rFonts w:ascii="Times New Roman" w:hAnsi="Times New Roman"/>
          <w:i/>
          <w:color w:val="000000"/>
          <w:sz w:val="20"/>
          <w:szCs w:val="20"/>
          <w:lang w:val="en-US"/>
        </w:rPr>
        <w:t>Table 1.</w:t>
      </w:r>
      <w:r w:rsidRPr="005E5132">
        <w:rPr>
          <w:rFonts w:ascii="Times New Roman" w:hAnsi="Times New Roman"/>
          <w:color w:val="000000"/>
          <w:sz w:val="20"/>
          <w:szCs w:val="20"/>
          <w:lang w:val="en-US"/>
        </w:rPr>
        <w:t xml:space="preserve"> </w:t>
      </w:r>
      <w:r w:rsidRPr="005E5132">
        <w:rPr>
          <w:rFonts w:ascii="Times New Roman" w:hAnsi="Times New Roman"/>
          <w:color w:val="000000"/>
          <w:sz w:val="20"/>
          <w:szCs w:val="20"/>
        </w:rPr>
        <w:t xml:space="preserve">Result of Digital literacy Skills Level </w:t>
      </w:r>
    </w:p>
    <w:tbl>
      <w:tblPr>
        <w:tblW w:w="8613" w:type="dxa"/>
        <w:tblLayout w:type="fixed"/>
        <w:tblLook w:val="0000" w:firstRow="0" w:lastRow="0" w:firstColumn="0" w:lastColumn="0" w:noHBand="0" w:noVBand="0"/>
      </w:tblPr>
      <w:tblGrid>
        <w:gridCol w:w="1809"/>
        <w:gridCol w:w="709"/>
        <w:gridCol w:w="1276"/>
        <w:gridCol w:w="1417"/>
        <w:gridCol w:w="1418"/>
        <w:gridCol w:w="1984"/>
      </w:tblGrid>
      <w:tr w:rsidR="005E5132" w:rsidRPr="00576F36" w14:paraId="249B3391" w14:textId="77777777" w:rsidTr="005E5132">
        <w:trPr>
          <w:trHeight w:val="256"/>
        </w:trPr>
        <w:tc>
          <w:tcPr>
            <w:tcW w:w="1809" w:type="dxa"/>
            <w:tcBorders>
              <w:bottom w:val="single" w:sz="4" w:space="0" w:color="auto"/>
            </w:tcBorders>
          </w:tcPr>
          <w:p w14:paraId="771F9B0C" w14:textId="77777777" w:rsidR="005E5132" w:rsidRPr="0008452A" w:rsidRDefault="005E5132" w:rsidP="0007323F">
            <w:pPr>
              <w:pStyle w:val="NoSpacing"/>
              <w:tabs>
                <w:tab w:val="left" w:pos="720"/>
              </w:tabs>
              <w:jc w:val="center"/>
              <w:rPr>
                <w:rFonts w:ascii="Times New Roman" w:hAnsi="Times New Roman"/>
                <w:b/>
                <w:color w:val="000000"/>
                <w:sz w:val="18"/>
              </w:rPr>
            </w:pPr>
            <w:r>
              <w:rPr>
                <w:rFonts w:ascii="Times New Roman" w:hAnsi="Times New Roman"/>
                <w:b/>
                <w:color w:val="000000"/>
                <w:sz w:val="18"/>
              </w:rPr>
              <w:t>Faculty</w:t>
            </w:r>
          </w:p>
        </w:tc>
        <w:tc>
          <w:tcPr>
            <w:tcW w:w="709" w:type="dxa"/>
            <w:tcBorders>
              <w:bottom w:val="single" w:sz="4" w:space="0" w:color="auto"/>
            </w:tcBorders>
          </w:tcPr>
          <w:p w14:paraId="128C1C77" w14:textId="77777777" w:rsidR="005E5132" w:rsidRPr="00576F36" w:rsidRDefault="005E5132" w:rsidP="0007323F">
            <w:pPr>
              <w:pStyle w:val="NoSpacing"/>
              <w:tabs>
                <w:tab w:val="left" w:pos="720"/>
              </w:tabs>
              <w:jc w:val="center"/>
              <w:rPr>
                <w:rFonts w:ascii="Times New Roman" w:hAnsi="Times New Roman"/>
                <w:b/>
                <w:color w:val="000000"/>
                <w:sz w:val="18"/>
                <w:lang w:val="id-ID"/>
              </w:rPr>
            </w:pPr>
            <w:r w:rsidRPr="00576F36">
              <w:rPr>
                <w:rFonts w:ascii="Times New Roman" w:hAnsi="Times New Roman"/>
                <w:b/>
                <w:color w:val="000000"/>
                <w:sz w:val="18"/>
                <w:lang w:val="id-ID"/>
              </w:rPr>
              <w:t>N</w:t>
            </w:r>
          </w:p>
        </w:tc>
        <w:tc>
          <w:tcPr>
            <w:tcW w:w="1276" w:type="dxa"/>
            <w:tcBorders>
              <w:bottom w:val="single" w:sz="4" w:space="0" w:color="auto"/>
            </w:tcBorders>
          </w:tcPr>
          <w:p w14:paraId="242CB382" w14:textId="77777777" w:rsidR="005E5132" w:rsidRPr="00F878CA" w:rsidRDefault="005E5132" w:rsidP="0007323F">
            <w:pPr>
              <w:pStyle w:val="NoSpacing"/>
              <w:tabs>
                <w:tab w:val="left" w:pos="720"/>
              </w:tabs>
              <w:jc w:val="center"/>
              <w:rPr>
                <w:rFonts w:ascii="Times New Roman" w:hAnsi="Times New Roman"/>
                <w:b/>
                <w:color w:val="000000"/>
                <w:sz w:val="18"/>
              </w:rPr>
            </w:pPr>
            <w:r>
              <w:rPr>
                <w:rFonts w:ascii="Times New Roman" w:hAnsi="Times New Roman"/>
                <w:b/>
                <w:color w:val="000000"/>
                <w:sz w:val="18"/>
              </w:rPr>
              <w:t xml:space="preserve">Highest </w:t>
            </w:r>
          </w:p>
        </w:tc>
        <w:tc>
          <w:tcPr>
            <w:tcW w:w="1417" w:type="dxa"/>
            <w:tcBorders>
              <w:bottom w:val="single" w:sz="4" w:space="0" w:color="auto"/>
            </w:tcBorders>
          </w:tcPr>
          <w:p w14:paraId="61EF577E" w14:textId="77777777" w:rsidR="005E5132" w:rsidRPr="00F878CA" w:rsidRDefault="005E5132" w:rsidP="0007323F">
            <w:pPr>
              <w:pStyle w:val="NoSpacing"/>
              <w:tabs>
                <w:tab w:val="left" w:pos="720"/>
              </w:tabs>
              <w:jc w:val="center"/>
              <w:rPr>
                <w:rFonts w:ascii="Times New Roman" w:hAnsi="Times New Roman"/>
                <w:b/>
                <w:color w:val="000000"/>
                <w:sz w:val="18"/>
              </w:rPr>
            </w:pPr>
            <w:r>
              <w:rPr>
                <w:rFonts w:ascii="Times New Roman" w:hAnsi="Times New Roman"/>
                <w:b/>
                <w:color w:val="000000"/>
                <w:sz w:val="16"/>
              </w:rPr>
              <w:t>Lowest</w:t>
            </w:r>
          </w:p>
        </w:tc>
        <w:tc>
          <w:tcPr>
            <w:tcW w:w="1418" w:type="dxa"/>
            <w:tcBorders>
              <w:bottom w:val="single" w:sz="4" w:space="0" w:color="auto"/>
            </w:tcBorders>
            <w:shd w:val="clear" w:color="auto" w:fill="auto"/>
          </w:tcPr>
          <w:p w14:paraId="35FC71BD" w14:textId="77777777" w:rsidR="005E5132" w:rsidRPr="00F878CA" w:rsidRDefault="005E5132" w:rsidP="0007323F">
            <w:pPr>
              <w:jc w:val="center"/>
              <w:rPr>
                <w:rFonts w:ascii="Times New Roman" w:hAnsi="Times New Roman"/>
                <w:b/>
                <w:sz w:val="16"/>
                <w:szCs w:val="16"/>
              </w:rPr>
            </w:pPr>
            <w:r>
              <w:rPr>
                <w:rFonts w:ascii="Times New Roman" w:hAnsi="Times New Roman"/>
                <w:b/>
                <w:sz w:val="16"/>
                <w:szCs w:val="16"/>
              </w:rPr>
              <w:t>Mean Score</w:t>
            </w:r>
          </w:p>
        </w:tc>
        <w:tc>
          <w:tcPr>
            <w:tcW w:w="1984" w:type="dxa"/>
            <w:tcBorders>
              <w:bottom w:val="single" w:sz="4" w:space="0" w:color="auto"/>
            </w:tcBorders>
          </w:tcPr>
          <w:p w14:paraId="30A427E4" w14:textId="77777777" w:rsidR="005E5132" w:rsidRPr="00576F36" w:rsidRDefault="005E5132" w:rsidP="0007323F">
            <w:pPr>
              <w:jc w:val="center"/>
            </w:pPr>
            <w:r>
              <w:rPr>
                <w:rFonts w:ascii="Times New Roman" w:hAnsi="Times New Roman"/>
                <w:b/>
                <w:sz w:val="16"/>
                <w:szCs w:val="16"/>
              </w:rPr>
              <w:t>Standard Deviation</w:t>
            </w:r>
          </w:p>
        </w:tc>
      </w:tr>
      <w:tr w:rsidR="005E5132" w14:paraId="3FFD2302" w14:textId="77777777" w:rsidTr="005E5132">
        <w:trPr>
          <w:trHeight w:val="256"/>
        </w:trPr>
        <w:tc>
          <w:tcPr>
            <w:tcW w:w="1809" w:type="dxa"/>
            <w:tcBorders>
              <w:top w:val="single" w:sz="4" w:space="0" w:color="auto"/>
            </w:tcBorders>
          </w:tcPr>
          <w:p w14:paraId="7115FE11" w14:textId="77777777" w:rsidR="005E5132" w:rsidRPr="0008452A" w:rsidRDefault="005E5132" w:rsidP="0007323F">
            <w:pPr>
              <w:pStyle w:val="NoSpacing"/>
              <w:tabs>
                <w:tab w:val="left" w:pos="720"/>
              </w:tabs>
              <w:jc w:val="center"/>
              <w:rPr>
                <w:rFonts w:ascii="Times New Roman" w:hAnsi="Times New Roman"/>
                <w:color w:val="000000"/>
                <w:sz w:val="16"/>
              </w:rPr>
            </w:pPr>
            <w:r>
              <w:rPr>
                <w:rFonts w:ascii="Times New Roman" w:hAnsi="Times New Roman"/>
                <w:color w:val="000000"/>
                <w:sz w:val="16"/>
              </w:rPr>
              <w:t>Indonesian Education Department</w:t>
            </w:r>
          </w:p>
        </w:tc>
        <w:tc>
          <w:tcPr>
            <w:tcW w:w="709" w:type="dxa"/>
            <w:tcBorders>
              <w:top w:val="single" w:sz="4" w:space="0" w:color="auto"/>
            </w:tcBorders>
          </w:tcPr>
          <w:p w14:paraId="73C0BB72"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90</w:t>
            </w:r>
          </w:p>
        </w:tc>
        <w:tc>
          <w:tcPr>
            <w:tcW w:w="1276" w:type="dxa"/>
            <w:tcBorders>
              <w:top w:val="single" w:sz="4" w:space="0" w:color="auto"/>
            </w:tcBorders>
          </w:tcPr>
          <w:p w14:paraId="43E40C8F"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189</w:t>
            </w:r>
          </w:p>
        </w:tc>
        <w:tc>
          <w:tcPr>
            <w:tcW w:w="1417" w:type="dxa"/>
            <w:tcBorders>
              <w:top w:val="single" w:sz="4" w:space="0" w:color="auto"/>
            </w:tcBorders>
          </w:tcPr>
          <w:p w14:paraId="1EC2A570" w14:textId="77777777" w:rsidR="005E5132" w:rsidRPr="00F878CA" w:rsidRDefault="005E5132" w:rsidP="0007323F">
            <w:pPr>
              <w:pStyle w:val="NoSpacing"/>
              <w:tabs>
                <w:tab w:val="left" w:pos="720"/>
              </w:tabs>
              <w:jc w:val="center"/>
              <w:rPr>
                <w:rFonts w:ascii="Times New Roman" w:hAnsi="Times New Roman"/>
                <w:color w:val="000000"/>
                <w:sz w:val="18"/>
              </w:rPr>
            </w:pPr>
            <w:r w:rsidRPr="00F878CA">
              <w:rPr>
                <w:rFonts w:ascii="Times New Roman" w:hAnsi="Times New Roman"/>
                <w:color w:val="000000"/>
                <w:sz w:val="18"/>
              </w:rPr>
              <w:t>48</w:t>
            </w:r>
          </w:p>
        </w:tc>
        <w:tc>
          <w:tcPr>
            <w:tcW w:w="1418" w:type="dxa"/>
            <w:tcBorders>
              <w:top w:val="single" w:sz="4" w:space="0" w:color="auto"/>
            </w:tcBorders>
            <w:shd w:val="clear" w:color="auto" w:fill="auto"/>
          </w:tcPr>
          <w:p w14:paraId="2C518B36" w14:textId="77777777" w:rsidR="005E5132" w:rsidRDefault="005E5132" w:rsidP="0007323F">
            <w:pPr>
              <w:jc w:val="center"/>
            </w:pPr>
            <w:r w:rsidRPr="00746F78">
              <w:rPr>
                <w:rFonts w:ascii="Times New Roman" w:hAnsi="Times New Roman"/>
                <w:sz w:val="16"/>
                <w:szCs w:val="16"/>
              </w:rPr>
              <w:t>128.98</w:t>
            </w:r>
          </w:p>
        </w:tc>
        <w:tc>
          <w:tcPr>
            <w:tcW w:w="1984" w:type="dxa"/>
            <w:tcBorders>
              <w:top w:val="single" w:sz="4" w:space="0" w:color="auto"/>
            </w:tcBorders>
          </w:tcPr>
          <w:p w14:paraId="4F566212" w14:textId="77777777" w:rsidR="005E5132" w:rsidRDefault="005E5132" w:rsidP="0007323F">
            <w:pPr>
              <w:jc w:val="center"/>
            </w:pPr>
            <w:r w:rsidRPr="00746F78">
              <w:rPr>
                <w:rFonts w:ascii="Times New Roman" w:hAnsi="Times New Roman"/>
                <w:sz w:val="16"/>
                <w:szCs w:val="16"/>
              </w:rPr>
              <w:t>2</w:t>
            </w:r>
            <w:r>
              <w:rPr>
                <w:rFonts w:ascii="Times New Roman" w:hAnsi="Times New Roman"/>
                <w:sz w:val="16"/>
                <w:szCs w:val="16"/>
              </w:rPr>
              <w:t>4.15</w:t>
            </w:r>
          </w:p>
        </w:tc>
      </w:tr>
      <w:tr w:rsidR="005E5132" w14:paraId="1CD7B0C2" w14:textId="77777777" w:rsidTr="005E5132">
        <w:trPr>
          <w:trHeight w:val="272"/>
        </w:trPr>
        <w:tc>
          <w:tcPr>
            <w:tcW w:w="1809" w:type="dxa"/>
            <w:tcBorders>
              <w:bottom w:val="single" w:sz="4" w:space="0" w:color="auto"/>
            </w:tcBorders>
          </w:tcPr>
          <w:p w14:paraId="6D34CEBA" w14:textId="77777777" w:rsidR="005E5132" w:rsidRPr="00F878CA" w:rsidRDefault="005E5132" w:rsidP="0007323F">
            <w:pPr>
              <w:pStyle w:val="NoSpacing"/>
              <w:tabs>
                <w:tab w:val="left" w:pos="720"/>
              </w:tabs>
              <w:jc w:val="center"/>
              <w:rPr>
                <w:rFonts w:ascii="Times New Roman" w:hAnsi="Times New Roman"/>
                <w:color w:val="000000"/>
                <w:sz w:val="16"/>
              </w:rPr>
            </w:pPr>
            <w:r>
              <w:rPr>
                <w:rFonts w:ascii="Times New Roman" w:hAnsi="Times New Roman"/>
                <w:color w:val="000000"/>
                <w:sz w:val="16"/>
              </w:rPr>
              <w:t>English Education Department</w:t>
            </w:r>
          </w:p>
        </w:tc>
        <w:tc>
          <w:tcPr>
            <w:tcW w:w="709" w:type="dxa"/>
            <w:tcBorders>
              <w:bottom w:val="single" w:sz="4" w:space="0" w:color="auto"/>
            </w:tcBorders>
          </w:tcPr>
          <w:p w14:paraId="1DEBAEF5"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54</w:t>
            </w:r>
          </w:p>
        </w:tc>
        <w:tc>
          <w:tcPr>
            <w:tcW w:w="1276" w:type="dxa"/>
            <w:tcBorders>
              <w:bottom w:val="single" w:sz="4" w:space="0" w:color="auto"/>
            </w:tcBorders>
          </w:tcPr>
          <w:p w14:paraId="75A3AA5E"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166</w:t>
            </w:r>
          </w:p>
        </w:tc>
        <w:tc>
          <w:tcPr>
            <w:tcW w:w="1417" w:type="dxa"/>
            <w:tcBorders>
              <w:bottom w:val="single" w:sz="4" w:space="0" w:color="auto"/>
            </w:tcBorders>
          </w:tcPr>
          <w:p w14:paraId="22CBCF49"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59</w:t>
            </w:r>
          </w:p>
        </w:tc>
        <w:tc>
          <w:tcPr>
            <w:tcW w:w="1418" w:type="dxa"/>
            <w:tcBorders>
              <w:bottom w:val="single" w:sz="4" w:space="0" w:color="auto"/>
            </w:tcBorders>
            <w:shd w:val="clear" w:color="auto" w:fill="auto"/>
          </w:tcPr>
          <w:p w14:paraId="7FDBF629" w14:textId="77777777" w:rsidR="005E5132" w:rsidRDefault="005E5132" w:rsidP="0007323F">
            <w:pPr>
              <w:jc w:val="center"/>
            </w:pPr>
            <w:r w:rsidRPr="00746F78">
              <w:rPr>
                <w:rFonts w:ascii="Times New Roman" w:hAnsi="Times New Roman"/>
                <w:sz w:val="16"/>
                <w:szCs w:val="16"/>
              </w:rPr>
              <w:t>12</w:t>
            </w:r>
            <w:r>
              <w:rPr>
                <w:rFonts w:ascii="Times New Roman" w:hAnsi="Times New Roman"/>
                <w:sz w:val="16"/>
                <w:szCs w:val="16"/>
              </w:rPr>
              <w:t>7.43</w:t>
            </w:r>
          </w:p>
        </w:tc>
        <w:tc>
          <w:tcPr>
            <w:tcW w:w="1984" w:type="dxa"/>
            <w:tcBorders>
              <w:bottom w:val="single" w:sz="4" w:space="0" w:color="auto"/>
            </w:tcBorders>
          </w:tcPr>
          <w:p w14:paraId="347F9083" w14:textId="77777777" w:rsidR="005E5132" w:rsidRDefault="005E5132" w:rsidP="0007323F">
            <w:pPr>
              <w:jc w:val="center"/>
            </w:pPr>
            <w:r>
              <w:rPr>
                <w:rFonts w:ascii="Times New Roman" w:hAnsi="Times New Roman"/>
                <w:sz w:val="16"/>
                <w:szCs w:val="16"/>
              </w:rPr>
              <w:t>20.02</w:t>
            </w:r>
          </w:p>
        </w:tc>
      </w:tr>
      <w:tr w:rsidR="005E5132" w:rsidRPr="00170AE8" w14:paraId="429E56CE" w14:textId="77777777" w:rsidTr="005E5132">
        <w:trPr>
          <w:trHeight w:val="287"/>
        </w:trPr>
        <w:tc>
          <w:tcPr>
            <w:tcW w:w="1809" w:type="dxa"/>
            <w:tcBorders>
              <w:top w:val="single" w:sz="4" w:space="0" w:color="auto"/>
            </w:tcBorders>
          </w:tcPr>
          <w:p w14:paraId="19A4BAAD" w14:textId="77777777" w:rsidR="005E5132" w:rsidRPr="00F878CA" w:rsidRDefault="005E5132" w:rsidP="0007323F">
            <w:pPr>
              <w:pStyle w:val="NoSpacing"/>
              <w:tabs>
                <w:tab w:val="left" w:pos="720"/>
              </w:tabs>
              <w:jc w:val="center"/>
              <w:rPr>
                <w:rFonts w:ascii="Times New Roman" w:hAnsi="Times New Roman"/>
                <w:color w:val="000000"/>
                <w:sz w:val="16"/>
              </w:rPr>
            </w:pPr>
            <w:r>
              <w:rPr>
                <w:rFonts w:ascii="Times New Roman" w:hAnsi="Times New Roman"/>
                <w:color w:val="000000"/>
                <w:sz w:val="16"/>
              </w:rPr>
              <w:t>Total</w:t>
            </w:r>
          </w:p>
        </w:tc>
        <w:tc>
          <w:tcPr>
            <w:tcW w:w="709" w:type="dxa"/>
            <w:tcBorders>
              <w:top w:val="single" w:sz="4" w:space="0" w:color="auto"/>
            </w:tcBorders>
          </w:tcPr>
          <w:p w14:paraId="5F9A3B2A" w14:textId="77777777" w:rsidR="005E5132" w:rsidRPr="00576F36" w:rsidRDefault="005E5132" w:rsidP="0007323F">
            <w:pPr>
              <w:pStyle w:val="NoSpacing"/>
              <w:tabs>
                <w:tab w:val="left" w:pos="720"/>
              </w:tabs>
              <w:jc w:val="center"/>
              <w:rPr>
                <w:rFonts w:ascii="Times New Roman" w:hAnsi="Times New Roman"/>
                <w:color w:val="000000"/>
                <w:sz w:val="18"/>
                <w:lang w:val="id-ID"/>
              </w:rPr>
            </w:pPr>
            <w:r w:rsidRPr="00576F36">
              <w:rPr>
                <w:rFonts w:ascii="Times New Roman" w:hAnsi="Times New Roman"/>
                <w:color w:val="000000"/>
                <w:sz w:val="18"/>
                <w:lang w:val="id-ID"/>
              </w:rPr>
              <w:t>33</w:t>
            </w:r>
          </w:p>
        </w:tc>
        <w:tc>
          <w:tcPr>
            <w:tcW w:w="1276" w:type="dxa"/>
            <w:tcBorders>
              <w:top w:val="single" w:sz="4" w:space="0" w:color="auto"/>
            </w:tcBorders>
          </w:tcPr>
          <w:p w14:paraId="3ADC9C90" w14:textId="77777777" w:rsidR="005E5132" w:rsidRPr="00576F36" w:rsidRDefault="005E5132" w:rsidP="0007323F">
            <w:pPr>
              <w:pStyle w:val="NoSpacing"/>
              <w:tabs>
                <w:tab w:val="left" w:pos="720"/>
              </w:tabs>
              <w:jc w:val="center"/>
              <w:rPr>
                <w:rFonts w:ascii="Times New Roman" w:hAnsi="Times New Roman"/>
                <w:color w:val="000000"/>
                <w:sz w:val="18"/>
                <w:lang w:val="id-ID"/>
              </w:rPr>
            </w:pPr>
          </w:p>
        </w:tc>
        <w:tc>
          <w:tcPr>
            <w:tcW w:w="1417" w:type="dxa"/>
            <w:tcBorders>
              <w:top w:val="single" w:sz="4" w:space="0" w:color="auto"/>
            </w:tcBorders>
          </w:tcPr>
          <w:p w14:paraId="3C6F2624" w14:textId="77777777" w:rsidR="005E5132" w:rsidRPr="00F878CA" w:rsidRDefault="005E5132" w:rsidP="0007323F">
            <w:pPr>
              <w:pStyle w:val="NoSpacing"/>
              <w:tabs>
                <w:tab w:val="left" w:pos="720"/>
              </w:tabs>
              <w:jc w:val="center"/>
              <w:rPr>
                <w:rFonts w:ascii="Times New Roman" w:hAnsi="Times New Roman"/>
                <w:color w:val="000000"/>
                <w:sz w:val="18"/>
              </w:rPr>
            </w:pPr>
          </w:p>
        </w:tc>
        <w:tc>
          <w:tcPr>
            <w:tcW w:w="1418" w:type="dxa"/>
            <w:tcBorders>
              <w:top w:val="single" w:sz="4" w:space="0" w:color="auto"/>
            </w:tcBorders>
            <w:shd w:val="clear" w:color="auto" w:fill="auto"/>
          </w:tcPr>
          <w:p w14:paraId="0F170727" w14:textId="77777777" w:rsidR="005E5132" w:rsidRDefault="005E5132" w:rsidP="0007323F">
            <w:pPr>
              <w:jc w:val="center"/>
            </w:pPr>
            <w:r w:rsidRPr="00746F78">
              <w:rPr>
                <w:rFonts w:ascii="Times New Roman" w:hAnsi="Times New Roman"/>
                <w:sz w:val="16"/>
                <w:szCs w:val="16"/>
              </w:rPr>
              <w:t>128.</w:t>
            </w:r>
            <w:r>
              <w:rPr>
                <w:rFonts w:ascii="Times New Roman" w:hAnsi="Times New Roman"/>
                <w:sz w:val="16"/>
                <w:szCs w:val="16"/>
              </w:rPr>
              <w:t>4</w:t>
            </w:r>
          </w:p>
        </w:tc>
        <w:tc>
          <w:tcPr>
            <w:tcW w:w="1984" w:type="dxa"/>
            <w:tcBorders>
              <w:top w:val="single" w:sz="4" w:space="0" w:color="auto"/>
            </w:tcBorders>
          </w:tcPr>
          <w:p w14:paraId="017A0F01" w14:textId="77777777" w:rsidR="005E5132" w:rsidRPr="00170AE8" w:rsidRDefault="005E5132" w:rsidP="0007323F">
            <w:pPr>
              <w:jc w:val="center"/>
              <w:rPr>
                <w:rFonts w:ascii="Times New Roman" w:hAnsi="Times New Roman"/>
                <w:sz w:val="16"/>
                <w:szCs w:val="16"/>
              </w:rPr>
            </w:pPr>
            <w:r>
              <w:rPr>
                <w:rFonts w:ascii="Times New Roman" w:hAnsi="Times New Roman"/>
                <w:sz w:val="16"/>
                <w:szCs w:val="16"/>
              </w:rPr>
              <w:t>22.7</w:t>
            </w:r>
          </w:p>
        </w:tc>
      </w:tr>
    </w:tbl>
    <w:p w14:paraId="65672BF6" w14:textId="6F93CC31" w:rsidR="005E5132" w:rsidRDefault="005E5132" w:rsidP="005E5132">
      <w:pPr>
        <w:pStyle w:val="ListParagraph"/>
        <w:spacing w:line="360" w:lineRule="auto"/>
        <w:ind w:left="0" w:firstLine="709"/>
        <w:jc w:val="both"/>
      </w:pPr>
    </w:p>
    <w:p w14:paraId="140D568F" w14:textId="77777777" w:rsidR="005E5132" w:rsidRPr="00282CFA" w:rsidRDefault="005E5132" w:rsidP="005E5132">
      <w:pPr>
        <w:pStyle w:val="ListParagraph"/>
        <w:spacing w:line="360" w:lineRule="auto"/>
        <w:ind w:left="0" w:firstLine="709"/>
        <w:jc w:val="both"/>
      </w:pP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1338A679" w14:textId="483D671B" w:rsidR="00FB47D6" w:rsidRPr="000F3E94" w:rsidRDefault="00045688" w:rsidP="00282CFA">
      <w:pPr>
        <w:pStyle w:val="E-JOURNALBody"/>
        <w:spacing w:line="360" w:lineRule="auto"/>
        <w:contextualSpacing/>
        <w:rPr>
          <w:sz w:val="24"/>
        </w:rPr>
      </w:pPr>
      <w:r w:rsidRPr="00045688">
        <w:rPr>
          <w:sz w:val="24"/>
        </w:rPr>
        <w:t>The findings of this study suggest that undergraduate students at the Faculty of Teacher Training and Education, Tridinanti University, generally possess a high level of digital literacy. The distribution of the data shows that most students are classified within the high and very high categories. This condition reflects that students have developed adequate digital skills, which enable them to effectively support their academic activities, communication processes, and participation in technology-based learning environments.</w:t>
      </w:r>
      <w:r w:rsidR="00FB47D6">
        <w:rPr>
          <w:sz w:val="24"/>
        </w:rPr>
        <w:t xml:space="preserve"> </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497C3C21" w14:textId="77777777" w:rsidR="005E5132" w:rsidRPr="00C462A9" w:rsidRDefault="005E5132" w:rsidP="00F96E5E">
      <w:pPr>
        <w:ind w:left="851" w:hanging="851"/>
        <w:jc w:val="both"/>
        <w:rPr>
          <w:rFonts w:ascii="Times New Roman" w:hAnsi="Times New Roman"/>
          <w:color w:val="000000"/>
          <w:sz w:val="24"/>
          <w:szCs w:val="24"/>
          <w:lang w:val="en-ID"/>
        </w:rPr>
      </w:pPr>
      <w:bookmarkStart w:id="0" w:name="_Hlk228813365"/>
      <w:proofErr w:type="spellStart"/>
      <w:r w:rsidRPr="00C462A9">
        <w:rPr>
          <w:rFonts w:ascii="Times New Roman" w:hAnsi="Times New Roman"/>
          <w:color w:val="000000"/>
          <w:sz w:val="24"/>
          <w:szCs w:val="24"/>
          <w:lang w:val="en-ID"/>
        </w:rPr>
        <w:t>Akkaya</w:t>
      </w:r>
      <w:proofErr w:type="spellEnd"/>
      <w:r w:rsidRPr="00C462A9">
        <w:rPr>
          <w:rFonts w:ascii="Times New Roman" w:hAnsi="Times New Roman"/>
          <w:color w:val="000000"/>
          <w:sz w:val="24"/>
          <w:szCs w:val="24"/>
          <w:lang w:val="en-ID"/>
        </w:rPr>
        <w:t xml:space="preserve">, B., et al. (2022). Digital literacy and ethical awareness in digital environments. </w:t>
      </w:r>
      <w:r w:rsidRPr="00C462A9">
        <w:rPr>
          <w:rFonts w:ascii="Times New Roman" w:hAnsi="Times New Roman"/>
          <w:i/>
          <w:iCs/>
          <w:color w:val="000000"/>
          <w:sz w:val="24"/>
          <w:szCs w:val="24"/>
          <w:lang w:val="en-ID"/>
        </w:rPr>
        <w:t>Journal of Educational Technology</w:t>
      </w:r>
      <w:r w:rsidRPr="00C462A9">
        <w:rPr>
          <w:rFonts w:ascii="Times New Roman" w:hAnsi="Times New Roman"/>
          <w:color w:val="000000"/>
          <w:sz w:val="24"/>
          <w:szCs w:val="24"/>
          <w:lang w:val="en-ID"/>
        </w:rPr>
        <w:t>, 15(2), 85–97.</w:t>
      </w:r>
    </w:p>
    <w:p w14:paraId="3E1B888B" w14:textId="77777777" w:rsidR="005E5132"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Amin, H., Malik, M. A., &amp; </w:t>
      </w:r>
      <w:proofErr w:type="spellStart"/>
      <w:r w:rsidRPr="00C462A9">
        <w:rPr>
          <w:rFonts w:ascii="Times New Roman" w:hAnsi="Times New Roman"/>
          <w:color w:val="000000"/>
          <w:sz w:val="24"/>
          <w:szCs w:val="24"/>
          <w:lang w:val="en-ID"/>
        </w:rPr>
        <w:t>Akkaya</w:t>
      </w:r>
      <w:proofErr w:type="spellEnd"/>
      <w:r w:rsidRPr="00C462A9">
        <w:rPr>
          <w:rFonts w:ascii="Times New Roman" w:hAnsi="Times New Roman"/>
          <w:color w:val="000000"/>
          <w:sz w:val="24"/>
          <w:szCs w:val="24"/>
          <w:lang w:val="en-ID"/>
        </w:rPr>
        <w:t xml:space="preserve">, B. (2021). Development and validation of Digital Literacy Scale (DLS) and its implication for higher education. </w:t>
      </w:r>
      <w:r w:rsidRPr="00C462A9">
        <w:rPr>
          <w:rFonts w:ascii="Times New Roman" w:hAnsi="Times New Roman"/>
          <w:i/>
          <w:iCs/>
          <w:color w:val="000000"/>
          <w:sz w:val="24"/>
          <w:szCs w:val="24"/>
          <w:lang w:val="en-ID"/>
        </w:rPr>
        <w:t>International Journal of Distance E</w:t>
      </w:r>
      <w:bookmarkStart w:id="1" w:name="_GoBack"/>
      <w:bookmarkEnd w:id="1"/>
      <w:r w:rsidRPr="00C462A9">
        <w:rPr>
          <w:rFonts w:ascii="Times New Roman" w:hAnsi="Times New Roman"/>
          <w:i/>
          <w:iCs/>
          <w:color w:val="000000"/>
          <w:sz w:val="24"/>
          <w:szCs w:val="24"/>
          <w:lang w:val="en-ID"/>
        </w:rPr>
        <w:t>ducation and E-Learning, 7</w:t>
      </w:r>
      <w:r w:rsidRPr="00C462A9">
        <w:rPr>
          <w:rFonts w:ascii="Times New Roman" w:hAnsi="Times New Roman"/>
          <w:color w:val="000000"/>
          <w:sz w:val="24"/>
          <w:szCs w:val="24"/>
          <w:lang w:val="en-ID"/>
        </w:rPr>
        <w:t>(1), 24–43.</w:t>
      </w:r>
    </w:p>
    <w:p w14:paraId="41520C12" w14:textId="77777777" w:rsidR="005E5132" w:rsidRPr="008C2D16" w:rsidRDefault="005E5132" w:rsidP="00F96E5E">
      <w:pPr>
        <w:ind w:left="851" w:hanging="851"/>
        <w:jc w:val="both"/>
        <w:rPr>
          <w:rFonts w:ascii="Times New Roman" w:hAnsi="Times New Roman"/>
          <w:color w:val="000000"/>
          <w:sz w:val="24"/>
          <w:szCs w:val="24"/>
          <w:lang w:val="en-ID"/>
        </w:rPr>
      </w:pPr>
      <w:r w:rsidRPr="008C2D16">
        <w:rPr>
          <w:rFonts w:ascii="Times New Roman" w:hAnsi="Times New Roman"/>
          <w:color w:val="000000"/>
          <w:sz w:val="24"/>
          <w:szCs w:val="24"/>
          <w:lang w:val="en-ID"/>
        </w:rPr>
        <w:t xml:space="preserve">Cohen, L., Manion, L., &amp; Morrison, K. (2007). </w:t>
      </w:r>
      <w:r w:rsidRPr="008C2D16">
        <w:rPr>
          <w:rFonts w:ascii="Times New Roman" w:hAnsi="Times New Roman"/>
          <w:i/>
          <w:iCs/>
          <w:color w:val="000000"/>
          <w:sz w:val="24"/>
          <w:szCs w:val="24"/>
          <w:lang w:val="en-ID"/>
        </w:rPr>
        <w:t>Research methods in education</w:t>
      </w:r>
      <w:r w:rsidRPr="008C2D16">
        <w:rPr>
          <w:rFonts w:ascii="Times New Roman" w:hAnsi="Times New Roman"/>
          <w:color w:val="000000"/>
          <w:sz w:val="24"/>
          <w:szCs w:val="24"/>
          <w:lang w:val="en-ID"/>
        </w:rPr>
        <w:t xml:space="preserve"> (6th ed.). Routledge.</w:t>
      </w:r>
    </w:p>
    <w:p w14:paraId="03A5E4A3" w14:textId="77777777" w:rsidR="005E5132" w:rsidRPr="00C462A9" w:rsidRDefault="005E5132" w:rsidP="00F96E5E">
      <w:pPr>
        <w:ind w:left="851" w:hanging="851"/>
        <w:jc w:val="both"/>
        <w:rPr>
          <w:rFonts w:ascii="Times New Roman" w:hAnsi="Times New Roman"/>
          <w:color w:val="000000"/>
          <w:sz w:val="24"/>
          <w:szCs w:val="24"/>
          <w:lang w:val="en-ID"/>
        </w:rPr>
      </w:pPr>
      <w:r w:rsidRPr="008C2D16">
        <w:rPr>
          <w:rFonts w:ascii="Times New Roman" w:hAnsi="Times New Roman"/>
          <w:color w:val="000000"/>
          <w:sz w:val="24"/>
          <w:szCs w:val="24"/>
          <w:lang w:val="en-ID"/>
        </w:rPr>
        <w:t xml:space="preserve">Creswell, J. W. (2012). </w:t>
      </w:r>
      <w:r w:rsidRPr="008C2D16">
        <w:rPr>
          <w:rFonts w:ascii="Times New Roman" w:hAnsi="Times New Roman"/>
          <w:i/>
          <w:iCs/>
          <w:color w:val="000000"/>
          <w:sz w:val="24"/>
          <w:szCs w:val="24"/>
          <w:lang w:val="en-ID"/>
        </w:rPr>
        <w:t>Educational research: Planning, conducting, and evaluating quantitative and qualitative research</w:t>
      </w:r>
      <w:r w:rsidRPr="008C2D16">
        <w:rPr>
          <w:rFonts w:ascii="Times New Roman" w:hAnsi="Times New Roman"/>
          <w:color w:val="000000"/>
          <w:sz w:val="24"/>
          <w:szCs w:val="24"/>
          <w:lang w:val="en-ID"/>
        </w:rPr>
        <w:t xml:space="preserve"> (4th ed.). Pearson Education.</w:t>
      </w:r>
    </w:p>
    <w:p w14:paraId="0E40E961"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Farid, Z., </w:t>
      </w:r>
      <w:proofErr w:type="spellStart"/>
      <w:r w:rsidRPr="00C462A9">
        <w:rPr>
          <w:rFonts w:ascii="Times New Roman" w:hAnsi="Times New Roman"/>
          <w:color w:val="000000"/>
          <w:sz w:val="24"/>
          <w:szCs w:val="24"/>
          <w:lang w:val="en-ID"/>
        </w:rPr>
        <w:t>Zubaidah</w:t>
      </w:r>
      <w:proofErr w:type="spellEnd"/>
      <w:r w:rsidRPr="00C462A9">
        <w:rPr>
          <w:rFonts w:ascii="Times New Roman" w:hAnsi="Times New Roman"/>
          <w:color w:val="000000"/>
          <w:sz w:val="24"/>
          <w:szCs w:val="24"/>
          <w:lang w:val="en-ID"/>
        </w:rPr>
        <w:t xml:space="preserve">, S., &amp; </w:t>
      </w:r>
      <w:proofErr w:type="spellStart"/>
      <w:r w:rsidRPr="00C462A9">
        <w:rPr>
          <w:rFonts w:ascii="Times New Roman" w:hAnsi="Times New Roman"/>
          <w:color w:val="000000"/>
          <w:sz w:val="24"/>
          <w:szCs w:val="24"/>
          <w:lang w:val="en-ID"/>
        </w:rPr>
        <w:t>Munzil</w:t>
      </w:r>
      <w:proofErr w:type="spellEnd"/>
      <w:r w:rsidRPr="00C462A9">
        <w:rPr>
          <w:rFonts w:ascii="Times New Roman" w:hAnsi="Times New Roman"/>
          <w:color w:val="000000"/>
          <w:sz w:val="24"/>
          <w:szCs w:val="24"/>
          <w:lang w:val="en-ID"/>
        </w:rPr>
        <w:t xml:space="preserve">. (2024). Profile analysis of digital literacy skills of biology education students. </w:t>
      </w:r>
      <w:r w:rsidRPr="00C462A9">
        <w:rPr>
          <w:rFonts w:ascii="Times New Roman" w:hAnsi="Times New Roman"/>
          <w:i/>
          <w:iCs/>
          <w:color w:val="000000"/>
          <w:sz w:val="24"/>
          <w:szCs w:val="24"/>
          <w:lang w:val="en-ID"/>
        </w:rPr>
        <w:t>Journal of Science Education</w:t>
      </w:r>
      <w:r w:rsidRPr="00C462A9">
        <w:rPr>
          <w:rFonts w:ascii="Times New Roman" w:hAnsi="Times New Roman"/>
          <w:color w:val="000000"/>
          <w:sz w:val="24"/>
          <w:szCs w:val="24"/>
          <w:lang w:val="en-ID"/>
        </w:rPr>
        <w:t>, 12(2), 101–110.</w:t>
      </w:r>
    </w:p>
    <w:p w14:paraId="6B45EF80" w14:textId="77777777" w:rsidR="005E5132" w:rsidRPr="00C462A9" w:rsidRDefault="005E5132" w:rsidP="00F96E5E">
      <w:pPr>
        <w:ind w:left="851" w:hanging="851"/>
        <w:jc w:val="both"/>
        <w:rPr>
          <w:rFonts w:ascii="Times New Roman" w:hAnsi="Times New Roman"/>
          <w:color w:val="000000"/>
          <w:sz w:val="24"/>
          <w:szCs w:val="24"/>
          <w:lang w:val="en-ID"/>
        </w:rPr>
      </w:pPr>
      <w:proofErr w:type="spellStart"/>
      <w:r w:rsidRPr="00C462A9">
        <w:rPr>
          <w:rFonts w:ascii="Times New Roman" w:hAnsi="Times New Roman"/>
          <w:color w:val="000000"/>
          <w:sz w:val="24"/>
          <w:szCs w:val="24"/>
          <w:lang w:val="en-ID"/>
        </w:rPr>
        <w:t>Gilster</w:t>
      </w:r>
      <w:proofErr w:type="spellEnd"/>
      <w:r w:rsidRPr="00C462A9">
        <w:rPr>
          <w:rFonts w:ascii="Times New Roman" w:hAnsi="Times New Roman"/>
          <w:color w:val="000000"/>
          <w:sz w:val="24"/>
          <w:szCs w:val="24"/>
          <w:lang w:val="en-ID"/>
        </w:rPr>
        <w:t xml:space="preserve">, P. (1997). </w:t>
      </w:r>
      <w:r w:rsidRPr="00C462A9">
        <w:rPr>
          <w:rFonts w:ascii="Times New Roman" w:hAnsi="Times New Roman"/>
          <w:i/>
          <w:iCs/>
          <w:color w:val="000000"/>
          <w:sz w:val="24"/>
          <w:szCs w:val="24"/>
          <w:lang w:val="en-ID"/>
        </w:rPr>
        <w:t>Digital literacy</w:t>
      </w:r>
      <w:r w:rsidRPr="00C462A9">
        <w:rPr>
          <w:rFonts w:ascii="Times New Roman" w:hAnsi="Times New Roman"/>
          <w:color w:val="000000"/>
          <w:sz w:val="24"/>
          <w:szCs w:val="24"/>
          <w:lang w:val="en-ID"/>
        </w:rPr>
        <w:t>. New York: Wiley.</w:t>
      </w:r>
    </w:p>
    <w:p w14:paraId="7501E35A" w14:textId="77777777" w:rsidR="005E5132" w:rsidRPr="00C462A9" w:rsidRDefault="005E5132" w:rsidP="00F96E5E">
      <w:pPr>
        <w:ind w:left="851" w:hanging="851"/>
        <w:jc w:val="both"/>
        <w:rPr>
          <w:rFonts w:ascii="Times New Roman" w:hAnsi="Times New Roman"/>
          <w:color w:val="000000"/>
          <w:sz w:val="24"/>
          <w:szCs w:val="24"/>
          <w:lang w:val="en-ID"/>
        </w:rPr>
      </w:pPr>
      <w:proofErr w:type="spellStart"/>
      <w:r w:rsidRPr="00C462A9">
        <w:rPr>
          <w:rFonts w:ascii="Times New Roman" w:hAnsi="Times New Roman"/>
          <w:color w:val="000000"/>
          <w:sz w:val="24"/>
          <w:szCs w:val="24"/>
          <w:lang w:val="en-ID"/>
        </w:rPr>
        <w:t>Hanim</w:t>
      </w:r>
      <w:proofErr w:type="spellEnd"/>
      <w:r w:rsidRPr="00C462A9">
        <w:rPr>
          <w:rFonts w:ascii="Times New Roman" w:hAnsi="Times New Roman"/>
          <w:color w:val="000000"/>
          <w:sz w:val="24"/>
          <w:szCs w:val="24"/>
          <w:lang w:val="en-ID"/>
        </w:rPr>
        <w:t xml:space="preserve">, F., Ananda, S., </w:t>
      </w:r>
      <w:proofErr w:type="spellStart"/>
      <w:r w:rsidRPr="00C462A9">
        <w:rPr>
          <w:rFonts w:ascii="Times New Roman" w:hAnsi="Times New Roman"/>
          <w:color w:val="000000"/>
          <w:sz w:val="24"/>
          <w:szCs w:val="24"/>
          <w:lang w:val="en-ID"/>
        </w:rPr>
        <w:t>Moulita</w:t>
      </w:r>
      <w:proofErr w:type="spellEnd"/>
      <w:r w:rsidRPr="00C462A9">
        <w:rPr>
          <w:rFonts w:ascii="Times New Roman" w:hAnsi="Times New Roman"/>
          <w:color w:val="000000"/>
          <w:sz w:val="24"/>
          <w:szCs w:val="24"/>
          <w:lang w:val="en-ID"/>
        </w:rPr>
        <w:t xml:space="preserve">, &amp; </w:t>
      </w:r>
      <w:proofErr w:type="spellStart"/>
      <w:r w:rsidRPr="00C462A9">
        <w:rPr>
          <w:rFonts w:ascii="Times New Roman" w:hAnsi="Times New Roman"/>
          <w:color w:val="000000"/>
          <w:sz w:val="24"/>
          <w:szCs w:val="24"/>
          <w:lang w:val="en-ID"/>
        </w:rPr>
        <w:t>Lubis</w:t>
      </w:r>
      <w:proofErr w:type="spellEnd"/>
      <w:r w:rsidRPr="00C462A9">
        <w:rPr>
          <w:rFonts w:ascii="Times New Roman" w:hAnsi="Times New Roman"/>
          <w:color w:val="000000"/>
          <w:sz w:val="24"/>
          <w:szCs w:val="24"/>
          <w:lang w:val="en-ID"/>
        </w:rPr>
        <w:t xml:space="preserve">, F. W. (2025). Digital media habits across generations: A study of media. </w:t>
      </w:r>
      <w:r w:rsidRPr="00C462A9">
        <w:rPr>
          <w:rFonts w:ascii="Times New Roman" w:hAnsi="Times New Roman"/>
          <w:i/>
          <w:iCs/>
          <w:color w:val="000000"/>
          <w:sz w:val="24"/>
          <w:szCs w:val="24"/>
          <w:lang w:val="en-ID"/>
        </w:rPr>
        <w:t xml:space="preserve">SOSIOEDUKASI: </w:t>
      </w:r>
      <w:proofErr w:type="spellStart"/>
      <w:r w:rsidRPr="00C462A9">
        <w:rPr>
          <w:rFonts w:ascii="Times New Roman" w:hAnsi="Times New Roman"/>
          <w:i/>
          <w:iCs/>
          <w:color w:val="000000"/>
          <w:sz w:val="24"/>
          <w:szCs w:val="24"/>
          <w:lang w:val="en-ID"/>
        </w:rPr>
        <w:t>Jurnal</w:t>
      </w:r>
      <w:proofErr w:type="spellEnd"/>
      <w:r w:rsidRPr="00C462A9">
        <w:rPr>
          <w:rFonts w:ascii="Times New Roman" w:hAnsi="Times New Roman"/>
          <w:i/>
          <w:iCs/>
          <w:color w:val="000000"/>
          <w:sz w:val="24"/>
          <w:szCs w:val="24"/>
          <w:lang w:val="en-ID"/>
        </w:rPr>
        <w:t xml:space="preserve"> </w:t>
      </w:r>
      <w:proofErr w:type="spellStart"/>
      <w:r w:rsidRPr="00C462A9">
        <w:rPr>
          <w:rFonts w:ascii="Times New Roman" w:hAnsi="Times New Roman"/>
          <w:i/>
          <w:iCs/>
          <w:color w:val="000000"/>
          <w:sz w:val="24"/>
          <w:szCs w:val="24"/>
          <w:lang w:val="en-ID"/>
        </w:rPr>
        <w:t>Ilmiah</w:t>
      </w:r>
      <w:proofErr w:type="spellEnd"/>
      <w:r w:rsidRPr="00C462A9">
        <w:rPr>
          <w:rFonts w:ascii="Times New Roman" w:hAnsi="Times New Roman"/>
          <w:i/>
          <w:iCs/>
          <w:color w:val="000000"/>
          <w:sz w:val="24"/>
          <w:szCs w:val="24"/>
          <w:lang w:val="en-ID"/>
        </w:rPr>
        <w:t xml:space="preserve"> </w:t>
      </w:r>
      <w:proofErr w:type="spellStart"/>
      <w:r w:rsidRPr="00C462A9">
        <w:rPr>
          <w:rFonts w:ascii="Times New Roman" w:hAnsi="Times New Roman"/>
          <w:i/>
          <w:iCs/>
          <w:color w:val="000000"/>
          <w:sz w:val="24"/>
          <w:szCs w:val="24"/>
          <w:lang w:val="en-ID"/>
        </w:rPr>
        <w:t>Ilmu</w:t>
      </w:r>
      <w:proofErr w:type="spellEnd"/>
      <w:r w:rsidRPr="00C462A9">
        <w:rPr>
          <w:rFonts w:ascii="Times New Roman" w:hAnsi="Times New Roman"/>
          <w:i/>
          <w:iCs/>
          <w:color w:val="000000"/>
          <w:sz w:val="24"/>
          <w:szCs w:val="24"/>
          <w:lang w:val="en-ID"/>
        </w:rPr>
        <w:t xml:space="preserve"> Pendidikan dan </w:t>
      </w:r>
      <w:proofErr w:type="spellStart"/>
      <w:r w:rsidRPr="00C462A9">
        <w:rPr>
          <w:rFonts w:ascii="Times New Roman" w:hAnsi="Times New Roman"/>
          <w:i/>
          <w:iCs/>
          <w:color w:val="000000"/>
          <w:sz w:val="24"/>
          <w:szCs w:val="24"/>
          <w:lang w:val="en-ID"/>
        </w:rPr>
        <w:t>Sosial</w:t>
      </w:r>
      <w:proofErr w:type="spellEnd"/>
      <w:r w:rsidRPr="00C462A9">
        <w:rPr>
          <w:rFonts w:ascii="Times New Roman" w:hAnsi="Times New Roman"/>
          <w:i/>
          <w:iCs/>
          <w:color w:val="000000"/>
          <w:sz w:val="24"/>
          <w:szCs w:val="24"/>
          <w:lang w:val="en-ID"/>
        </w:rPr>
        <w:t>, 14</w:t>
      </w:r>
      <w:r w:rsidRPr="00C462A9">
        <w:rPr>
          <w:rFonts w:ascii="Times New Roman" w:hAnsi="Times New Roman"/>
          <w:color w:val="000000"/>
          <w:sz w:val="24"/>
          <w:szCs w:val="24"/>
          <w:lang w:val="en-ID"/>
        </w:rPr>
        <w:t>(2), 860–870.</w:t>
      </w:r>
    </w:p>
    <w:p w14:paraId="647BFC96"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Kaya, M., &amp; </w:t>
      </w:r>
      <w:proofErr w:type="spellStart"/>
      <w:r w:rsidRPr="00C462A9">
        <w:rPr>
          <w:rFonts w:ascii="Times New Roman" w:hAnsi="Times New Roman"/>
          <w:color w:val="000000"/>
          <w:sz w:val="24"/>
          <w:szCs w:val="24"/>
          <w:lang w:val="en-ID"/>
        </w:rPr>
        <w:t>Korucuk</w:t>
      </w:r>
      <w:proofErr w:type="spellEnd"/>
      <w:r w:rsidRPr="00C462A9">
        <w:rPr>
          <w:rFonts w:ascii="Times New Roman" w:hAnsi="Times New Roman"/>
          <w:color w:val="000000"/>
          <w:sz w:val="24"/>
          <w:szCs w:val="24"/>
          <w:lang w:val="en-ID"/>
        </w:rPr>
        <w:t xml:space="preserve">, M. (2022). Examination of digital literacy levels of university students. </w:t>
      </w:r>
      <w:r w:rsidRPr="00C462A9">
        <w:rPr>
          <w:rFonts w:ascii="Times New Roman" w:hAnsi="Times New Roman"/>
          <w:i/>
          <w:iCs/>
          <w:color w:val="000000"/>
          <w:sz w:val="24"/>
          <w:szCs w:val="24"/>
          <w:lang w:val="en-ID"/>
        </w:rPr>
        <w:t>International Journal of Educational Research Review</w:t>
      </w:r>
      <w:r w:rsidRPr="00C462A9">
        <w:rPr>
          <w:rFonts w:ascii="Times New Roman" w:hAnsi="Times New Roman"/>
          <w:color w:val="000000"/>
          <w:sz w:val="24"/>
          <w:szCs w:val="24"/>
          <w:lang w:val="en-ID"/>
        </w:rPr>
        <w:t>, 7(3), 215–223.</w:t>
      </w:r>
    </w:p>
    <w:p w14:paraId="0396014E" w14:textId="77777777" w:rsidR="005E5132" w:rsidRPr="00C462A9" w:rsidRDefault="005E5132" w:rsidP="00F96E5E">
      <w:pPr>
        <w:ind w:left="851" w:hanging="851"/>
        <w:jc w:val="both"/>
        <w:rPr>
          <w:rFonts w:ascii="Times New Roman" w:hAnsi="Times New Roman"/>
          <w:color w:val="000000"/>
          <w:sz w:val="24"/>
          <w:szCs w:val="24"/>
          <w:lang w:val="en-ID"/>
        </w:rPr>
      </w:pPr>
      <w:proofErr w:type="spellStart"/>
      <w:r w:rsidRPr="00C462A9">
        <w:rPr>
          <w:rFonts w:ascii="Times New Roman" w:hAnsi="Times New Roman"/>
          <w:color w:val="000000"/>
          <w:sz w:val="24"/>
          <w:szCs w:val="24"/>
          <w:lang w:val="en-ID"/>
        </w:rPr>
        <w:t>Listiana</w:t>
      </w:r>
      <w:proofErr w:type="spellEnd"/>
      <w:r w:rsidRPr="00C462A9">
        <w:rPr>
          <w:rFonts w:ascii="Times New Roman" w:hAnsi="Times New Roman"/>
          <w:color w:val="000000"/>
          <w:sz w:val="24"/>
          <w:szCs w:val="24"/>
          <w:lang w:val="en-ID"/>
        </w:rPr>
        <w:t xml:space="preserve">, D., &amp; Sari, R. (2025). Assessing students’ digital literacy levels in Indonesian context. </w:t>
      </w:r>
      <w:proofErr w:type="spellStart"/>
      <w:r w:rsidRPr="00C462A9">
        <w:rPr>
          <w:rFonts w:ascii="Times New Roman" w:hAnsi="Times New Roman"/>
          <w:i/>
          <w:iCs/>
          <w:color w:val="000000"/>
          <w:sz w:val="24"/>
          <w:szCs w:val="24"/>
          <w:lang w:val="en-ID"/>
        </w:rPr>
        <w:t>Jurnal</w:t>
      </w:r>
      <w:proofErr w:type="spellEnd"/>
      <w:r w:rsidRPr="00C462A9">
        <w:rPr>
          <w:rFonts w:ascii="Times New Roman" w:hAnsi="Times New Roman"/>
          <w:i/>
          <w:iCs/>
          <w:color w:val="000000"/>
          <w:sz w:val="24"/>
          <w:szCs w:val="24"/>
          <w:lang w:val="en-ID"/>
        </w:rPr>
        <w:t xml:space="preserve"> Pendidikan Indonesia</w:t>
      </w:r>
      <w:r w:rsidRPr="00C462A9">
        <w:rPr>
          <w:rFonts w:ascii="Times New Roman" w:hAnsi="Times New Roman"/>
          <w:color w:val="000000"/>
          <w:sz w:val="24"/>
          <w:szCs w:val="24"/>
          <w:lang w:val="en-ID"/>
        </w:rPr>
        <w:t>, 14(1), 45–53.</w:t>
      </w:r>
    </w:p>
    <w:p w14:paraId="2CBCB5A6" w14:textId="77777777" w:rsidR="005E5132"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Malik, M. A., et al. (2020). Digital literacy and student learning autonomy. </w:t>
      </w:r>
      <w:r w:rsidRPr="00C462A9">
        <w:rPr>
          <w:rFonts w:ascii="Times New Roman" w:hAnsi="Times New Roman"/>
          <w:i/>
          <w:iCs/>
          <w:color w:val="000000"/>
          <w:sz w:val="24"/>
          <w:szCs w:val="24"/>
          <w:lang w:val="en-ID"/>
        </w:rPr>
        <w:t>International Journal of Educational Studies</w:t>
      </w:r>
      <w:r w:rsidRPr="00C462A9">
        <w:rPr>
          <w:rFonts w:ascii="Times New Roman" w:hAnsi="Times New Roman"/>
          <w:color w:val="000000"/>
          <w:sz w:val="24"/>
          <w:szCs w:val="24"/>
          <w:lang w:val="en-ID"/>
        </w:rPr>
        <w:t>, 8(1), 55–63.</w:t>
      </w:r>
    </w:p>
    <w:p w14:paraId="5E917081" w14:textId="77777777" w:rsidR="005E5132" w:rsidRDefault="005E5132" w:rsidP="00F96E5E">
      <w:pPr>
        <w:ind w:left="851" w:hanging="851"/>
        <w:jc w:val="both"/>
        <w:rPr>
          <w:rFonts w:ascii="Times New Roman" w:hAnsi="Times New Roman"/>
          <w:color w:val="000000"/>
          <w:sz w:val="24"/>
          <w:szCs w:val="24"/>
          <w:lang w:val="en-ID"/>
        </w:rPr>
      </w:pPr>
      <w:r w:rsidRPr="0016488D">
        <w:rPr>
          <w:rFonts w:ascii="Times New Roman" w:hAnsi="Times New Roman"/>
          <w:color w:val="000000"/>
          <w:sz w:val="24"/>
          <w:szCs w:val="24"/>
        </w:rPr>
        <w:t>McCombes, S. (2022). Likert scale: What it is &amp; how to use it.</w:t>
      </w:r>
    </w:p>
    <w:p w14:paraId="0C95DE7B" w14:textId="77777777" w:rsidR="005E5132" w:rsidRPr="008C2D16" w:rsidRDefault="005E5132" w:rsidP="00F96E5E">
      <w:pPr>
        <w:ind w:left="851" w:hanging="851"/>
        <w:jc w:val="both"/>
        <w:rPr>
          <w:rFonts w:ascii="Times New Roman" w:hAnsi="Times New Roman"/>
          <w:b/>
          <w:color w:val="000000"/>
          <w:sz w:val="24"/>
          <w:szCs w:val="24"/>
          <w:lang w:val="en-ID"/>
        </w:rPr>
      </w:pPr>
      <w:bookmarkStart w:id="2" w:name="_Hlk227538984"/>
      <w:proofErr w:type="spellStart"/>
      <w:r w:rsidRPr="008C2D16">
        <w:rPr>
          <w:rFonts w:ascii="Times New Roman" w:hAnsi="Times New Roman"/>
          <w:bCs/>
          <w:color w:val="000000"/>
          <w:sz w:val="24"/>
          <w:szCs w:val="24"/>
          <w:lang w:val="en-ID"/>
        </w:rPr>
        <w:t>Mujere</w:t>
      </w:r>
      <w:proofErr w:type="spellEnd"/>
      <w:r w:rsidRPr="008C2D16">
        <w:rPr>
          <w:rFonts w:ascii="Times New Roman" w:hAnsi="Times New Roman"/>
          <w:bCs/>
          <w:color w:val="000000"/>
          <w:sz w:val="24"/>
          <w:szCs w:val="24"/>
          <w:lang w:val="en-ID"/>
        </w:rPr>
        <w:t xml:space="preserve">, N. (2016). Sampling in research. In K. Yang (Ed.), </w:t>
      </w:r>
      <w:r w:rsidRPr="008C2D16">
        <w:rPr>
          <w:rFonts w:ascii="Times New Roman" w:hAnsi="Times New Roman"/>
          <w:bCs/>
          <w:i/>
          <w:iCs/>
          <w:color w:val="000000"/>
          <w:sz w:val="24"/>
          <w:szCs w:val="24"/>
          <w:lang w:val="en-ID"/>
        </w:rPr>
        <w:t>Handbook of research methods in public administration, management and policy</w:t>
      </w:r>
      <w:r w:rsidRPr="008C2D16">
        <w:rPr>
          <w:rFonts w:ascii="Times New Roman" w:hAnsi="Times New Roman"/>
          <w:bCs/>
          <w:color w:val="000000"/>
          <w:sz w:val="24"/>
          <w:szCs w:val="24"/>
          <w:lang w:val="en-ID"/>
        </w:rPr>
        <w:t xml:space="preserve"> (pp. 1–12). IGI Global.</w:t>
      </w:r>
      <w:bookmarkEnd w:id="2"/>
    </w:p>
    <w:p w14:paraId="6C84D173"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OECD. (2019). </w:t>
      </w:r>
      <w:r w:rsidRPr="00C462A9">
        <w:rPr>
          <w:rFonts w:ascii="Times New Roman" w:hAnsi="Times New Roman"/>
          <w:i/>
          <w:iCs/>
          <w:color w:val="000000"/>
          <w:sz w:val="24"/>
          <w:szCs w:val="24"/>
          <w:lang w:val="en-ID"/>
        </w:rPr>
        <w:t>OECD skills outlook 2019: Thriving in a digital world</w:t>
      </w:r>
      <w:r w:rsidRPr="00C462A9">
        <w:rPr>
          <w:rFonts w:ascii="Times New Roman" w:hAnsi="Times New Roman"/>
          <w:color w:val="000000"/>
          <w:sz w:val="24"/>
          <w:szCs w:val="24"/>
          <w:lang w:val="en-ID"/>
        </w:rPr>
        <w:t>. Paris: OECD Publishing.</w:t>
      </w:r>
    </w:p>
    <w:p w14:paraId="3E640E88" w14:textId="77777777" w:rsidR="005E5132" w:rsidRPr="00C462A9" w:rsidRDefault="005E5132" w:rsidP="00F96E5E">
      <w:pPr>
        <w:ind w:left="851" w:hanging="851"/>
        <w:jc w:val="both"/>
        <w:rPr>
          <w:rFonts w:ascii="Times New Roman" w:hAnsi="Times New Roman"/>
          <w:color w:val="000000"/>
          <w:sz w:val="24"/>
          <w:szCs w:val="24"/>
          <w:lang w:val="en-ID"/>
        </w:rPr>
      </w:pPr>
      <w:proofErr w:type="spellStart"/>
      <w:r w:rsidRPr="00C462A9">
        <w:rPr>
          <w:rFonts w:ascii="Times New Roman" w:hAnsi="Times New Roman"/>
          <w:color w:val="000000"/>
          <w:sz w:val="24"/>
          <w:szCs w:val="24"/>
          <w:lang w:val="en-ID"/>
        </w:rPr>
        <w:t>Simanjuntak</w:t>
      </w:r>
      <w:proofErr w:type="spellEnd"/>
      <w:r w:rsidRPr="00C462A9">
        <w:rPr>
          <w:rFonts w:ascii="Times New Roman" w:hAnsi="Times New Roman"/>
          <w:color w:val="000000"/>
          <w:sz w:val="24"/>
          <w:szCs w:val="24"/>
          <w:lang w:val="en-ID"/>
        </w:rPr>
        <w:t xml:space="preserve">, M., et al. (2024). Dataset of digital literacy of university students in Indonesia. </w:t>
      </w:r>
      <w:r w:rsidRPr="00C462A9">
        <w:rPr>
          <w:rFonts w:ascii="Times New Roman" w:hAnsi="Times New Roman"/>
          <w:i/>
          <w:iCs/>
          <w:color w:val="000000"/>
          <w:sz w:val="24"/>
          <w:szCs w:val="24"/>
          <w:lang w:val="en-ID"/>
        </w:rPr>
        <w:t>Data in Brief</w:t>
      </w:r>
      <w:r w:rsidRPr="00C462A9">
        <w:rPr>
          <w:rFonts w:ascii="Times New Roman" w:hAnsi="Times New Roman"/>
          <w:color w:val="000000"/>
          <w:sz w:val="24"/>
          <w:szCs w:val="24"/>
          <w:lang w:val="en-ID"/>
        </w:rPr>
        <w:t>, 50, 109–115.</w:t>
      </w:r>
    </w:p>
    <w:p w14:paraId="1F8E44A9"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UNESCO. (2018). </w:t>
      </w:r>
      <w:r w:rsidRPr="00C462A9">
        <w:rPr>
          <w:rFonts w:ascii="Times New Roman" w:hAnsi="Times New Roman"/>
          <w:i/>
          <w:iCs/>
          <w:color w:val="000000"/>
          <w:sz w:val="24"/>
          <w:szCs w:val="24"/>
          <w:lang w:val="en-ID"/>
        </w:rPr>
        <w:t>A global framework of reference on digital literacy skills for indicator 4.4.2</w:t>
      </w:r>
      <w:r w:rsidRPr="00C462A9">
        <w:rPr>
          <w:rFonts w:ascii="Times New Roman" w:hAnsi="Times New Roman"/>
          <w:color w:val="000000"/>
          <w:sz w:val="24"/>
          <w:szCs w:val="24"/>
          <w:lang w:val="en-ID"/>
        </w:rPr>
        <w:t>. Paris: UNESCO.</w:t>
      </w:r>
    </w:p>
    <w:bookmarkEnd w:id="0"/>
    <w:p w14:paraId="6131DBDF" w14:textId="2FECC549" w:rsidR="00045688" w:rsidRPr="00045688" w:rsidRDefault="005E5132" w:rsidP="00045688">
      <w:pPr>
        <w:pStyle w:val="Default"/>
        <w:rPr>
          <w:rFonts w:ascii="Times New Roman" w:hAnsi="Times New Roman"/>
          <w:lang w:val="en-ID"/>
        </w:rPr>
      </w:pPr>
      <w:r>
        <w:rPr>
          <w:rFonts w:ascii="Times New Roman" w:hAnsi="Times New Roman"/>
          <w:lang w:val="en-ID"/>
        </w:rPr>
        <w:t xml:space="preserve"> </w:t>
      </w:r>
    </w:p>
    <w:p w14:paraId="61C2E6DB" w14:textId="3D558196" w:rsidR="00763467" w:rsidRPr="00594560" w:rsidRDefault="00763467" w:rsidP="005E1B2B">
      <w:pPr>
        <w:pStyle w:val="Default"/>
        <w:jc w:val="both"/>
        <w:rPr>
          <w:rFonts w:ascii="Times New Roman" w:hAnsi="Times New Roman" w:cs="Times New Roman"/>
          <w:b/>
          <w:color w:val="000000" w:themeColor="text1"/>
        </w:rPr>
      </w:pP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681DFB" w14:textId="77777777" w:rsidR="00151ABB" w:rsidRDefault="00151ABB" w:rsidP="00821842">
      <w:r>
        <w:separator/>
      </w:r>
    </w:p>
  </w:endnote>
  <w:endnote w:type="continuationSeparator" w:id="0">
    <w:p w14:paraId="34886B1F" w14:textId="77777777" w:rsidR="00151ABB" w:rsidRDefault="00151AB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6E6EB9" w14:textId="77777777" w:rsidR="00151ABB" w:rsidRDefault="00151ABB" w:rsidP="00821842">
      <w:r>
        <w:separator/>
      </w:r>
    </w:p>
  </w:footnote>
  <w:footnote w:type="continuationSeparator" w:id="0">
    <w:p w14:paraId="7943E8A9" w14:textId="77777777" w:rsidR="00151ABB" w:rsidRDefault="00151AB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40FB6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4349A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4BD14B4C"/>
    <w:multiLevelType w:val="hybridMultilevel"/>
    <w:tmpl w:val="FD4606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1EE4C00"/>
    <w:multiLevelType w:val="hybridMultilevel"/>
    <w:tmpl w:val="29D2E6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4FE5DCA"/>
    <w:multiLevelType w:val="hybridMultilevel"/>
    <w:tmpl w:val="3858FE44"/>
    <w:lvl w:ilvl="0" w:tplc="390E5B2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abstractNumId w:val="1"/>
  </w:num>
  <w:num w:numId="2">
    <w:abstractNumId w:val="0"/>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5688"/>
    <w:rsid w:val="00055654"/>
    <w:rsid w:val="000D7C53"/>
    <w:rsid w:val="000F3E94"/>
    <w:rsid w:val="001174A6"/>
    <w:rsid w:val="001337AC"/>
    <w:rsid w:val="00146FDE"/>
    <w:rsid w:val="00151ABB"/>
    <w:rsid w:val="00161925"/>
    <w:rsid w:val="001F49FA"/>
    <w:rsid w:val="00214FF2"/>
    <w:rsid w:val="002476E3"/>
    <w:rsid w:val="00282CFA"/>
    <w:rsid w:val="00347C15"/>
    <w:rsid w:val="00362B06"/>
    <w:rsid w:val="00397A52"/>
    <w:rsid w:val="003F7A9E"/>
    <w:rsid w:val="00462988"/>
    <w:rsid w:val="00475E20"/>
    <w:rsid w:val="004A0A1D"/>
    <w:rsid w:val="004B50F8"/>
    <w:rsid w:val="004E24DE"/>
    <w:rsid w:val="00502F05"/>
    <w:rsid w:val="00585E73"/>
    <w:rsid w:val="00594560"/>
    <w:rsid w:val="005E1B2B"/>
    <w:rsid w:val="005E5132"/>
    <w:rsid w:val="00620718"/>
    <w:rsid w:val="006251A3"/>
    <w:rsid w:val="00673E74"/>
    <w:rsid w:val="0070516B"/>
    <w:rsid w:val="007056B2"/>
    <w:rsid w:val="007077DF"/>
    <w:rsid w:val="007473B2"/>
    <w:rsid w:val="007526CD"/>
    <w:rsid w:val="00763467"/>
    <w:rsid w:val="007A092F"/>
    <w:rsid w:val="007A3AFF"/>
    <w:rsid w:val="008042D6"/>
    <w:rsid w:val="00821842"/>
    <w:rsid w:val="00885B4C"/>
    <w:rsid w:val="00893C86"/>
    <w:rsid w:val="008E1F35"/>
    <w:rsid w:val="00905905"/>
    <w:rsid w:val="009309B8"/>
    <w:rsid w:val="0096184D"/>
    <w:rsid w:val="009A2257"/>
    <w:rsid w:val="009C6545"/>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96E5E"/>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5071DDC0-D4CD-4601-860B-F20C5CFC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fullauthorChar">
    <w:name w:val="full_author Char"/>
    <w:link w:val="fullauthor"/>
    <w:rsid w:val="00893C86"/>
    <w:rPr>
      <w:rFonts w:ascii="Times New Roman" w:eastAsia="MS Mincho" w:hAnsi="Times New Roman"/>
      <w:lang w:val="en-US"/>
    </w:rPr>
  </w:style>
  <w:style w:type="paragraph" w:customStyle="1" w:styleId="fullauthor">
    <w:name w:val="full_author"/>
    <w:basedOn w:val="Normal"/>
    <w:link w:val="fullauthorChar"/>
    <w:qFormat/>
    <w:rsid w:val="00893C86"/>
    <w:pPr>
      <w:jc w:val="center"/>
    </w:pPr>
    <w:rPr>
      <w:rFonts w:ascii="Times New Roman" w:eastAsia="MS Mincho"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567936">
      <w:bodyDiv w:val="1"/>
      <w:marLeft w:val="0"/>
      <w:marRight w:val="0"/>
      <w:marTop w:val="0"/>
      <w:marBottom w:val="0"/>
      <w:divBdr>
        <w:top w:val="none" w:sz="0" w:space="0" w:color="auto"/>
        <w:left w:val="none" w:sz="0" w:space="0" w:color="auto"/>
        <w:bottom w:val="none" w:sz="0" w:space="0" w:color="auto"/>
        <w:right w:val="none" w:sz="0" w:space="0" w:color="auto"/>
      </w:divBdr>
    </w:div>
    <w:div w:id="232786413">
      <w:bodyDiv w:val="1"/>
      <w:marLeft w:val="0"/>
      <w:marRight w:val="0"/>
      <w:marTop w:val="0"/>
      <w:marBottom w:val="0"/>
      <w:divBdr>
        <w:top w:val="none" w:sz="0" w:space="0" w:color="auto"/>
        <w:left w:val="none" w:sz="0" w:space="0" w:color="auto"/>
        <w:bottom w:val="none" w:sz="0" w:space="0" w:color="auto"/>
        <w:right w:val="none" w:sz="0" w:space="0" w:color="auto"/>
      </w:divBdr>
    </w:div>
    <w:div w:id="340159467">
      <w:bodyDiv w:val="1"/>
      <w:marLeft w:val="0"/>
      <w:marRight w:val="0"/>
      <w:marTop w:val="0"/>
      <w:marBottom w:val="0"/>
      <w:divBdr>
        <w:top w:val="none" w:sz="0" w:space="0" w:color="auto"/>
        <w:left w:val="none" w:sz="0" w:space="0" w:color="auto"/>
        <w:bottom w:val="none" w:sz="0" w:space="0" w:color="auto"/>
        <w:right w:val="none" w:sz="0" w:space="0" w:color="auto"/>
      </w:divBdr>
    </w:div>
    <w:div w:id="1183788733">
      <w:bodyDiv w:val="1"/>
      <w:marLeft w:val="0"/>
      <w:marRight w:val="0"/>
      <w:marTop w:val="0"/>
      <w:marBottom w:val="0"/>
      <w:divBdr>
        <w:top w:val="none" w:sz="0" w:space="0" w:color="auto"/>
        <w:left w:val="none" w:sz="0" w:space="0" w:color="auto"/>
        <w:bottom w:val="none" w:sz="0" w:space="0" w:color="auto"/>
        <w:right w:val="none" w:sz="0" w:space="0" w:color="auto"/>
      </w:divBdr>
    </w:div>
    <w:div w:id="201460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4F910-8D3A-4B40-ADB0-E199E4A65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1334</TotalTime>
  <Pages>8</Pages>
  <Words>2295</Words>
  <Characters>13086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WINDOWS X</cp:lastModifiedBy>
  <cp:revision>5</cp:revision>
  <dcterms:created xsi:type="dcterms:W3CDTF">2019-11-26T08:44:00Z</dcterms:created>
  <dcterms:modified xsi:type="dcterms:W3CDTF">2026-05-04T13:23:00Z</dcterms:modified>
</cp:coreProperties>
</file>