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35FB9" w14:textId="77777777" w:rsidR="001F3CFD" w:rsidRPr="001F3CFD" w:rsidRDefault="001F3CFD" w:rsidP="00D377B5">
      <w:pPr>
        <w:jc w:val="both"/>
      </w:pPr>
      <w:r w:rsidRPr="001F3CFD">
        <w:rPr>
          <w:i/>
          <w:iCs/>
        </w:rPr>
        <w:t>Review</w:t>
      </w:r>
    </w:p>
    <w:p w14:paraId="613BF467" w14:textId="77777777" w:rsidR="001F3CFD" w:rsidRPr="001F3CFD" w:rsidRDefault="001F3CFD" w:rsidP="00D377B5">
      <w:pPr>
        <w:jc w:val="both"/>
        <w:rPr>
          <w:sz w:val="24"/>
          <w:szCs w:val="24"/>
        </w:rPr>
      </w:pPr>
      <w:r w:rsidRPr="001F3CFD">
        <w:rPr>
          <w:b/>
          <w:bCs/>
          <w:sz w:val="24"/>
          <w:szCs w:val="24"/>
        </w:rPr>
        <w:t>Rural Economic Transformation: The impact of digitalization and e-commerce platforms on the rural economy in Tanah Papua</w:t>
      </w:r>
    </w:p>
    <w:p w14:paraId="541BF619" w14:textId="77777777" w:rsidR="001F3CFD" w:rsidRPr="001F3CFD" w:rsidRDefault="001F3CFD" w:rsidP="00D377B5">
      <w:pPr>
        <w:jc w:val="both"/>
      </w:pPr>
      <w:r w:rsidRPr="001F3CFD">
        <w:rPr>
          <w:b/>
          <w:bCs/>
        </w:rPr>
        <w:t>Meky Sagrim</w:t>
      </w:r>
      <w:r w:rsidRPr="001F3CFD">
        <w:rPr>
          <w:b/>
          <w:bCs/>
          <w:vertAlign w:val="superscript"/>
        </w:rPr>
        <w:t>1</w:t>
      </w:r>
    </w:p>
    <w:p w14:paraId="4FBCFF63" w14:textId="30802D86" w:rsidR="001F3CFD" w:rsidRDefault="001F3CFD" w:rsidP="00D377B5">
      <w:pPr>
        <w:jc w:val="both"/>
      </w:pPr>
      <w:r w:rsidRPr="001F3CFD">
        <w:rPr>
          <w:vertAlign w:val="superscript"/>
        </w:rPr>
        <w:t>1</w:t>
      </w:r>
      <w:r w:rsidRPr="001F3CFD">
        <w:t xml:space="preserve">Faculty Agriculture. University of Papua. Jl. </w:t>
      </w:r>
      <w:proofErr w:type="spellStart"/>
      <w:r w:rsidR="008F36E6">
        <w:t>Gunung</w:t>
      </w:r>
      <w:proofErr w:type="spellEnd"/>
      <w:r w:rsidR="008F36E6">
        <w:t xml:space="preserve"> </w:t>
      </w:r>
      <w:proofErr w:type="spellStart"/>
      <w:r w:rsidR="008F36E6">
        <w:t>Salju</w:t>
      </w:r>
      <w:proofErr w:type="spellEnd"/>
      <w:r w:rsidRPr="001F3CFD">
        <w:t xml:space="preserve">, Amban. </w:t>
      </w:r>
      <w:proofErr w:type="spellStart"/>
      <w:r w:rsidRPr="001F3CFD">
        <w:t>Manokwari</w:t>
      </w:r>
      <w:proofErr w:type="spellEnd"/>
      <w:r w:rsidRPr="001F3CFD">
        <w:t>-West Papua, Indonesia. Zip Code 98314.</w:t>
      </w:r>
    </w:p>
    <w:p w14:paraId="21A3B25D" w14:textId="306B5E49" w:rsidR="008F36E6" w:rsidRPr="001F3CFD" w:rsidRDefault="008F36E6" w:rsidP="00D377B5">
      <w:pPr>
        <w:jc w:val="both"/>
      </w:pPr>
      <w:r>
        <w:t xml:space="preserve">E-mail: </w:t>
      </w:r>
      <w:hyperlink r:id="rId7" w:history="1">
        <w:r w:rsidRPr="0085023A">
          <w:rPr>
            <w:rStyle w:val="Hyperlink"/>
          </w:rPr>
          <w:t>m.sagrim@unipa.ac.id</w:t>
        </w:r>
      </w:hyperlink>
      <w:r>
        <w:t xml:space="preserve"> </w:t>
      </w:r>
    </w:p>
    <w:p w14:paraId="209E5ECB" w14:textId="77777777" w:rsidR="001F3CFD" w:rsidRPr="001F3CFD" w:rsidRDefault="001F3CFD" w:rsidP="00D377B5">
      <w:pPr>
        <w:jc w:val="both"/>
        <w:rPr>
          <w:sz w:val="20"/>
          <w:szCs w:val="20"/>
        </w:rPr>
      </w:pPr>
      <w:r w:rsidRPr="001F3CFD">
        <w:rPr>
          <w:b/>
          <w:bCs/>
          <w:sz w:val="20"/>
          <w:szCs w:val="20"/>
        </w:rPr>
        <w:t>Abstract</w:t>
      </w:r>
    </w:p>
    <w:p w14:paraId="76A765D0" w14:textId="77777777" w:rsidR="001F3CFD" w:rsidRPr="001F3CFD" w:rsidRDefault="001F3CFD" w:rsidP="00D377B5">
      <w:pPr>
        <w:jc w:val="both"/>
        <w:rPr>
          <w:sz w:val="20"/>
          <w:szCs w:val="20"/>
        </w:rPr>
      </w:pPr>
      <w:r w:rsidRPr="001F3CFD">
        <w:rPr>
          <w:sz w:val="20"/>
          <w:szCs w:val="20"/>
        </w:rPr>
        <w:t>The transformation of the rural economy in Papua is an important concern in the era of increasingly digitalization. This paper explores the impact of digitalization and e-commerce platforms on changes in economic structure in rural areas of Papua. The use of digital technology, such as e-commerce platforms, provides access for rural communities to expand the marketing of their local agricultural and craft products to wider markets, including national and international. Digitalization also encourages the growth of local entrepreneurship, increases access to market information, and creates new economic opportunities in areas that were previously difficult to reach. However, infrastructure challenges, limited digital skills, and gaps in access to technology are still the main obstacles for some rural communities. Through a holistic approach, including improving digital infrastructure and skills training, digitalization and e-commerce platforms have the potential to accelerate inclusive and sustainable economic transformation in the Land of Papua. This paper provides an in-depth analysis of the opportunities, challenges and long-term impacts of digitalization in supporting rural economic development in Papua.</w:t>
      </w:r>
    </w:p>
    <w:p w14:paraId="0EF9D520" w14:textId="77777777" w:rsidR="001F3CFD" w:rsidRPr="001F3CFD" w:rsidRDefault="001F3CFD" w:rsidP="00D377B5">
      <w:pPr>
        <w:jc w:val="both"/>
        <w:rPr>
          <w:sz w:val="20"/>
          <w:szCs w:val="20"/>
        </w:rPr>
      </w:pPr>
      <w:r w:rsidRPr="001F3CFD">
        <w:rPr>
          <w:b/>
          <w:bCs/>
          <w:sz w:val="20"/>
          <w:szCs w:val="20"/>
        </w:rPr>
        <w:t>Keywords:</w:t>
      </w:r>
      <w:r w:rsidRPr="001F3CFD">
        <w:rPr>
          <w:sz w:val="20"/>
          <w:szCs w:val="20"/>
        </w:rPr>
        <w:t xml:space="preserve"> </w:t>
      </w:r>
      <w:r w:rsidRPr="001F3CFD">
        <w:rPr>
          <w:i/>
          <w:iCs/>
          <w:sz w:val="20"/>
          <w:szCs w:val="20"/>
        </w:rPr>
        <w:t>Rural economic transformation, digitalization, e-commerce, Tanah Papua, local product marketing, inclusiveness</w:t>
      </w:r>
    </w:p>
    <w:p w14:paraId="2171EA25" w14:textId="77777777" w:rsidR="001F3CFD" w:rsidRPr="001F3CFD" w:rsidRDefault="001F3CFD" w:rsidP="00D377B5">
      <w:pPr>
        <w:jc w:val="both"/>
      </w:pPr>
      <w:r w:rsidRPr="001F3CFD">
        <w:rPr>
          <w:b/>
          <w:bCs/>
        </w:rPr>
        <w:t>1.</w:t>
      </w:r>
      <w:r w:rsidRPr="001F3CFD">
        <w:t xml:space="preserve">         </w:t>
      </w:r>
      <w:r w:rsidRPr="001F3CFD">
        <w:rPr>
          <w:b/>
          <w:bCs/>
        </w:rPr>
        <w:t>Rural Economic Transformation Concept</w:t>
      </w:r>
    </w:p>
    <w:p w14:paraId="2A3045CA" w14:textId="77777777" w:rsidR="001F3CFD" w:rsidRPr="001F3CFD" w:rsidRDefault="001F3CFD" w:rsidP="00D377B5">
      <w:pPr>
        <w:jc w:val="both"/>
      </w:pPr>
      <w:r w:rsidRPr="001F3CFD">
        <w:t>Rural (village) economic activities in Papua generally reflect the community's dependence on natural resources, with various economic activities based on the agricultural, fisheries, forestry and handicraft sectors. Rural communities in Papua, including Indigenous Papuans (OAP), have an economic system that is closely linked to the surrounding natural conditions and strong local culture.</w:t>
      </w:r>
    </w:p>
    <w:p w14:paraId="18F220A4" w14:textId="77777777" w:rsidR="001F3CFD" w:rsidRPr="001F3CFD" w:rsidRDefault="001F3CFD" w:rsidP="00D377B5">
      <w:pPr>
        <w:jc w:val="both"/>
      </w:pPr>
      <w:r w:rsidRPr="001F3CFD">
        <w:t>Traditional agriculture and plantations in Papua are carried out using subsistence farming patterns. Most rural Papuans rely on subsistence farming to meet their family's food needs. The staple crops that are often planted are tubers, taro, corn, bananas and sago. This agricultural pattern is very simple and depends on the climate and fertility of the surrounding soil. Apart from that, small plantations. Some villages have small plantations that produce products such as coffee, cocoa, coconut and nutmeg. These plantation crops are generally important commodities for local and regional markets, although infrastructure and market access challenges are often obstacles.</w:t>
      </w:r>
    </w:p>
    <w:p w14:paraId="1BDAE748" w14:textId="77777777" w:rsidR="001F3CFD" w:rsidRPr="001F3CFD" w:rsidRDefault="001F3CFD" w:rsidP="00D377B5">
      <w:pPr>
        <w:jc w:val="both"/>
      </w:pPr>
      <w:r w:rsidRPr="001F3CFD">
        <w:t>The fisheries sector in Papua is carried out through traditional fishing. Villages on the coast of Papua utilize marine products through traditional fishing</w:t>
      </w:r>
      <w:r w:rsidR="00D377B5">
        <w:t xml:space="preserve"> </w:t>
      </w:r>
      <w:r w:rsidR="00D377B5">
        <w:fldChar w:fldCharType="begin" w:fldLock="1"/>
      </w:r>
      <w:r w:rsidR="00D377B5">
        <w:instrText>ADDIN CSL_CITATION {"citationItems":[{"id":"ITEM-1","itemData":{"abstract":"Arunachal Himalaya is the part of Eastern Himalaya with high ethnic and cultural diversity. It shares 2.5% of the total geographical area of the country, 15.76% of Indian Himalayan region and 43.62% of the Biological Hotspot, Eastern Himalaya. Apatani is one of the major ethnic tribal groups of Arunachal Himalaya inhabiting eco-culturally valued zone in Ziro valley, sharing 2.26% population of the Arunachal Pradesh. The community has distinct traditional land use practices and rich traditional ecological knowledge of natural resources management and conservation, acquired over the centuries through informal experimentation. Forest based land use has been classified into 8 sub-types having a plot size of 0.096±0.006 to 8.602±0.385 ha and agriculture with 6 sub-types of a plot size between 0.015±0.001 to 0.098±0.007 ha. Richness of forest is maintained through traditional ecological knowledge by means of selective harvesting, as well as by conserving the potential, ritualistic and socio-culturally valued species. Ziro Valley, a fascinating piece of land comprises of about 33 km 2 of cultivable areas out of 1058 km 2 of plateau, undulated by small hillocks at an elevation of 1525 m msl to a mountains tract ranging from 1830 to 2900 m in altitude. Only a limited area has been brought under cultivation, whereby the rest is under settlement and forest cover, which signifies the ecologically equilibrium management practices. Resource conservation is not only confined to forestry but also to agriculture with high agro-biodiversity (16 and 4 landraces of rice and millet respectively), and strong sense of soil and water conservation practices through indigenous technologies. Agronomic yield is five times as high as state average with maximum of 55 qha -1 , and is further strengthened by integration of fish culture. By appreciating the potential role of biodiversity in rural economy of Apatani and its socio-cultural values, conservation of flora and fauna is in their social norm over centuries. This paper explores the ecological management of natural and human modified ecosystems in Apatani plateau of Arunachal Himalaya in North East India. [Journal of American Science 2009;5(5):41-52]. (ISSN: 1545-1003).","author":[{"dropping-particle":"","family":"Dollo","given":"Mihin","non-dropping-particle":"","parse-names":false,"suffix":""},{"dropping-particle":"","family":"Samal","given":"Prasanna K","non-dropping-particle":"","parse-names":false,"suffix":""},{"dropping-particle":"","family":"Sundriyal","given":"R C","non-dropping-particle":"","parse-names":false,"suffix":""},{"dropping-particle":"","family":"Kumar","given":"Kireet","non-dropping-particle":"","parse-names":false,"suffix":""}],"container-title":"Marsland Press Journal of American Science","id":"ITEM-1","issue":"5","issued":{"date-parts":[["2009"]]},"page":"41-52","title":"Environmentally Sustainable Traditional Natural Resource Management and Conservation in Ziro Valley , Arunachal Himalaya , India","type":"article-journal","volume":"5"},"uris":["http://www.mendeley.com/documents/?uuid=d08fe20f-fede-4d04-9377-88c293fbe320"]}],"mendeley":{"formattedCitation":"(Dollo et al. 2009)","plainTextFormattedCitation":"(Dollo et al. 2009)","previouslyFormattedCitation":"(Dollo et al. 2009)"},"properties":{"noteIndex":0},"schema":"https://github.com/citation-style-language/schema/raw/master/csl-citation.json"}</w:instrText>
      </w:r>
      <w:r w:rsidR="00D377B5">
        <w:fldChar w:fldCharType="separate"/>
      </w:r>
      <w:r w:rsidR="00D377B5" w:rsidRPr="00D377B5">
        <w:rPr>
          <w:noProof/>
        </w:rPr>
        <w:t>(Dollo et al. 2009)</w:t>
      </w:r>
      <w:r w:rsidR="00D377B5">
        <w:fldChar w:fldCharType="end"/>
      </w:r>
      <w:r w:rsidRPr="001F3CFD">
        <w:t>. This method uses simple boats, nets and other traditional equipment. The catch is usually sold at local markets or consumed by the family themselves.  Next is fish and shrimp cultivation. Several villages have begun to develop freshwater fish cultivation such as tilapia, catfish and shrimp as an alternative to increase household economic income.</w:t>
      </w:r>
    </w:p>
    <w:p w14:paraId="37E7755F" w14:textId="77777777" w:rsidR="001F3CFD" w:rsidRPr="001F3CFD" w:rsidRDefault="001F3CFD" w:rsidP="00D377B5">
      <w:pPr>
        <w:jc w:val="both"/>
      </w:pPr>
      <w:r w:rsidRPr="001F3CFD">
        <w:t>One of the oldest livelihood activities is hunting and gathering</w:t>
      </w:r>
      <w:r w:rsidR="00D377B5">
        <w:t xml:space="preserve"> </w:t>
      </w:r>
      <w:r w:rsidR="00D377B5">
        <w:fldChar w:fldCharType="begin" w:fldLock="1"/>
      </w:r>
      <w:r w:rsidR="00D377B5">
        <w:instrText>ADDIN CSL_CITATION {"citationItems":[{"id":"ITEM-1","itemData":{"ISSN":"2502-5694","abstract":"online) | © 2022 OR IPSH-BRIN. Published by Penerbit BRIN. This is an open access article under the CC BY-NC-SA license (https://creativecommons.org/licenses/by-nc-sa/4.0/). ABSTRACT The Kayo Pulau ethnic group and other indigenous ethnic groups in the Humboldt bay, Jayapura City are groups of ethnic groups that Keesing refers to as tribal communities, communities without a central economy and central politics. Those ethnic groups can be categorized as pre-industrial societies by Lewellen, with the type of society that Fried calls rank society. The history of the Second World War brought ethnic groups in the city of Jayapura immediately into the modern world, where the presence of the Japanese Army in 1942 and the Allies of 1944 opened various war infrastructures there. After the departure of the Dutch Government and Papua returned to Indonesia in 1963, until now Jayapura has become one of the most developed region and become a highly polyethnical region. The development and the diversity of Jayapura city make this city called Little Indonesia. The study of relations between ethnic groups in Kampung Kayo Pulau is conducted approximately 3 years, between 2015-2018. The research is done using ethnographic methods, with participatory observation techniques, interviews, and literature studies from various sources are used. The analysis proccess is done other than Kampung Kayo Pulau, is also raised to the level of Jayapura City and Jayapura Regency where the socio-cultural character of the population is similar The main concept used in this study is the concept of ethnicity from Barth and Eriksen, where inter-ethnic relations are melting and constructive. However, the emphasis of Barth's concept is on the relations of individuals and families in an ecological and demographic perspective. Whereas Eriksen's is more on the historical context. The inter-ethnic relations of the Kayo Pulau people with other ethnic groups in Jayapura City, I look at four contexts, those are kinship, economy, politics and religion. In relation to these four contexts, the inclusive nature of Kayo Pulau and indigenous ethnic groups in Jayapura City which always seek equality and embrace other ethnic groups, are important values in maintaining a tolerant and harmonious life.","author":[{"dropping-particle":"","family":"Lekitoo","given":"Hanro Yonathan","non-dropping-particle":"","parse-names":false,"suffix":""}],"container-title":"Jurnal Masyarakat Indonesia","id":"ITEM-1","issue":"1","issued":{"date-parts":[["2022"]]},"page":"131-146","title":"Disertasi Relasi Kelompok Etnik Antar-Orang Kayo Pulau dengan Kelompok Etnik lainnya di Kota Jayapura Provinsi Papua Inter-ethnic Relationship between Kayo Pulau Ethnic Group and Other Indigenous Ethnic Groups in Jayapura City of Papua Province","type":"article-journal","volume":"48"},"uris":["http://www.mendeley.com/documents/?uuid=15c7178e-8715-46b4-b138-0602b62ceec4"]}],"mendeley":{"formattedCitation":"(Lekitoo 2022)","plainTextFormattedCitation":"(Lekitoo 2022)","previouslyFormattedCitation":"(Lekitoo 2022)"},"properties":{"noteIndex":0},"schema":"https://github.com/citation-style-language/schema/raw/master/csl-citation.json"}</w:instrText>
      </w:r>
      <w:r w:rsidR="00D377B5">
        <w:fldChar w:fldCharType="separate"/>
      </w:r>
      <w:r w:rsidR="00D377B5" w:rsidRPr="00D377B5">
        <w:rPr>
          <w:noProof/>
        </w:rPr>
        <w:t>(Lekitoo 2022)</w:t>
      </w:r>
      <w:r w:rsidR="00D377B5">
        <w:fldChar w:fldCharType="end"/>
      </w:r>
      <w:r w:rsidRPr="001F3CFD">
        <w:t xml:space="preserve">. Hunting wild animals such as wild boars, deer and cassowaries is an important part of life for rural Papuan people, especially </w:t>
      </w:r>
      <w:r w:rsidRPr="001F3CFD">
        <w:lastRenderedPageBreak/>
        <w:t>in mountainous areas</w:t>
      </w:r>
      <w:r w:rsidR="00D377B5">
        <w:t xml:space="preserve"> </w:t>
      </w:r>
      <w:r w:rsidR="00D377B5">
        <w:fldChar w:fldCharType="begin" w:fldLock="1"/>
      </w:r>
      <w:r w:rsidR="00D377B5">
        <w:instrText>ADDIN CSL_CITATION {"citationItems":[{"id":"ITEM-1","itemData":{"DOI":"10.15451/ec2023-09-12.20-1-11","author":[{"dropping-particle":"","family":"Pattiselanno","given":"Freddy","non-dropping-particle":"","parse-names":false,"suffix":""},{"dropping-particle":"","family":"Lloyd","given":"Janice K F","non-dropping-particle":"","parse-names":false,"suffix":""},{"dropping-particle":"","family":"Krockenberger","given":"Andrew","non-dropping-particle":"","parse-names":false,"suffix":""},{"dropping-particle":"","family":"Arobaya","given":"Agustina Y S","non-dropping-particle":"","parse-names":false,"suffix":""},{"dropping-particle":"","family":"Sheil","given":"Douglas","non-dropping-particle":"","parse-names":false,"suffix":""}],"id":"ITEM-1","issue":"September","issued":{"date-parts":[["2023"]]},"title":"Hunting in Indonesian New Guinea : dogs , conservation and culture","type":"article-journal","volume":"20"},"uris":["http://www.mendeley.com/documents/?uuid=e3b7332a-7515-459b-a565-07af0ab347e9"]},{"id":"ITEM-2","itemData":{"author":[{"dropping-particle":"","family":"Pattiselanno","given":"Freddy","non-dropping-particle":"","parse-names":false,"suffix":""}],"container-title":"Biota","id":"ITEM-2","issue":"1","issued":{"date-parts":[["2006"]]},"page":"59-61","title":"The Wildlife Hunting in Papua","type":"article-journal","volume":"XI"},"uris":["http://www.mendeley.com/documents/?uuid=8207d211-fe2a-45f3-a48c-545ede6532b9"]},{"id":"ITEM-3","itemData":{"DOI":"10.4308/hjb.21.4.180","ISSN":"20864094","abstract":"Native Papuans are relied on hunting for subsistence purposes and significantly contributed to traditional cultures. However, in Papua information on hunting is limited and largely restricted to anthropological setting with most observations were done on the forest sites in lowland and highland landscapes. This study focuses on the contribution of hunting on food security along the coastal forests at the Bird's Head Peninsula. Do people live near coastal sites mostly rely on marine resources as protein source? We gathered data on hunting by the majority of Karon ethnic group in the Abun district of Tambrauw Regency at the Bird's Head Peninsula of Papua, Indonesia. We used information from in-depth interviews with hunters and households meal survey at four villages of Abun: Waibem, Wau, Warmandi and Saubeba. Reasons for hunting were varies among respondents but mostly conducted for trade. Six species of mammals and three birds were commonly hunted by using six different hunting techniques. Wild pig and rusa deer were the major targets in hunting to meet the demand of meat for both trading and household consumption. Meals containing wildmeat was the most consumed meal, greater than meals containing fish, animal products and vegetables, and noodles.","author":[{"dropping-particle":"","family":"Pattiselanno","given":"F","non-dropping-particle":"","parse-names":false,"suffix":""},{"dropping-particle":"","family":"Lubis","given":"MI","non-dropping-particle":"","parse-names":false,"suffix":""}],"container-title":"HAYATI Journal of Biosciences","id":"ITEM-3","issue":"4","issued":{"date-parts":[["2014"]]},"page":"180-186","title":"Hunting at the Abun Regional Marine Protected Areas: A Link Between Wildmeat and Food Security","type":"article-journal","volume":"21"},"uris":["http://www.mendeley.com/documents/?uuid=881fe057-3189-4b4f-8530-045e627efcf9"]}],"mendeley":{"formattedCitation":"(Freddy Pattiselanno et al. 2023; Freddy Pattiselanno 2006; F Pattiselanno and Lubis 2014)","manualFormatting":"(Freddy Pattiselanno et al. 2023)","plainTextFormattedCitation":"(Freddy Pattiselanno et al. 2023; Freddy Pattiselanno 2006; F Pattiselanno and Lubis 2014)","previouslyFormattedCitation":"(Freddy Pattiselanno et al. 2023; Freddy Pattiselanno 2006; F Pattiselanno and Lubis 2014)"},"properties":{"noteIndex":0},"schema":"https://github.com/citation-style-language/schema/raw/master/csl-citation.json"}</w:instrText>
      </w:r>
      <w:r w:rsidR="00D377B5">
        <w:fldChar w:fldCharType="separate"/>
      </w:r>
      <w:r w:rsidR="00D377B5" w:rsidRPr="00D377B5">
        <w:rPr>
          <w:noProof/>
        </w:rPr>
        <w:t>(Freddy Pattiselanno et al. 2023)</w:t>
      </w:r>
      <w:r w:rsidR="00D377B5">
        <w:fldChar w:fldCharType="end"/>
      </w:r>
      <w:r w:rsidRPr="001F3CFD">
        <w:t xml:space="preserve">. This hunting activity not only </w:t>
      </w:r>
      <w:r w:rsidR="00D377B5" w:rsidRPr="001F3CFD">
        <w:t>fulfils</w:t>
      </w:r>
      <w:r w:rsidRPr="001F3CFD">
        <w:t xml:space="preserve"> food needs, but also has cultural and social value. The community also gathers forest products such as sago, forest fruits and traditional medicinal ingredients. Forests provide many vital resources for the daily lives of Papuan people.</w:t>
      </w:r>
    </w:p>
    <w:p w14:paraId="458E8A8A" w14:textId="77777777" w:rsidR="001F3CFD" w:rsidRPr="001F3CFD" w:rsidRDefault="001F3CFD" w:rsidP="00D377B5">
      <w:pPr>
        <w:jc w:val="both"/>
      </w:pPr>
      <w:r w:rsidRPr="001F3CFD">
        <w:t xml:space="preserve">Rural communities in Papua produce various traditional handicrafts such as </w:t>
      </w:r>
      <w:proofErr w:type="spellStart"/>
      <w:r w:rsidRPr="001F3CFD">
        <w:t>noken</w:t>
      </w:r>
      <w:proofErr w:type="spellEnd"/>
      <w:r w:rsidRPr="001F3CFD">
        <w:t xml:space="preserve"> (traditional bags made from plant </w:t>
      </w:r>
      <w:proofErr w:type="spellStart"/>
      <w:r w:rsidRPr="001F3CFD">
        <w:t>fibers</w:t>
      </w:r>
      <w:proofErr w:type="spellEnd"/>
      <w:r w:rsidRPr="001F3CFD">
        <w:t xml:space="preserve">), wood carvings, and </w:t>
      </w:r>
      <w:proofErr w:type="spellStart"/>
      <w:r w:rsidRPr="001F3CFD">
        <w:t>jewelry</w:t>
      </w:r>
      <w:proofErr w:type="spellEnd"/>
      <w:r w:rsidRPr="001F3CFD">
        <w:t xml:space="preserve"> made from shells and stones. These crafts are usually sold at local markets or to tourists. In some areas, such as </w:t>
      </w:r>
      <w:proofErr w:type="spellStart"/>
      <w:r w:rsidRPr="001F3CFD">
        <w:t>Sentani</w:t>
      </w:r>
      <w:proofErr w:type="spellEnd"/>
      <w:r w:rsidRPr="001F3CFD">
        <w:t xml:space="preserve"> and Biak, traditional weaving is one of the economic activities produced by local women. Woven products are often highly valued because of the beauty and cultural value they contain.</w:t>
      </w:r>
    </w:p>
    <w:p w14:paraId="08659F7C" w14:textId="77777777" w:rsidR="001F3CFD" w:rsidRPr="001F3CFD" w:rsidRDefault="001F3CFD" w:rsidP="00D377B5">
      <w:pPr>
        <w:jc w:val="both"/>
      </w:pPr>
      <w:r w:rsidRPr="001F3CFD">
        <w:t>Villages in Papua usually have traditional markets where people sell agricultural products, fish, crafts and other basic necessities. Trading in this market is the main means for people to earn cash income and meet their daily needs. In several inland villages, the barter system is still used as a way of exchanging goods between people. This shows the limitations of cash in areas far from banking access.</w:t>
      </w:r>
    </w:p>
    <w:p w14:paraId="3DA4193C" w14:textId="77777777" w:rsidR="001F3CFD" w:rsidRPr="001F3CFD" w:rsidRDefault="001F3CFD" w:rsidP="00D377B5">
      <w:pPr>
        <w:jc w:val="both"/>
      </w:pPr>
      <w:r w:rsidRPr="001F3CFD">
        <w:t xml:space="preserve">Forest-based economies such as wood and non-wood extraction are also pursued by Papuan village communities </w:t>
      </w:r>
      <w:r w:rsidR="00D377B5">
        <w:fldChar w:fldCharType="begin" w:fldLock="1"/>
      </w:r>
      <w:r w:rsidR="00D377B5">
        <w:instrText>ADDIN CSL_CITATION {"citationItems":[{"id":"ITEM-1","itemData":{"ISBN":"0986212156","abstract":"Hewan liar atau satwa di hutan tropis merupakan hasil hutan bukan kayu (HHBK) yang dimanfaatkan melalui aktivitas perburuan sebagai sumber makanan, pendapatan dan memainkan peran yang tidak kalah penting berdasarkan aspek sosial budaya bagi komunitas yang hidup di sekitar hutan. Dalam kaitannya dengan sosial budaya masyarakat setempat, satwa mempunyai hubungan yang sangat erat dengan aspek spiritual dan praktek budaya tradisional misalnya aspek etnozoologi (ethnozoological aspect) atau pemanfaatan obat tradisonal. Artikel ini mereview dan mendiskusikan tentang aktivitas perburuan tradisional yang berkaian dengan kearifan tradisional sebagai bentuk pendekatan konservasi satwa liar di Papua. Hasil penelitian menunjukkan bahwa perburuan satwa dilakukan untuk memenuhi kebutuhan konsumsi keluarga dengan target buruan tertentu, menggunakan peralatan buru tradisional, dilakukan di wilayah yang diijinkan untuk berburu, dan berburu berdasarkan musim. Beberapa faktor yang berhasil diidentifikasi sebagai faktor ancaman serius terhadap kelestarian satwaliar di hutan tropis Papua, antara lain peningkatan populasi penduduk, tersedianya akses ke daerah yang sebelumnya terisolasi, penggunaan alat buru modern dan mulai terkikisnya praktek-praktek tradisional dalam perburuan.","author":[{"dropping-particle":"","family":"Pattiselanno","given":"F","non-dropping-particle":"","parse-names":false,"suffix":""},{"dropping-particle":"","family":"Arobaya","given":"AYS","non-dropping-particle":"","parse-names":false,"suffix":""}],"container-title":"Media Konservasi","id":"ITEM-1","issue":"2","issued":{"date-parts":[["2011"]]},"page":"95-100","title":"Subsistence Indigenous Hunting in Papua : Does It Sustainable?","type":"article-journal","volume":"16"},"uris":["http://www.mendeley.com/documents/?uuid=1c0a29f0-563a-4135-84cb-18cb13560371"]}],"mendeley":{"formattedCitation":"(F Pattiselanno and Arobaya 2011)","plainTextFormattedCitation":"(F Pattiselanno and Arobaya 2011)","previouslyFormattedCitation":"(F Pattiselanno and Arobaya 2011)"},"properties":{"noteIndex":0},"schema":"https://github.com/citation-style-language/schema/raw/master/csl-citation.json"}</w:instrText>
      </w:r>
      <w:r w:rsidR="00D377B5">
        <w:fldChar w:fldCharType="separate"/>
      </w:r>
      <w:r w:rsidR="00D377B5" w:rsidRPr="00D377B5">
        <w:rPr>
          <w:noProof/>
        </w:rPr>
        <w:t>(F Pattiselanno and Arobaya 2011)</w:t>
      </w:r>
      <w:r w:rsidR="00D377B5">
        <w:fldChar w:fldCharType="end"/>
      </w:r>
      <w:r w:rsidRPr="001F3CFD">
        <w:t>. In inland areas, especially around forest areas, people take forest products such as wood, rattan and resin. Extracted wood is usually used to build houses and local infrastructure, while non-timber forest products such as rattan are traded or processed into crafts. They also manage Customary Forests. Many Papuan people have customary rights to the forests around their villages. These forests are guarded and managed according to custom, with sustainable use of forest products.</w:t>
      </w:r>
    </w:p>
    <w:p w14:paraId="5B68EDAF" w14:textId="77777777" w:rsidR="001F3CFD" w:rsidRPr="001F3CFD" w:rsidRDefault="001F3CFD" w:rsidP="00D377B5">
      <w:pPr>
        <w:jc w:val="both"/>
      </w:pPr>
      <w:r w:rsidRPr="001F3CFD">
        <w:t xml:space="preserve">Several villages, especially in areas rich in natural beauty such as Raja Ampat and the </w:t>
      </w:r>
      <w:proofErr w:type="spellStart"/>
      <w:r w:rsidRPr="001F3CFD">
        <w:t>Jayawijaya</w:t>
      </w:r>
      <w:proofErr w:type="spellEnd"/>
      <w:r w:rsidRPr="001F3CFD">
        <w:t xml:space="preserve"> Mountains, have begun to develop nature and culture-based tourism sectors. Local communities are involved as tour guides, accommodation service providers, and craft business actors. Apart from that, the community also provides homestays for tourists who are interested in experiencing village life in Papua and enjoying unique local culinary delights.</w:t>
      </w:r>
    </w:p>
    <w:p w14:paraId="63733913" w14:textId="77777777" w:rsidR="001F3CFD" w:rsidRPr="001F3CFD" w:rsidRDefault="001F3CFD" w:rsidP="00D377B5">
      <w:pPr>
        <w:jc w:val="both"/>
      </w:pPr>
      <w:r w:rsidRPr="001F3CFD">
        <w:rPr>
          <w:b/>
          <w:bCs/>
        </w:rPr>
        <w:t>2. Rural Economic Challenges in Papua</w:t>
      </w:r>
    </w:p>
    <w:p w14:paraId="56617A53" w14:textId="77777777" w:rsidR="001F3CFD" w:rsidRPr="001F3CFD" w:rsidRDefault="001F3CFD" w:rsidP="00D377B5">
      <w:pPr>
        <w:jc w:val="both"/>
      </w:pPr>
      <w:r w:rsidRPr="001F3CFD">
        <w:t>One of the main obstacles faced by rural communities in Papua is the lack of infrastructure such as roads, bridges and transportation. This makes access to wider markets difficult and hinders economic growth. Many villages in Papua do not yet have access to modern technology such as internet or electricity</w:t>
      </w:r>
      <w:r w:rsidR="008C6815">
        <w:t xml:space="preserve"> </w:t>
      </w:r>
      <w:r w:rsidR="008C6815">
        <w:fldChar w:fldCharType="begin" w:fldLock="1"/>
      </w:r>
      <w:r w:rsidR="008C6815">
        <w:instrText>ADDIN CSL_CITATION {"citationItems":[{"id":"ITEM-1","itemData":{"ISBN":"9786021373804","abstract":"Cyber Extension merupakan media komunikasi inovasi baru yang bersifat hybrid dan konvergen yang memanfaatkan jaringan internet, komunikasi melalui komputer dan multimedia interaktif digital untuk menjembatani proses transformasi ilmu pengetahuan dan teknologi baru dibidang pertanian secara cepat. Hadirnya cyber extension merupakan tahapan baru dalam penyuluhan pertanian dalam era MEA di Indonesia. Dalam cyber extension jarak geografis antara penyuluh pusat dengan penyuluh di daerah sudah tidak menjadi penghalang. penelitian ini bertujuan untuk mengetahui optimalisasi peran cyber extension dalam pembangunan pertanian di era MEA. Metode yang digunakan dalam penelitian ini adalah metode deskriptif, yaitu penelitian yang bertujuan mendeskripsikan atau menjelaskan suatu hal seperti apa adanya. Sedangkan bahan dan metode yang digunakan dalam penelitian ini ialah menggunakan studi pustaka (literature review). Kesimpulan dari penelitian ini adalah optimalisasi cyber extension dapat dilakukan dengan beberapa cara, antara lain ialah pelatihan keterampilan penggunaan komputer dan internet bagi penyuluh, sehingga penyuluh menjadi lebih kompeten dalam menggunakan teknologi informasi Kata","author":[{"dropping-particle":"","family":"Praza","given":"Riyandhi","non-dropping-particle":"","parse-names":false,"suffix":""}],"container-title":"Prosiding Seminar Nasional BKS PTN Wilayah Barat Bidang Ilmu Pertanian.","id":"ITEM-1","issue":"August 2016","issued":{"date-parts":[["2016"]]},"page":"200-204","title":"Optimalisasi Cyber Extension dalam Pembangunan Pertanian di Era MEA","type":"article-journal"},"uris":["http://www.mendeley.com/documents/?uuid=1ab4e896-581f-4364-8d3d-b23665b83b30"]}],"mendeley":{"formattedCitation":"(Praza 2016)","plainTextFormattedCitation":"(Praza 2016)","previouslyFormattedCitation":"(Praza 2016)"},"properties":{"noteIndex":0},"schema":"https://github.com/citation-style-language/schema/raw/master/csl-citation.json"}</w:instrText>
      </w:r>
      <w:r w:rsidR="008C6815">
        <w:fldChar w:fldCharType="separate"/>
      </w:r>
      <w:r w:rsidR="008C6815" w:rsidRPr="008C6815">
        <w:rPr>
          <w:noProof/>
        </w:rPr>
        <w:t>(Praza 2016)</w:t>
      </w:r>
      <w:r w:rsidR="008C6815">
        <w:fldChar w:fldCharType="end"/>
      </w:r>
      <w:r w:rsidRPr="001F3CFD">
        <w:t xml:space="preserve">. This limits people's opportunities to engage in the digital economy </w:t>
      </w:r>
      <w:r w:rsidR="008C6815">
        <w:fldChar w:fldCharType="begin" w:fldLock="1"/>
      </w:r>
      <w:r w:rsidR="00F36C9C">
        <w:instrText>ADDIN CSL_CITATION {"citationItems":[{"id":"ITEM-1","itemData":{"DOI":"10.1016/j.joitmc.2023.100159","ISSN":"21998531","abstract":"This study investigates whether village funds, village-owned enterprises (henceforth, BUMDes), and village original income in Indonesia (PADes) enhance rural development. We employ three empirical methodologies to analyze data collected from 361 districts across Indonesia. These methods encompass cross-section regression, Difference-in-Difference (DID) technique, and Structural Equation Model (SEM)-based mediation analysis. The findings show that village funds positively and significantly impact rural development (measured using the village development index). However, the impact of BUMDes on rural development shows weak evidence. The quasi-experiment also reveals that districts with higher funding for their villages do not experience greater improvements in the village development index between 2016 and 2020. Furthermore, our study indicates that PADes play a crucial role in determining rural development, either directly or as a mediator for village funds and BUMDes. Policymakers should monitor the allocation of village funds to evaluate future allocation policies. Additionally, PADes performance is important for determining village fund transfers and development progress.","author":[{"dropping-particle":"","family":"Hilmawan","given":"Rian","non-dropping-particle":"","parse-names":false,"suffix":""},{"dropping-particle":"","family":"Aprianti","given":"Yesi","non-dropping-particle":"","parse-names":false,"suffix":""},{"dropping-particle":"","family":"Vo","given":"Diem Thi Hong","non-dropping-particle":"","parse-names":false,"suffix":""},{"dropping-particle":"","family":"Yudaruddin","given":"Rizky","non-dropping-particle":"","parse-names":false,"suffix":""},{"dropping-particle":"","family":"Bintoro","given":"Ratih Fenty Anggraini","non-dropping-particle":"","parse-names":false,"suffix":""},{"dropping-particle":"","family":"Fitrianto","given":"Yuli","non-dropping-particle":"","parse-names":false,"suffix":""},{"dropping-particle":"","family":"Wahyuningsih","given":"Noor","non-dropping-particle":"","parse-names":false,"suffix":""}],"container-title":"Journal of Open Innovation: Technology, Market, and Complexity","id":"ITEM-1","issue":"4","issued":{"date-parts":[["2023"]]},"title":"Rural development from village funds, village-owned enterprises, and village original income","type":"article-journal","volume":"9"},"uris":["http://www.mendeley.com/documents/?uuid=987e7163-e59c-4004-9eed-d1e11b6377c7"]}],"mendeley":{"formattedCitation":"(Hilmawan et al. 2023)","plainTextFormattedCitation":"(Hilmawan et al. 2023)","previouslyFormattedCitation":"(Hilmawan et al. 2023)"},"properties":{"noteIndex":0},"schema":"https://github.com/citation-style-language/schema/raw/master/csl-citation.json"}</w:instrText>
      </w:r>
      <w:r w:rsidR="008C6815">
        <w:fldChar w:fldCharType="separate"/>
      </w:r>
      <w:r w:rsidR="008C6815" w:rsidRPr="008C6815">
        <w:rPr>
          <w:noProof/>
        </w:rPr>
        <w:t>(Hilmawan et al. 2023)</w:t>
      </w:r>
      <w:r w:rsidR="008C6815">
        <w:fldChar w:fldCharType="end"/>
      </w:r>
      <w:r w:rsidR="008C6815">
        <w:t xml:space="preserve"> </w:t>
      </w:r>
      <w:r w:rsidRPr="001F3CFD">
        <w:t xml:space="preserve">or utilize more advanced agricultural technology. The lack of formal education and technical skills makes it difficult for rural communities to adopt new economic innovations </w:t>
      </w:r>
      <w:r w:rsidR="00F36C9C">
        <w:t xml:space="preserve"> </w:t>
      </w:r>
      <w:r w:rsidR="00F36C9C">
        <w:fldChar w:fldCharType="begin" w:fldLock="1"/>
      </w:r>
      <w:r w:rsidR="00F36C9C">
        <w:instrText>ADDIN CSL_CITATION {"citationItems":[{"id":"ITEM-1","itemData":{"DOI":"10.1016/j.agsy.2020.102842","ISSN":"0308521X","abstract":"A large variety of models has been developed to explore the multidimensional, and sometimes conflicting, sustainability consequences of innovations and policies for European livestock farms. Implementation of innovations and policies generally results in both synergies and trade-offs between the environmental, economic, and social dimension of sustainability, and among sustainability themes within these dimensions. An overview of the specific sustainability themes addressed by livestock models is lacking, which hinders the further development of models to evaluate a wide array of sustainability dimensions and themes. The aim of this review, therefore, is to provide an overview of European livestock models that can be used to explore synergies and trade-offs among sustainability themes. This systematic literature review yielded 215 European livestock models at the animal level, herd or flock level and farm level. Models were mainly developed in Western Europe, and may have, therefore, a reduced accuracy when applied to other regions than Western Europe. Most models cannot assess a wide array of synergies and trade-offs among sustainability dimensions and themes, as only 33% covered all three sustainability dimensions. Models addressed four sustainability themes on average. Social themes are often lacking in models and additional efforts are needed to develop more integrative models by adapting and extending existing models, especially for monogastric animals. Adaptation and extension of existing models is facilitated by improving the availability of livestock models, increasing the percentage of livestock models published open source, collaborating on the development of joint and generic models and by improving descriptions of the programming languages and programs used and the stakeholders involved. This model review can be used to identify which models or combinations of models are best suited to explore the sustainability consequences of innovations and policies for livestock farms in Europe.","author":[{"dropping-particle":"","family":"Linden","given":"Aart","non-dropping-particle":"van der","parse-names":false,"suffix":""},{"dropping-particle":"","family":"Olde","given":"Evelien M.","non-dropping-particle":"de","parse-names":false,"suffix":""},{"dropping-particle":"","family":"Mostert","given":"Pim F.","non-dropping-particle":"","parse-names":false,"suffix":""},{"dropping-particle":"","family":"Boer","given":"Imke J.M.","non-dropping-particle":"de","parse-names":false,"suffix":""}],"container-title":"Agricultural Systems","id":"ITEM-1","issue":"July 2019","issued":{"date-parts":[["2020"]]},"page":"102842","publisher":"Elsevier","title":"A review of European models to assess the sustainability performance of livestock production systems","type":"article-journal","volume":"182"},"uris":["http://www.mendeley.com/documents/?uuid=862cf976-10e0-4794-a2ea-2f00d7b1ab65"]}],"mendeley":{"formattedCitation":"(van der Linden et al. 2020)","plainTextFormattedCitation":"(van der Linden et al. 2020)"},"properties":{"noteIndex":0},"schema":"https://github.com/citation-style-language/schema/raw/master/csl-citation.json"}</w:instrText>
      </w:r>
      <w:r w:rsidR="00F36C9C">
        <w:fldChar w:fldCharType="separate"/>
      </w:r>
      <w:r w:rsidR="00F36C9C" w:rsidRPr="00F36C9C">
        <w:rPr>
          <w:noProof/>
        </w:rPr>
        <w:t>(van der Linden et al. 2020)</w:t>
      </w:r>
      <w:r w:rsidR="00F36C9C">
        <w:fldChar w:fldCharType="end"/>
      </w:r>
      <w:r w:rsidR="00F36C9C">
        <w:t xml:space="preserve"> </w:t>
      </w:r>
      <w:r w:rsidRPr="001F3CFD">
        <w:t>or increase productivity in the sectors they work in.</w:t>
      </w:r>
    </w:p>
    <w:p w14:paraId="749E959F" w14:textId="77777777" w:rsidR="001F3CFD" w:rsidRPr="001F3CFD" w:rsidRDefault="001F3CFD" w:rsidP="00D377B5">
      <w:pPr>
        <w:jc w:val="both"/>
      </w:pPr>
      <w:r w:rsidRPr="001F3CFD">
        <w:rPr>
          <w:b/>
          <w:bCs/>
        </w:rPr>
        <w:t>3. Transformation of the rural economy</w:t>
      </w:r>
    </w:p>
    <w:p w14:paraId="02DEDBF1" w14:textId="77777777" w:rsidR="001F3CFD" w:rsidRPr="001F3CFD" w:rsidRDefault="001F3CFD" w:rsidP="00D377B5">
      <w:pPr>
        <w:jc w:val="both"/>
      </w:pPr>
      <w:r w:rsidRPr="001F3CFD">
        <w:t>Refers to a fundamental change in the village economic structure from a traditional agrarian one to a more diversified and modern economy</w:t>
      </w:r>
      <w:r w:rsidR="00A0666E">
        <w:t xml:space="preserve"> </w:t>
      </w:r>
      <w:r w:rsidR="00A0666E">
        <w:fldChar w:fldCharType="begin" w:fldLock="1"/>
      </w:r>
      <w:r w:rsidR="00A0666E">
        <w:instrText>ADDIN CSL_CITATION {"citationItems":[{"id":"ITEM-1","itemData":{"DOI":"10.1146/annurev-economics-080213-041247","ISSN":"19411391","abstract":"Household-level data on consumer expenditures underpin a wide range of empirical research in modern economics, spanning micro-and macroeconomics. This research includes work on consumption and saving, on poverty and inequality, and on risk sharing and insurance. We review different ways in which such data can be collected or captured: traditional detailed budget surveys, less onerous survey procedures that might be included in more general surveys, and administrative or process data. We discuss the advantages and difficulties of each approach and suggest directions for future investigation. © 2014 by Annual Reviews. All rights reserved.","author":[{"dropping-particle":"","family":"Browning","given":"Martin","non-dropping-particle":"","parse-names":false,"suffix":""},{"dropping-particle":"","family":"Crossley","given":"Thomas F.","non-dropping-particle":"","parse-names":false,"suffix":""},{"dropping-particle":"","family":"Winter","given":"Joachim","non-dropping-particle":"","parse-names":false,"suffix":""}],"container-title":"Annual Review of Economics","id":"ITEM-1","issued":{"date-parts":[["2014"]]},"page":"475-501","title":"The measurement of household consumption expenditures","type":"article-journal","volume":"6"},"uris":["http://www.mendeley.com/documents/?uuid=e21e5940-8656-44f1-8dff-809333773106"]}],"mendeley":{"formattedCitation":"(Browning, Crossley, and Winter 2014)","manualFormatting":"(Browning et al. 2014)","plainTextFormattedCitation":"(Browning, Crossley, and Winter 2014)","previouslyFormattedCitation":"(Browning, Crossley, and Winter 2014)"},"properties":{"noteIndex":0},"schema":"https://github.com/citation-style-language/schema/raw/master/csl-citation.json"}</w:instrText>
      </w:r>
      <w:r w:rsidR="00A0666E">
        <w:fldChar w:fldCharType="separate"/>
      </w:r>
      <w:r w:rsidR="00A0666E" w:rsidRPr="00A0666E">
        <w:rPr>
          <w:noProof/>
        </w:rPr>
        <w:t>(Browning</w:t>
      </w:r>
      <w:r w:rsidR="00A0666E">
        <w:rPr>
          <w:noProof/>
        </w:rPr>
        <w:t xml:space="preserve"> et al. </w:t>
      </w:r>
      <w:r w:rsidR="00A0666E" w:rsidRPr="00A0666E">
        <w:rPr>
          <w:noProof/>
        </w:rPr>
        <w:t>2014)</w:t>
      </w:r>
      <w:r w:rsidR="00A0666E">
        <w:fldChar w:fldCharType="end"/>
      </w:r>
      <w:r w:rsidRPr="001F3CFD">
        <w:t>. This involves increasing productivity in the agricultural sector, developing non-agricultural sectors, increasing access to technology, infrastructure and basic services, as well as changes in consumption and production patterns. The aim of this transformation is to improve the quality of life of rural communities, create jobs, reduce poverty and ensure sustainable economic growth.</w:t>
      </w:r>
    </w:p>
    <w:p w14:paraId="3AA864AC" w14:textId="77777777" w:rsidR="001F3CFD" w:rsidRPr="001F3CFD" w:rsidRDefault="001F3CFD" w:rsidP="00D377B5">
      <w:pPr>
        <w:jc w:val="both"/>
      </w:pPr>
      <w:r w:rsidRPr="001F3CFD">
        <w:t>Rural economic transformation often includes matters related to economic diversification. A shift from reliance on traditional agriculture to various sectors, such as small manufacturing</w:t>
      </w:r>
      <w:r w:rsidR="00A0666E">
        <w:t xml:space="preserve"> </w:t>
      </w:r>
      <w:r w:rsidR="00A0666E">
        <w:fldChar w:fldCharType="begin" w:fldLock="1"/>
      </w:r>
      <w:r w:rsidR="00A0666E">
        <w:instrText>ADDIN CSL_CITATION {"citationItems":[{"id":"ITEM-1","itemData":{"DOI":"10.1016/b978-0-12-812134-4.00003-0","ISBN":"9780128121344","abstract":"Population growth and urbanization are associated with economic development. Structural transformation entails workers leaving less productive agriculture and moving to more productive industries, often in urban centers. Population growth slows with development, leading to greater dependence on capital and technology rather than on labor. This was Asia’s successful pathway. Sub-Saharan Africa (SSA) is also transforming, but far less than other regions are and with its own distinctive features. Though Africa is urbanizing, rapid population growth means that rural populations are still expanding. While African workers also are leaving agriculture, they do so at a slower pace than workers in Asia and are finding work in less productive services rather than in manufacturing. Such “urbanization without industrialization” raises concerns about Africa’s ability to create enough jobs for its urban workforce and underscores the need for continued focus on rural Africa. This chapter reviews the linkages between urbanization, agriculture and rural poverty in SSA, where most of the world’s poor will soon reside. It suggests that much of the economic growth and structural change that Africa enjoyed over the past two decades, attributable to a shift out of agriculture, was in fact an expansion of downstream components of the agriculture food system. Like agriculture, many downstream activities have strong linkages to poverty reduction. Governments concerned about jobs and poverty will need to raise productivity, not only in agriculture, but also throughout the entire food system. Since many downstream processing and trading activities are in towns and cities, promoting future poverty reduction will require greater alignment between agricultural and urban policies. Demographic change and rural-urban linkages will continue to be powerful drivers of global poverty reduction, but ensuring inclusive transformation will require broader development perspectives and policy coordination.","author":[{"dropping-particle":"","family":"Thurlow","given":"James","non-dropping-particle":"","parse-names":false,"suffix":""},{"dropping-particle":"","family":"Dorosh","given":"Paul","non-dropping-particle":"","parse-names":false,"suffix":""},{"dropping-particle":"","family":"Davis","given":"Ben","non-dropping-particle":"","parse-names":false,"suffix":""}],"container-title":"Sustainable Food and Agriculture","id":"ITEM-1","issued":{"date-parts":[["2019"]]},"number-of-pages":"31-53","publisher":"Elsevier Inc.","title":"Demographic Change, Agriculture, and Rural Poverty","type":"book"},"uris":["http://www.mendeley.com/documents/?uuid=7cf33194-1b52-433b-b7f0-5064a6d1ff7c"]},{"id":"ITEM-2","itemData":{"DOI":"10.1016/j.jdeveco.2010.10.006","ISSN":"0304-3878","author":[{"dropping-particle":"","family":"Christiaensen","given":"Luc","non-dropping-particle":"","parse-names":false,"suffix":""},{"dropping-particle":"","family":"Demery","given":"Lionel","non-dropping-particle":"","parse-names":false,"suffix":""},{"dropping-particle":"","family":"Kuhl","given":"Jesper","non-dropping-particle":"","parse-names":false,"suffix":""}],"container-title":"Journal of Development Economics","id":"ITEM-2","issue":"2","issued":{"date-parts":[["2011"]]},"page":"239-254","publisher":"Elsevier B.V.","title":"The ( evolving ) role of agriculture in poverty reduction — An empirical perspective","type":"article-journal","volume":"96"},"uris":["http://www.mendeley.com/documents/?uuid=9aa6eeb3-8fb7-4acc-b38c-c1c259340898"]},{"id":"ITEM-3","itemData":{"DOI":"10.1007/978-3-319-67958-7_17","ISBN":"9783319679587","ISSN":"21975701","abstract":"The increasing rate of technological advancement across various disciplines, and in particular the agricultural sector, has resulted in increased efficiency and productivity. Recent advances in biotechnology research and development offer new prospects for increased food production and security in various jurisdictions. However, adoption and commercialization of existing and emerging technologies both at the farm and industry levels have been of great concern to governments and the food industry. This chapter provides a review existing literature on technology adoption in agriculture, explores different dimensions of technologies and factors influencing their adoption, and examines returns on investment in technological research and development.","author":[{"dropping-particle":"","family":"Ugochukwu","given":"Albert I.","non-dropping-particle":"","parse-names":false,"suffix":""},{"dropping-particle":"","family":"Phillips","given":"Peter W.B.","non-dropping-particle":"","parse-names":false,"suffix":""}],"container-title":"Innovation, Technology and Knowledge Management","id":"ITEM-3","issued":{"date-parts":[["2018"]]},"page":"361-377","title":"Technology Adoption by Agricultural Producers: A Review of the Literature","type":"article-journal"},"uris":["http://www.mendeley.com/documents/?uuid=d1e9df1d-7b48-4d1e-b21f-b06094de9545"]}],"mendeley":{"formattedCitation":"(Thurlow, Dorosh, and Davis 2019; Christiaensen, Demery, and Kuhl 2011; Ugochukwu and Phillips 2018)","manualFormatting":"(Thurlow et al. 2019)","plainTextFormattedCitation":"(Thurlow, Dorosh, and Davis 2019; Christiaensen, Demery, and Kuhl 2011; Ugochukwu and Phillips 2018)","previouslyFormattedCitation":"(Thurlow, Dorosh, and Davis 2019; Christiaensen, Demery, and Kuhl 2011; Ugochukwu and Phillips 2018)"},"properties":{"noteIndex":0},"schema":"https://github.com/citation-style-language/schema/raw/master/csl-citation.json"}</w:instrText>
      </w:r>
      <w:r w:rsidR="00A0666E">
        <w:fldChar w:fldCharType="separate"/>
      </w:r>
      <w:r w:rsidR="00A0666E" w:rsidRPr="00A0666E">
        <w:rPr>
          <w:noProof/>
        </w:rPr>
        <w:t>(Thurlow</w:t>
      </w:r>
      <w:r w:rsidR="00A0666E">
        <w:rPr>
          <w:noProof/>
        </w:rPr>
        <w:t xml:space="preserve"> et al.</w:t>
      </w:r>
      <w:r w:rsidR="00A0666E" w:rsidRPr="00A0666E">
        <w:rPr>
          <w:noProof/>
        </w:rPr>
        <w:t xml:space="preserve"> 2019)</w:t>
      </w:r>
      <w:r w:rsidR="00A0666E">
        <w:fldChar w:fldCharType="end"/>
      </w:r>
      <w:r w:rsidRPr="001F3CFD">
        <w:t>, services, tourism</w:t>
      </w:r>
      <w:r w:rsidR="00A0666E">
        <w:t xml:space="preserve"> </w:t>
      </w:r>
      <w:r w:rsidR="00A0666E">
        <w:fldChar w:fldCharType="begin" w:fldLock="1"/>
      </w:r>
      <w:r w:rsidR="00A0666E">
        <w:instrText>ADDIN CSL_CITATION {"citationItems":[{"id":"ITEM-1","itemData":{"DOI":"10.18196/ictced.v1i1.39","ISSN":"3031-786X","abstract":"Tourism Assistance for Village-Owned Enterprises of Rest Area, Karangsari Village, Sapuran, Wonosobo. Karangsari Village has a rest area tourism object which is a natural adventure tourism. The existence of the rest area received a very good reception from the public and local tourists. Based on these developments, Karangsari Village Government has established a village-owned enterprise (BUMDes) named BUMDes Mutiara Karangsari. This BUMDes is expected to be able to accommodate various village-owned business units and synergize with various potential residents. Thus, it will be able to improve the economy of the Karangsari Village community. BUMDes Mutiara Karangsari was only established at the end of 2022, so it has not been able to perform its functions properly. This is because BUMDes administrators do not have the managerial ability of organization, administration, and business management. The purpose of this service is to improve the managerial ability of BUMDes administrators. The implementation of activities in this service is to increase the motivation and institutional managers of BUMDes, carry out training in organizational management, finance, and business management, procure field office space in the rest area to support the activities of the tourism division and carry out focus group discussion (FGD) on the development of the rest area as a business unit with representatives of the village government, BUMDes managers, arts actors, youth and community cadres. Based on the process of implementing the service, it can be concluded that the level of community participation is high (80% attendance), and there is an increase in knowledge in the management of BUMDes. Furthermore, there is also an increase in community awareness in the efforts to realize Karangsari Village as a tourist village.","author":[{"dropping-particle":"","family":"Widodo","given":"Aris Slamet","non-dropping-particle":"","parse-names":false,"suffix":""},{"dropping-particle":"","family":"Sutrisno","given":"Sutrisno","non-dropping-particle":"","parse-names":false,"suffix":""}],"container-title":"Proceeding International Conference of Technology on Community and Environmental Development","id":"ITEM-1","issue":"1","issued":{"date-parts":[["2023"]]},"page":"307-316","title":"Tourism Assistance for Village-Owned Enterprises Rest Area, Karangsari Village, Sapuran, Wonosobo","type":"article-journal","volume":"1"},"uris":["http://www.mendeley.com/documents/?uuid=36e3e2fd-0ae5-409c-a432-1c8936ded00e"]},{"id":"ITEM-2","itemData":{"DOI":"10.29303/iccsproceeding.v2i1.132","abstract":"As one of the villages with natural potential and village potential with mountainous geographical characteristics, Sumbergondo Village can be developed into a village tourism area. Its uniqueness provides a different attraction for tourists to visit Sumbergondo village, both natural tourism, artificial tourism, and educational tourism. Tourism village development activities encourage sustainable economic alternatives for the community. This study uses a community-based tourism model in the context of developing the Sumbergondo tourism village pilot, which involves the community in all management and development activities of the Sumbergondo tourist village. In addition, marketing communication theory is also used to encourage promotion activities for sustainable tourism villages. This research uses case study research with a qualitative descriptive type. The data collection technique used was by conducting in-depth interviews with various parties involved in the development of the Sumbergondo tourist village. The results showed that the development of tourist villages involved various parties such as village officials, Youth Organizations, Mount Arjuna Exploration Community (Jaguar), KIM Warta Mertani, women's farmer groups, and Family Welfare Empowerment groups (PKK) and the Sumbergondo village community. KIM Warta Mertani carries out marketing communication activities to develop tourist villages in partnership with the Village-Owned Enterprises (BUMDes) Sumbergondo. Activities carried out include access to information, discussion, implementation, networking, information dissemination, and information advocacy according to community needs. The various promotional activities carried out have encouraged the growth of the village economy so that the community has alternative income to improve their welfare","author":[{"dropping-particle":"","family":"Sunuantari","given":"Manik","non-dropping-particle":"","parse-names":false,"suffix":""},{"dropping-particle":"","family":"Farhan","given":"Raihan Muhammad","non-dropping-particle":"","parse-names":false,"suffix":""}],"container-title":"Proceedings Of International Conference On Communication Science","id":"ITEM-2","issue":"1","issued":{"date-parts":[["2022"]]},"page":"403-409","title":"Rural Tourism Development Through Community Based Tourism Sumbergondo Village Malang","type":"article-journal","volume":"2"},"uris":["http://www.mendeley.com/documents/?uuid=cbbcee47-1a3d-40b9-ac37-45daf90e1706"]}],"mendeley":{"formattedCitation":"(Widodo and Sutrisno 2023; Sunuantari and Farhan 2022)","plainTextFormattedCitation":"(Widodo and Sutrisno 2023; Sunuantari and Farhan 2022)","previouslyFormattedCitation":"(Widodo and Sutrisno 2023; Sunuantari and Farhan 2022)"},"properties":{"noteIndex":0},"schema":"https://github.com/citation-style-language/schema/raw/master/csl-citation.json"}</w:instrText>
      </w:r>
      <w:r w:rsidR="00A0666E">
        <w:fldChar w:fldCharType="separate"/>
      </w:r>
      <w:r w:rsidR="00A0666E" w:rsidRPr="00A0666E">
        <w:rPr>
          <w:noProof/>
        </w:rPr>
        <w:t>(Widodo and Sutrisno 2023; Sunuantari and Farhan 2022)</w:t>
      </w:r>
      <w:r w:rsidR="00A0666E">
        <w:fldChar w:fldCharType="end"/>
      </w:r>
      <w:r w:rsidRPr="001F3CFD">
        <w:t>, and micro-</w:t>
      </w:r>
      <w:r w:rsidRPr="001F3CFD">
        <w:lastRenderedPageBreak/>
        <w:t>enterprises. Increasing agricultural productivity is carried out through the use of modern technology, superior seeds, access to wider markets and efficient irrigation systems</w:t>
      </w:r>
      <w:r w:rsidR="00A0666E">
        <w:t xml:space="preserve"> </w:t>
      </w:r>
      <w:r w:rsidR="00A0666E">
        <w:fldChar w:fldCharType="begin" w:fldLock="1"/>
      </w:r>
      <w:r w:rsidR="00A0666E">
        <w:instrText>ADDIN CSL_CITATION {"citationItems":[{"id":"ITEM-1","itemData":{"DOI":"10.1016/j.still.2017.07.012","ISSN":"01671987","abstract":"The aim of this study was to determine the most appropriate soil management to reduce the structural degradation of soils susceptible to crusting in Mediterranean areas recently transformed into irrigation. A long-term field experiment (LTE) under rainfed conditions was established in 1996 in NE Spain to compare three tillage systems (no-tillage, NT; reduced tillage, RT; conventional tillage, CT). The experiment was transformed to irrigated corn in 2015. In 2015, an adjacent experiment with the same layout was created (short-term experiment, STE) in an area previously managed under long-term NT. The study was carried out during the second corn growing season (i.e. year 2016). Soil samples were collected from 0 to 5 cm depth at different dates during corn season. Dry and water-stable macroaggregates and their C concentration, soil organic carbon (SOC) and labile C concentration, soil respiration, bulk density, penetration resistance (PR), water infiltration, macroporosity, microporosity, amount of crop residues and ground cover, corn development, aerial biomass, and grain yield were measured. In LTE and STE tillage led to a breakdown of dry sieved aggregates (of 2–4 and 4–8 mm size) in RT and CT, being slowly reconsolidated throughout the corn growing season. However, macroaggregate water-stability did not increase in CT and RT compared to NT due to a lower SOC concentration, making the soil more susceptible to its degradation by the action of water. SOC differences between treatments were more pronounced in LTE than STE given the long-term differential management in the first, which allowed greater accumulation of SOC under NT. In LTE, PR between corn rows was greater under NT than CT and RT and non-significantly different between treatments within the row. In the case of STE, PR increased over time after tillage (CT and RT) to match NT in the last sampling. Crop establishment was slower in CT than NT in LTE highlighting the impact of soil surface degradation on crop development. However, contrarily to the differences in corn yield in 2015, a careful planting in 2016 led to a lack of differences between tillage systems on corn yield. Our results indicate that in areas transformed into irrigation intensive tillage leads to greater susceptibility to soil structural degradation. Thus, in these areas the adoption of conservation agriculture practices such RT and NT enhances soil resilience to degradation processes and ensures an adequate development of the …","author":[{"dropping-particle":"","family":"Pareja-Sánchez","given":"Evangelina","non-dropping-particle":"","parse-names":false,"suffix":""},{"dropping-particle":"","family":"Plaza-Bonilla","given":"Daniel","non-dropping-particle":"","parse-names":false,"suffix":""},{"dropping-particle":"","family":"Ramos","given":"Maria Concepción","non-dropping-particle":"","parse-names":false,"suffix":""},{"dropping-particle":"","family":"Lampurlanés","given":"Jorge","non-dropping-particle":"","parse-names":false,"suffix":""},{"dropping-particle":"","family":"Álvaro-Fuentes","given":"Jorge","non-dropping-particle":"","parse-names":false,"suffix":""},{"dropping-particle":"","family":"Cantero-Martínez","given":"Carlos","non-dropping-particle":"","parse-names":false,"suffix":""}],"container-title":"Soil and Tillage Research","id":"ITEM-1","issue":"July","issued":{"date-parts":[["2017"]]},"page":"221-230","publisher":"Elsevier","title":"Long-term no-till as a means to maintain soil surface structure in an agroecosystem transformed into irrigation","type":"article-journal","volume":"174"},"uris":["http://www.mendeley.com/documents/?uuid=c6060da0-b57d-468a-86fc-c4af7d9d8e5b"]}],"mendeley":{"formattedCitation":"(Pareja-Sánchez et al. 2017)","plainTextFormattedCitation":"(Pareja-Sánchez et al. 2017)","previouslyFormattedCitation":"(Pareja-Sánchez et al. 2017)"},"properties":{"noteIndex":0},"schema":"https://github.com/citation-style-language/schema/raw/master/csl-citation.json"}</w:instrText>
      </w:r>
      <w:r w:rsidR="00A0666E">
        <w:fldChar w:fldCharType="separate"/>
      </w:r>
      <w:r w:rsidR="00A0666E" w:rsidRPr="00A0666E">
        <w:rPr>
          <w:noProof/>
        </w:rPr>
        <w:t>(Pareja-Sánchez et al. 2017)</w:t>
      </w:r>
      <w:r w:rsidR="00A0666E">
        <w:fldChar w:fldCharType="end"/>
      </w:r>
      <w:r w:rsidRPr="001F3CFD">
        <w:t>. The existence of infrastructure services and access to public services. Build supporting infrastructure such as roads, electricity, clean water, as well as quality health and education services.</w:t>
      </w:r>
    </w:p>
    <w:p w14:paraId="692AF632" w14:textId="77777777" w:rsidR="001F3CFD" w:rsidRPr="001F3CFD" w:rsidRDefault="001F3CFD" w:rsidP="00D377B5">
      <w:pPr>
        <w:jc w:val="both"/>
      </w:pPr>
      <w:r w:rsidRPr="001F3CFD">
        <w:t>The Linkage of Rural and Urban Economies. Opening access to urban markets, better connectivity through physical and digital infrastructure, and strengthening economic integration between regions. Institutional Development and Human Resource Capacity</w:t>
      </w:r>
      <w:r w:rsidR="00A0666E">
        <w:t xml:space="preserve"> </w:t>
      </w:r>
      <w:r w:rsidR="00A0666E">
        <w:fldChar w:fldCharType="begin" w:fldLock="1"/>
      </w:r>
      <w:r w:rsidR="00A0666E">
        <w:instrText>ADDIN CSL_CITATION {"citationItems":[{"id":"ITEM-1","itemData":{"DOI":"10.21082/fae.v28n1.2010.19-34","ISSN":"0216-4361","abstract":"&lt;strong&gt;English&lt;/strong&gt;&lt;br /&gt;Based on the Human Development Index (HDI) figures, the Indonesian welfare level show that the community development process must be continuously carried out. The most important elements in the successful achievement of community development especially in rural community to support agricultural development are natural capital, technology, institutional, human capital, and social capital. The elements of social capital in this respect are mutual trustworthy on fellow members of the community, social empathy, social cohesion, social awareness, and collective cooperation. This paper examines the significance of social capital in agricultural development, as well as how the strategy to strengthening co-utilization and community development. Through a review of some study results on the role of facilitator in community development, strengthening social capital is required in the development community, particularly through the assistantship or mentoring process. Facilitators especially extension workers are needed in community development because of their function as problem analyst, group supervisor, trainer, innovator, and liaison officer. The principles of operation are (1) working group, (2) continuity, (3) self-reliance, (4) unity of target audiences, (5) growth of mutual trust, and (6) continuous learning process.  In addition, the assistantship program is highly considered as an activity enabling the optimum empowerment of the poor. For an optimum role of technical assistant, the development of quality human resources is required through participatory training-based education and development of assistantship forum. &lt;br /&gt;&lt;br /&gt;&lt;br /&gt;&lt;strong&gt;Indonesian&lt;/strong&gt;&lt;br /&gt;Derajat kesejahteraan rakyat Indonesia dilihat dari angka Indeks Pembangunan Manusia membuktikan bahwa proses pengembangan masyarakat harus tetap dilaksanakan secara terarah dan bersinambung. Unsur terpenting dalam capaian keberhasilan pengembangan masyarakat khususnya di wilayah perdesaaan untuk mendukung pembangunan pertanian adalah modal alam, teknologi, kelembagaan, modal manusia, dan modal sosial.  Unsur modal sosial yang dimaksud diantaranya adalah saling percaya pada sesama anggota masyarakat, empati sosial, kohesi sosial, kepedulian sosial, dan kerja sama kolektif. Makalah ini ditujukan untuk mengkaji arti penting modal sosial dalam pembangunan pertanian, serta bagaimana strategi pemanfaatan dan penguatan pendamping (khususnya penyuluh pertanian) dalam p…","author":[{"dropping-particle":"","family":"Mangkuprawira","given":"Sjafri","non-dropping-particle":"","parse-names":false,"suffix":""}],"container-title":"Forum penelitian Agro Ekonomi","id":"ITEM-1","issue":"1","issued":{"date-parts":[["2016"]]},"page":"19","title":"Strategi Peningkatan Kapasitas Modal Sosial dan Kualitas Sumber Daya Manusia Pendamping Pembangunan Pertanian","type":"article-journal","volume":"28"},"uris":["http://www.mendeley.com/documents/?uuid=fb022eda-5216-4883-9f2a-d3d20d7f4048"]},{"id":"ITEM-2","itemData":{"DOI":"10.29244/jipthp.8.1.36-41","ISSN":"2303-2227","abstract":"The purpose of this study was to create strategy for developing Human Resource competency post unloading from Camara Nusantara Cattle Ship. Analytic Hierarchy Process (AHP) method were used for search the best alternative strategy for developing Human Resource competency post unloading from Camara Nusantara Cattle Ship. The expert selection was carried out to obtain priority weights or rankings in the AHP structure to determine post-unloading HR competency development strategies. Based on the results of the analysis that has been done that the most influential factor is facilities and infrastructure with a weight of 0.377. The actor who has the most role in determining the strategy to increase the competence of human resources after unloading from cattle ship is an expedition company with a weight of 0.269, with the primary objective being to maintain the quality of livestock (0.464). The most appropriate alternative strategy in the hierarchy with a weight of 0.324 is conducting competency-based training and development.","author":[{"dropping-particle":"","family":"G. M. Toharmat","given":"","non-dropping-particle":"","parse-names":false,"suffix":""},{"dropping-particle":"","family":"A. M. Fuah","given":"","non-dropping-particle":"","parse-names":false,"suffix":""},{"dropping-particle":"","family":"L. Cyrilla","given":"","non-dropping-particle":"","parse-names":false,"suffix":""},{"dropping-particle":"","family":"Y. Triyonggo","given":"","non-dropping-particle":"","parse-names":false,"suffix":""}],"container-title":"Jurnal Ilmu Produksi dan Teknologi Hasil Peternakan","id":"ITEM-2","issue":"1","issued":{"date-parts":[["2020"]]},"page":"36-41","title":"Strategi Pengembangan Kompetensi Sumber Daya Manusia Pasca Unloading dari Kapal Ternak Camara Nusantara Indonesia","type":"article-journal","volume":"8"},"uris":["http://www.mendeley.com/documents/?uuid=6e61a139-2fa3-4a9d-a080-bf00b93dcf88"]}],"mendeley":{"formattedCitation":"(Mangkuprawira 2016; G. M. Toharmat et al. 2020)","manualFormatting":"(Mangkuprawira 2016; Toharmat et al. 2020)","plainTextFormattedCitation":"(Mangkuprawira 2016; G. M. Toharmat et al. 2020)","previouslyFormattedCitation":"(Mangkuprawira 2016; G. M. Toharmat et al. 2020)"},"properties":{"noteIndex":0},"schema":"https://github.com/citation-style-language/schema/raw/master/csl-citation.json"}</w:instrText>
      </w:r>
      <w:r w:rsidR="00A0666E">
        <w:fldChar w:fldCharType="separate"/>
      </w:r>
      <w:r w:rsidR="00A0666E" w:rsidRPr="00A0666E">
        <w:rPr>
          <w:noProof/>
        </w:rPr>
        <w:t>(Mangkuprawira 2016; Toharmat et al. 2020)</w:t>
      </w:r>
      <w:r w:rsidR="00A0666E">
        <w:fldChar w:fldCharType="end"/>
      </w:r>
      <w:r w:rsidRPr="001F3CFD">
        <w:t>. Community empowerment through training, strengthening local institutions, and improving work skills.</w:t>
      </w:r>
    </w:p>
    <w:p w14:paraId="3033D998" w14:textId="77777777" w:rsidR="001F3CFD" w:rsidRPr="001F3CFD" w:rsidRDefault="001F3CFD" w:rsidP="00D377B5">
      <w:pPr>
        <w:jc w:val="both"/>
      </w:pPr>
      <w:r w:rsidRPr="001F3CFD">
        <w:rPr>
          <w:b/>
          <w:bCs/>
        </w:rPr>
        <w:t>4. Implications of Rural Economic Transformation</w:t>
      </w:r>
    </w:p>
    <w:p w14:paraId="502F789B" w14:textId="77777777" w:rsidR="001F3CFD" w:rsidRPr="001F3CFD" w:rsidRDefault="00D377B5" w:rsidP="00D377B5">
      <w:pPr>
        <w:jc w:val="both"/>
        <w:rPr>
          <w:i/>
          <w:iCs/>
        </w:rPr>
      </w:pPr>
      <w:r w:rsidRPr="00D377B5">
        <w:rPr>
          <w:i/>
          <w:iCs/>
        </w:rPr>
        <w:t>4.</w:t>
      </w:r>
      <w:r w:rsidR="001F3CFD" w:rsidRPr="001F3CFD">
        <w:rPr>
          <w:i/>
          <w:iCs/>
        </w:rPr>
        <w:t>1. Improving Village Community Welfare</w:t>
      </w:r>
    </w:p>
    <w:p w14:paraId="4832AAB9" w14:textId="77777777" w:rsidR="001F3CFD" w:rsidRPr="001F3CFD" w:rsidRDefault="001F3CFD" w:rsidP="00D377B5">
      <w:pPr>
        <w:jc w:val="both"/>
      </w:pPr>
      <w:r w:rsidRPr="001F3CFD">
        <w:t>This transformation can result in an increase in the income of rural communities, increase access to basic services such as education and health, and reduce social inequality between villages and cities. Economic diversification (</w:t>
      </w:r>
      <w:proofErr w:type="spellStart"/>
      <w:r w:rsidRPr="001F3CFD">
        <w:t>Winarso</w:t>
      </w:r>
      <w:proofErr w:type="spellEnd"/>
      <w:r w:rsidRPr="001F3CFD">
        <w:t xml:space="preserve"> 2015; </w:t>
      </w:r>
      <w:proofErr w:type="spellStart"/>
      <w:r w:rsidRPr="001F3CFD">
        <w:t>Rusdiana</w:t>
      </w:r>
      <w:proofErr w:type="spellEnd"/>
      <w:r w:rsidRPr="001F3CFD">
        <w:t xml:space="preserve"> and </w:t>
      </w:r>
      <w:proofErr w:type="spellStart"/>
      <w:r w:rsidRPr="001F3CFD">
        <w:t>Maesya</w:t>
      </w:r>
      <w:proofErr w:type="spellEnd"/>
      <w:r w:rsidRPr="001F3CFD">
        <w:t xml:space="preserve"> 2017) can also open up new job opportunities and reduce dependence on the agricultural sector which is vulnerable to climate change and global market prices.</w:t>
      </w:r>
    </w:p>
    <w:p w14:paraId="5ACC61EF" w14:textId="77777777" w:rsidR="001F3CFD" w:rsidRPr="001F3CFD" w:rsidRDefault="00D377B5" w:rsidP="00D377B5">
      <w:pPr>
        <w:jc w:val="both"/>
        <w:rPr>
          <w:i/>
          <w:iCs/>
        </w:rPr>
      </w:pPr>
      <w:r w:rsidRPr="00D377B5">
        <w:rPr>
          <w:i/>
          <w:iCs/>
        </w:rPr>
        <w:t>4.</w:t>
      </w:r>
      <w:r w:rsidR="001F3CFD" w:rsidRPr="001F3CFD">
        <w:rPr>
          <w:i/>
          <w:iCs/>
        </w:rPr>
        <w:t>2. Poverty Reduction and Urbanization</w:t>
      </w:r>
    </w:p>
    <w:p w14:paraId="6DD5E8C9" w14:textId="77777777" w:rsidR="001F3CFD" w:rsidRPr="001F3CFD" w:rsidRDefault="001F3CFD" w:rsidP="00D377B5">
      <w:pPr>
        <w:jc w:val="both"/>
      </w:pPr>
      <w:r w:rsidRPr="001F3CFD">
        <w:t xml:space="preserve">With new economic opportunities and improving the quality of life in rural areas, the flow of urbanization caused by a lack of opportunities in villages can be suppressed. Developing villages can become new </w:t>
      </w:r>
      <w:proofErr w:type="spellStart"/>
      <w:r w:rsidRPr="001F3CFD">
        <w:t>centers</w:t>
      </w:r>
      <w:proofErr w:type="spellEnd"/>
      <w:r w:rsidRPr="001F3CFD">
        <w:t xml:space="preserve"> of economic growth, attracting residents to stay or even return to the countryside.</w:t>
      </w:r>
    </w:p>
    <w:p w14:paraId="4250547D" w14:textId="77777777" w:rsidR="001F3CFD" w:rsidRPr="001F3CFD" w:rsidRDefault="00D377B5" w:rsidP="00D377B5">
      <w:pPr>
        <w:jc w:val="both"/>
        <w:rPr>
          <w:i/>
          <w:iCs/>
        </w:rPr>
      </w:pPr>
      <w:r>
        <w:rPr>
          <w:i/>
          <w:iCs/>
        </w:rPr>
        <w:t>4.</w:t>
      </w:r>
      <w:r w:rsidR="001F3CFD" w:rsidRPr="001F3CFD">
        <w:rPr>
          <w:i/>
          <w:iCs/>
        </w:rPr>
        <w:t>3. Changes in Social and Cultural Patterns</w:t>
      </w:r>
    </w:p>
    <w:p w14:paraId="1EC627CA" w14:textId="77777777" w:rsidR="001F3CFD" w:rsidRPr="001F3CFD" w:rsidRDefault="001F3CFD" w:rsidP="00D377B5">
      <w:pPr>
        <w:jc w:val="both"/>
      </w:pPr>
      <w:r w:rsidRPr="001F3CFD">
        <w:t>Economic modernization in villages often brings significant changes to social structures and cultural patterns. Traditional values ​​associated with rural communities may transform with the adoption of new lifestyles</w:t>
      </w:r>
      <w:r w:rsidR="00D377B5">
        <w:t xml:space="preserve"> </w:t>
      </w:r>
      <w:r w:rsidR="00D377B5">
        <w:fldChar w:fldCharType="begin" w:fldLock="1"/>
      </w:r>
      <w:r w:rsidR="00D377B5">
        <w:instrText>ADDIN CSL_CITATION {"citationItems":[{"id":"ITEM-1","itemData":{"DOI":"10.1007/BF01907288","ISSN":"02511088","abstract":"The majority of the rural people of Papua New Guinea depend partly or wholly on the use of the region's many species of fauna and flora. Traditional life-styles which have evolved over hundreds of years have developed practices that deliberately set out to conserve wildlife resources, and these include seasonal hunting and harvesting, and giving special protection to certain species that are important to the community. Unfortunately, some traditional practices are particularly destructive to wildlife, and as human populations have increased, their impact has become greater. However, the major threat to wildlife is the massive habitat destruction which is associated with population resettlement schemes and agricultural and mining developments. The formation of Wildlife Management Areas initiated at the request of landowners is a most encouraging movement which has the potential to retain traditional practices of wildlife conservation, at the same time preventing further habitat destruction. © 1984 Kluwer Academic Publishers.","author":[{"dropping-particle":"","family":"Kwapena","given":"Navu","non-dropping-particle":"","parse-names":false,"suffix":""}],"container-title":"The Environmentalist","id":"ITEM-1","issue":"7 Supplement","issued":{"date-parts":[["1984"]]},"page":"22-26","title":"Traditional conservation and utilization of wildlife in Papua New Guinea","type":"article-journal","volume":"4"},"uris":["http://www.mendeley.com/documents/?uuid=79a15051-5ed5-4ce9-a3da-e434979ed4dc"]},{"id":"ITEM-2","itemData":{"abstract":"This paperexaminesthe directionanddevelopment ofruraldemocratizationinthe post-New Order era. There are variations inthe dynamicsandqualityof democracyfrom onevillagetoanothervillage. In addition, theprospect ofdemocratizationstrongly infl uencedby theexistence of thediversityof social institutionsthat existineveryvillage. Therefore, itis impossible to apply uniform democracyinIndonesia. The dynamic ofvil-lagedemocracyafter the New Order era is still very dependent onthe leadershipof politicalelite. The head ofthe villagelargely determinesthe direction ofpolitical lifein the village. Village leaderis animportant instrumentin changing theconsciousness ofthe community toparticipateinthe planningprogram. This in turnwill affect theavail-ability ofaccessandopennessof publicfacilities. In addition to villageleaders, agents ofdemocracyoccupiesa strategicpositioninpressing fordemocratizationagendainthe community. The socialstructure ofanegalitariansociety willnotbe usefulifcommunitiesdo notactivelyplay theroleof agent of democracy. Indonesia'sruraldemocracyis stillat the level ofnon-participation. Insomecases, \"manipulation\" and\"therapy\" are often used aspaternalisticmethods. It remains a challenge to involvewider community members during project implementation.","author":[{"dropping-particle":"","family":"Cahyono","given":"Heru","non-dropping-particle":"","parse-names":false,"suffix":""}],"container-title":"Masyarakat Indonesia","id":"ITEM-2","issue":"2","issued":{"date-parts":[["2012"]]},"page":"351","title":"Arah Perkembangan Demokrasi Di Perdesaan Pasca Orde Baru","type":"article-journal","volume":"38"},"uris":["http://www.mendeley.com/documents/?uuid=28b2ee49-8114-4438-9d69-c8d1a360b8f5"]}],"mendeley":{"formattedCitation":"(Kwapena 1984; Cahyono 2012)","manualFormatting":" (Cahyono 2012)","plainTextFormattedCitation":"(Kwapena 1984; Cahyono 2012)","previouslyFormattedCitation":"(Kwapena 1984; Cahyono 2012)"},"properties":{"noteIndex":0},"schema":"https://github.com/citation-style-language/schema/raw/master/csl-citation.json"}</w:instrText>
      </w:r>
      <w:r w:rsidR="00D377B5">
        <w:fldChar w:fldCharType="separate"/>
      </w:r>
      <w:r w:rsidR="00D377B5" w:rsidRPr="00D377B5">
        <w:rPr>
          <w:noProof/>
        </w:rPr>
        <w:t xml:space="preserve"> </w:t>
      </w:r>
      <w:r w:rsidR="00D377B5">
        <w:rPr>
          <w:noProof/>
        </w:rPr>
        <w:t>(</w:t>
      </w:r>
      <w:r w:rsidR="00D377B5" w:rsidRPr="00D377B5">
        <w:rPr>
          <w:noProof/>
        </w:rPr>
        <w:t>Cahyono 2012)</w:t>
      </w:r>
      <w:r w:rsidR="00D377B5">
        <w:fldChar w:fldCharType="end"/>
      </w:r>
      <w:r w:rsidRPr="001F3CFD">
        <w:t>, increased individualism</w:t>
      </w:r>
      <w:r w:rsidR="00D377B5">
        <w:t xml:space="preserve"> </w:t>
      </w:r>
      <w:r w:rsidR="00D377B5">
        <w:fldChar w:fldCharType="begin" w:fldLock="1"/>
      </w:r>
      <w:r w:rsidR="00D377B5">
        <w:instrText>ADDIN CSL_CITATION {"citationItems":[{"id":"ITEM-1","itemData":{"DOI":"10.21082/fae.v28n1.2010.19-34","ISSN":"0216-4361","abstract":"&lt;strong&gt;English&lt;/strong&gt;&lt;br /&gt;Based on the Human Development Index (HDI) figures, the Indonesian welfare level show that the community development process must be continuously carried out. The most important elements in the successful achievement of community development especially in rural community to support agricultural development are natural capital, technology, institutional, human capital, and social capital. The elements of social capital in this respect are mutual trustworthy on fellow members of the community, social empathy, social cohesion, social awareness, and collective cooperation. This paper examines the significance of social capital in agricultural development, as well as how the strategy to strengthening co-utilization and community development. Through a review of some study results on the role of facilitator in community development, strengthening social capital is required in the development community, particularly through the assistantship or mentoring process. Facilitators especially extension workers are needed in community development because of their function as problem analyst, group supervisor, trainer, innovator, and liaison officer. The principles of operation are (1) working group, (2) continuity, (3) self-reliance, (4) unity of target audiences, (5) growth of mutual trust, and (6) continuous learning process.  In addition, the assistantship program is highly considered as an activity enabling the optimum empowerment of the poor. For an optimum role of technical assistant, the development of quality human resources is required through participatory training-based education and development of assistantship forum. &lt;br /&gt;&lt;br /&gt;&lt;br /&gt;&lt;strong&gt;Indonesian&lt;/strong&gt;&lt;br /&gt;Derajat kesejahteraan rakyat Indonesia dilihat dari angka Indeks Pembangunan Manusia membuktikan bahwa proses pengembangan masyarakat harus tetap dilaksanakan secara terarah dan bersinambung. Unsur terpenting dalam capaian keberhasilan pengembangan masyarakat khususnya di wilayah perdesaaan untuk mendukung pembangunan pertanian adalah modal alam, teknologi, kelembagaan, modal manusia, dan modal sosial.  Unsur modal sosial yang dimaksud diantaranya adalah saling percaya pada sesama anggota masyarakat, empati sosial, kohesi sosial, kepedulian sosial, dan kerja sama kolektif. Makalah ini ditujukan untuk mengkaji arti penting modal sosial dalam pembangunan pertanian, serta bagaimana strategi pemanfaatan dan penguatan pendamping (khususnya penyuluh pertanian) dalam p…","author":[{"dropping-particle":"","family":"Mangkuprawira","given":"Sjafri","non-dropping-particle":"","parse-names":false,"suffix":""}],"container-title":"Forum penelitian Agro Ekonomi","id":"ITEM-1","issue":"1","issued":{"date-parts":[["2016"]]},"page":"19","title":"Strategi Peningkatan Kapasitas Modal Sosial dan Kualitas Sumber Daya Manusia Pendamping Pembangunan Pertanian","type":"article-journal","volume":"28"},"uris":["http://www.mendeley.com/documents/?uuid=fb022eda-5216-4883-9f2a-d3d20d7f4048"]},{"id":"ITEM-2","itemData":{"DOI":"10.14203/jmi.v48i1.1187","ISBN":"9786025221552","ISSN":"0125-9989","abstract":"… di dalam sistem tatakelola pemerintahan Indonesia pasca … adalah mengubah sistem tata kelola pemerintahan yang … pada percepatan pembangunan, tata kelola pemerintahan yang baik…","author":[{"dropping-particle":"","family":"Feneteruma","given":"Luis","non-dropping-particle":"","parse-names":false,"suffix":""}],"container-title":"Masyarakat Indonesia","id":"ITEM-2","issue":"1","issued":{"date-parts":[["2023"]]},"number-of-pages":"147-152","title":"PEMBANGUNAN, MARGINALISASI, dan DISINTEGRASI PAPUA","type":"book","volume":"48"},"uris":["http://www.mendeley.com/documents/?uuid=a929e67c-ce5b-4325-8159-8f9a7b0adb25"]},{"id":"ITEM-3","itemData":{"DOI":"10.1016/j.landusepol.2015.11.016","ISSN":"02648377","abstract":"A substantial fraction of the open space in (peri-) urban and rural areas is covered by domestic gardens which support the delivery of multiple ecosystem services. Although individually they may look insignificant, the aggregation of domestic gardens and of gardening actions can be significant. Referring to 'the tyranny of small decisions', we launch the concept of a 'resource by small gardening actions': the positive cumulative outcome of individual garden owners adopting pro-environmental gardening practices. Using qualitative research, we gained a thorough insight into the barriers and levers related to the development of domestic gardens as a 'resource by small gardening actions'. By combining the data from expert interviews with a design workshop addressing garden and landscape architects, and focus groups with private garden owners, we identified eight barriers and nine levers. These levers are part of a 'mix and match' toolbox, allowing the development of tailor-made strategies for garden governance. These insights increase the understanding on if and how private actors and their properties could become part of policy plans to support ecosystem services. This adds to the global understanding of the strategic value of daily-life landscapes that exist all over the world.","author":[{"dropping-particle":"","family":"Dewaelheyns","given":"Valerie","non-dropping-particle":"","parse-names":false,"suffix":""},{"dropping-particle":"","family":"Kerselaers","given":"Eva","non-dropping-particle":"","parse-names":false,"suffix":""},{"dropping-particle":"","family":"Rogge","given":"Elke","non-dropping-particle":"","parse-names":false,"suffix":""}],"container-title":"Land Use Policy","id":"ITEM-3","issued":{"date-parts":[["2016"]]},"page":"191-205","publisher":"Elsevier Ltd","title":"A toolbox for garden governance","type":"article-journal","volume":"51"},"uris":["http://www.mendeley.com/documents/?uuid=a5c471a1-b591-4dcc-a383-e84034fdc62c"]}],"mendeley":{"formattedCitation":"(Mangkuprawira 2016; Feneteruma 2023; Dewaelheyns, Kerselaers, and Rogge 2016)","manualFormatting":"(Mangkuprawira 2016; Dewaelheyns et al. 2016)","plainTextFormattedCitation":"(Mangkuprawira 2016; Feneteruma 2023; Dewaelheyns, Kerselaers, and Rogge 2016)","previouslyFormattedCitation":"(Mangkuprawira 2016; Feneteruma 2023; Dewaelheyns, Kerselaers, and Rogge 2016)"},"properties":{"noteIndex":0},"schema":"https://github.com/citation-style-language/schema/raw/master/csl-citation.json"}</w:instrText>
      </w:r>
      <w:r w:rsidR="00D377B5">
        <w:fldChar w:fldCharType="separate"/>
      </w:r>
      <w:r w:rsidR="00D377B5" w:rsidRPr="00D377B5">
        <w:rPr>
          <w:noProof/>
        </w:rPr>
        <w:t>(Mangkuprawira 2016; Dewaelheyns</w:t>
      </w:r>
      <w:r w:rsidR="00D377B5">
        <w:rPr>
          <w:noProof/>
        </w:rPr>
        <w:t xml:space="preserve"> et al.</w:t>
      </w:r>
      <w:r w:rsidR="00D377B5" w:rsidRPr="00D377B5">
        <w:rPr>
          <w:noProof/>
        </w:rPr>
        <w:t xml:space="preserve"> 2016)</w:t>
      </w:r>
      <w:r w:rsidR="00D377B5">
        <w:fldChar w:fldCharType="end"/>
      </w:r>
      <w:r w:rsidRPr="001F3CFD">
        <w:t>, and changes in family roles</w:t>
      </w:r>
      <w:r w:rsidR="00D377B5">
        <w:t xml:space="preserve"> </w:t>
      </w:r>
      <w:r w:rsidR="00D377B5">
        <w:fldChar w:fldCharType="begin" w:fldLock="1"/>
      </w:r>
      <w:r w:rsidR="00A0666E">
        <w:instrText>ADDIN CSL_CITATION {"citationItems":[{"id":"ITEM-1","itemData":{"DOI":"10.1017/S1751731108003297","ISSN":"17517311","abstract":"In the last few decades, significant changes in livestock farming systems and land use were observed in European mountain areas with large implications for the sustainability of grazing agro-ecosystems. System dynamic studies become essential to understand these changes, identify the drivers involved and trying to anticipate what might happen in the future. The objectives of this study were as follows: (i) to analyse the main recent changes that occurred in mountain cattle farming in the Spanish Pyrenees; (ii) to typify diverse trajectories of evolution of these systems; and (iii) to establish drivers of change that might help understand the evolution of mountain agriculture. A constant sample of mountain cattle farms was analysed for the period 1990 to 2004. In total, 30% of farms have disappeared during this time interval. For the remaining farms, the most important general changes observed were as follows: increment of size; change of productive orientation from mixed beef-dairy to pure beef production; extensification of grazing management; reduction of family labour and increase of pluriactivity; reduction of unitary variable costs; and increase of labour productivity. After the elimination of common temporal effects between dates, multivariate techniques allowed for the identification of three patterns and six specific trajectories of evolution that are profiled in the text. Relationships between the patterns of evolution and other variables referring the farm, the household and the socio-economic environment were identified as drivers of change: (i) the specific location of the farm in relation to the capital village of the municipality and the evolution other sectors of the economy, in particular tourism; (ii) the size of the family labour, presence of successors and degree of dynamism of the farmer; and (iii) the initial orientation of production. © The Animal Consortium 2008.","author":[{"dropping-particle":"","family":"García-Martínez","given":"A.","non-dropping-particle":"","parse-names":false,"suffix":""},{"dropping-particle":"","family":"Olaizola","given":"A.","non-dropping-particle":"","parse-names":false,"suffix":""},{"dropping-particle":"","family":"Bernués","given":"A.","non-dropping-particle":"","parse-names":false,"suffix":""}],"container-title":"Animal","id":"ITEM-1","issue":"1","issued":{"date-parts":[["2009"]]},"page":"152-165","title":"Trajectories of evolution and drivers of change in European mountain cattle farming systems","type":"article-journal","volume":"3"},"uris":["http://www.mendeley.com/documents/?uuid=cd670a12-3f3c-4bc1-99dd-1d3c1adbea4b"]}],"mendeley":{"formattedCitation":"(García-Martínez, Olaizola, and Bernués 2009)","manualFormatting":"(García-Martínez et al. 2009)","plainTextFormattedCitation":"(García-Martínez, Olaizola, and Bernués 2009)","previouslyFormattedCitation":"(García-Martínez, Olaizola, and Bernués 2009)"},"properties":{"noteIndex":0},"schema":"https://github.com/citation-style-language/schema/raw/master/csl-citation.json"}</w:instrText>
      </w:r>
      <w:r w:rsidR="00D377B5">
        <w:fldChar w:fldCharType="separate"/>
      </w:r>
      <w:r w:rsidR="00D377B5" w:rsidRPr="00D377B5">
        <w:rPr>
          <w:noProof/>
        </w:rPr>
        <w:t>(García-Martínez</w:t>
      </w:r>
      <w:r w:rsidR="00A0666E">
        <w:rPr>
          <w:noProof/>
        </w:rPr>
        <w:t xml:space="preserve"> et al.</w:t>
      </w:r>
      <w:r w:rsidR="00D377B5" w:rsidRPr="00D377B5">
        <w:rPr>
          <w:noProof/>
        </w:rPr>
        <w:t xml:space="preserve"> 2009)</w:t>
      </w:r>
      <w:r w:rsidR="00D377B5">
        <w:fldChar w:fldCharType="end"/>
      </w:r>
      <w:r w:rsidRPr="001F3CFD">
        <w:t>.</w:t>
      </w:r>
    </w:p>
    <w:p w14:paraId="32F124D5" w14:textId="77777777" w:rsidR="001F3CFD" w:rsidRPr="001F3CFD" w:rsidRDefault="00D377B5" w:rsidP="00D377B5">
      <w:pPr>
        <w:jc w:val="both"/>
        <w:rPr>
          <w:i/>
          <w:iCs/>
        </w:rPr>
      </w:pPr>
      <w:r w:rsidRPr="00D377B5">
        <w:rPr>
          <w:i/>
          <w:iCs/>
        </w:rPr>
        <w:t>4.</w:t>
      </w:r>
      <w:r w:rsidR="001F3CFD" w:rsidRPr="001F3CFD">
        <w:rPr>
          <w:i/>
          <w:iCs/>
        </w:rPr>
        <w:t>4. Increased Technology Engagement</w:t>
      </w:r>
    </w:p>
    <w:p w14:paraId="681EDEE9" w14:textId="77777777" w:rsidR="001F3CFD" w:rsidRPr="001F3CFD" w:rsidRDefault="001F3CFD" w:rsidP="00D377B5">
      <w:pPr>
        <w:jc w:val="both"/>
      </w:pPr>
      <w:r w:rsidRPr="001F3CFD">
        <w:t>The application of technology in the agricultural and non-agricultural sectors will become increasingly important. Technology such as smart farming, digital applications for marketing, and modern production tools will increase productivity and efficiency, but also require rural communities to improve their skills.</w:t>
      </w:r>
    </w:p>
    <w:p w14:paraId="035A8131" w14:textId="77777777" w:rsidR="001F3CFD" w:rsidRPr="001F3CFD" w:rsidRDefault="00D377B5" w:rsidP="00D377B5">
      <w:pPr>
        <w:jc w:val="both"/>
        <w:rPr>
          <w:i/>
          <w:iCs/>
        </w:rPr>
      </w:pPr>
      <w:r w:rsidRPr="00D377B5">
        <w:rPr>
          <w:i/>
          <w:iCs/>
        </w:rPr>
        <w:t>4.</w:t>
      </w:r>
      <w:r w:rsidR="001F3CFD" w:rsidRPr="001F3CFD">
        <w:rPr>
          <w:i/>
          <w:iCs/>
        </w:rPr>
        <w:t>5. Better Environmental Management</w:t>
      </w:r>
    </w:p>
    <w:p w14:paraId="421AE188" w14:textId="77777777" w:rsidR="001F3CFD" w:rsidRPr="001F3CFD" w:rsidRDefault="001F3CFD" w:rsidP="00D377B5">
      <w:pPr>
        <w:jc w:val="both"/>
      </w:pPr>
      <w:r w:rsidRPr="001F3CFD">
        <w:t xml:space="preserve">Well-managed economic transformation can support sustainable agricultural practices, reduce deforestation (Barri et al. 2019; </w:t>
      </w:r>
      <w:proofErr w:type="spellStart"/>
      <w:r w:rsidRPr="001F3CFD">
        <w:t>Nahlunnisa</w:t>
      </w:r>
      <w:proofErr w:type="spellEnd"/>
      <w:r w:rsidRPr="001F3CFD">
        <w:t xml:space="preserve"> et al. 2016; </w:t>
      </w:r>
      <w:proofErr w:type="spellStart"/>
      <w:r w:rsidRPr="001F3CFD">
        <w:t>Feneteruma</w:t>
      </w:r>
      <w:proofErr w:type="spellEnd"/>
      <w:r w:rsidRPr="001F3CFD">
        <w:t xml:space="preserve"> 2023), and encourage wise use of natural resources. However, if not managed well, this transformation can exacerbate environmental problems, such as pollution, soil erosion, or decreased water quality.</w:t>
      </w:r>
    </w:p>
    <w:p w14:paraId="1C4B091B" w14:textId="77777777" w:rsidR="001F3CFD" w:rsidRPr="001F3CFD" w:rsidRDefault="001F3CFD" w:rsidP="00D377B5">
      <w:pPr>
        <w:jc w:val="both"/>
      </w:pPr>
      <w:r w:rsidRPr="001F3CFD">
        <w:rPr>
          <w:b/>
          <w:bCs/>
        </w:rPr>
        <w:t>5. Problems in Rural Economic Transformation</w:t>
      </w:r>
    </w:p>
    <w:p w14:paraId="05A91D77" w14:textId="77777777" w:rsidR="001F3CFD" w:rsidRPr="001F3CFD" w:rsidRDefault="00D377B5" w:rsidP="00D377B5">
      <w:pPr>
        <w:jc w:val="both"/>
        <w:rPr>
          <w:i/>
          <w:iCs/>
        </w:rPr>
      </w:pPr>
      <w:r w:rsidRPr="00D377B5">
        <w:rPr>
          <w:i/>
          <w:iCs/>
        </w:rPr>
        <w:t>5.</w:t>
      </w:r>
      <w:r w:rsidR="001F3CFD" w:rsidRPr="001F3CFD">
        <w:rPr>
          <w:i/>
          <w:iCs/>
        </w:rPr>
        <w:t>1. Infrastructure Access Gaps</w:t>
      </w:r>
    </w:p>
    <w:p w14:paraId="43DC0ABD" w14:textId="77777777" w:rsidR="001F3CFD" w:rsidRPr="001F3CFD" w:rsidRDefault="001F3CFD" w:rsidP="00D377B5">
      <w:pPr>
        <w:jc w:val="both"/>
      </w:pPr>
      <w:r w:rsidRPr="001F3CFD">
        <w:lastRenderedPageBreak/>
        <w:t>One of the main problems in rural economic transformation is the lack of access to adequate infrastructure. Poor roads, electricity, internet access and transportation are obstacles for rural communities in developing more advanced economic activities. Without adequate infrastructure, opportunities for economic diversification and access to broader markets are limited.</w:t>
      </w:r>
    </w:p>
    <w:p w14:paraId="6B94CA73" w14:textId="77777777" w:rsidR="001F3CFD" w:rsidRPr="001F3CFD" w:rsidRDefault="00D377B5" w:rsidP="00D377B5">
      <w:pPr>
        <w:jc w:val="both"/>
        <w:rPr>
          <w:i/>
          <w:iCs/>
        </w:rPr>
      </w:pPr>
      <w:r w:rsidRPr="00D377B5">
        <w:rPr>
          <w:i/>
          <w:iCs/>
        </w:rPr>
        <w:t>5.</w:t>
      </w:r>
      <w:r w:rsidR="001F3CFD" w:rsidRPr="001F3CFD">
        <w:rPr>
          <w:i/>
          <w:iCs/>
        </w:rPr>
        <w:t>2. Limited Access to Capital and Technology</w:t>
      </w:r>
    </w:p>
    <w:p w14:paraId="46279D28" w14:textId="77777777" w:rsidR="001F3CFD" w:rsidRPr="001F3CFD" w:rsidRDefault="001F3CFD" w:rsidP="00D377B5">
      <w:pPr>
        <w:jc w:val="both"/>
      </w:pPr>
      <w:r w:rsidRPr="001F3CFD">
        <w:t>Many farmers and small entrepreneurs in rural areas have difficulty accessing capital to invest in technology or new businesses. Banking and formal financial institutions are often difficult for village communities to reach due to limited collateral requirements or long distances. This limited capital is a barrier to increasing agricultural productivity and business diversification.</w:t>
      </w:r>
    </w:p>
    <w:p w14:paraId="78C4D946" w14:textId="77777777" w:rsidR="001F3CFD" w:rsidRPr="001F3CFD" w:rsidRDefault="00D377B5" w:rsidP="00D377B5">
      <w:pPr>
        <w:jc w:val="both"/>
        <w:rPr>
          <w:i/>
          <w:iCs/>
        </w:rPr>
      </w:pPr>
      <w:r w:rsidRPr="00D377B5">
        <w:rPr>
          <w:i/>
          <w:iCs/>
        </w:rPr>
        <w:t>5.</w:t>
      </w:r>
      <w:r w:rsidR="001F3CFD" w:rsidRPr="001F3CFD">
        <w:rPr>
          <w:i/>
          <w:iCs/>
        </w:rPr>
        <w:t>3. Lack of Skills and Education</w:t>
      </w:r>
    </w:p>
    <w:p w14:paraId="32D05927" w14:textId="77777777" w:rsidR="001F3CFD" w:rsidRPr="001F3CFD" w:rsidRDefault="001F3CFD" w:rsidP="00D377B5">
      <w:pPr>
        <w:jc w:val="both"/>
      </w:pPr>
      <w:r w:rsidRPr="001F3CFD">
        <w:t>Transforming the rural economy requires a workforce with adequate skills and knowledge, but education levels and access to training are often low in villages. This shortage causes the village community's low capacity to adopt new technology or take advantage of opportunities in the non-agricultural sector.</w:t>
      </w:r>
    </w:p>
    <w:p w14:paraId="7DF8F76B" w14:textId="77777777" w:rsidR="001F3CFD" w:rsidRPr="001F3CFD" w:rsidRDefault="00D377B5" w:rsidP="00D377B5">
      <w:pPr>
        <w:jc w:val="both"/>
        <w:rPr>
          <w:i/>
          <w:iCs/>
        </w:rPr>
      </w:pPr>
      <w:r w:rsidRPr="00D377B5">
        <w:rPr>
          <w:i/>
          <w:iCs/>
        </w:rPr>
        <w:t>5.</w:t>
      </w:r>
      <w:r w:rsidR="001F3CFD" w:rsidRPr="001F3CFD">
        <w:rPr>
          <w:i/>
          <w:iCs/>
        </w:rPr>
        <w:t>4. Uneven Structural Changes</w:t>
      </w:r>
    </w:p>
    <w:p w14:paraId="5338C44C" w14:textId="77777777" w:rsidR="001F3CFD" w:rsidRPr="001F3CFD" w:rsidRDefault="001F3CFD" w:rsidP="00D377B5">
      <w:pPr>
        <w:jc w:val="both"/>
      </w:pPr>
      <w:r w:rsidRPr="001F3CFD">
        <w:t>Often economic transformation only occurs in parts of rural areas that have better access to infrastructure and markets. This creates disparities between rural areas themselves, where more isolated or poorer villages are left behind in the transformation process, so that development gaps increase.</w:t>
      </w:r>
    </w:p>
    <w:p w14:paraId="43CF7E56" w14:textId="77777777" w:rsidR="001F3CFD" w:rsidRPr="001F3CFD" w:rsidRDefault="00D377B5" w:rsidP="00D377B5">
      <w:pPr>
        <w:jc w:val="both"/>
        <w:rPr>
          <w:i/>
          <w:iCs/>
        </w:rPr>
      </w:pPr>
      <w:r w:rsidRPr="00D377B5">
        <w:rPr>
          <w:i/>
          <w:iCs/>
        </w:rPr>
        <w:t>5.</w:t>
      </w:r>
      <w:r w:rsidR="001F3CFD" w:rsidRPr="001F3CFD">
        <w:rPr>
          <w:i/>
          <w:iCs/>
        </w:rPr>
        <w:t>5. Global Economic Uncertainty and Climate Change</w:t>
      </w:r>
    </w:p>
    <w:p w14:paraId="0A2E8435" w14:textId="77777777" w:rsidR="001F3CFD" w:rsidRPr="001F3CFD" w:rsidRDefault="001F3CFD" w:rsidP="00D377B5">
      <w:pPr>
        <w:jc w:val="both"/>
      </w:pPr>
      <w:r w:rsidRPr="001F3CFD">
        <w:t>The agricultural sector's dependence on external factors such as climate change, global commodity prices, and international trade policies are the main risks. More frequent extreme weather conditions can affect agricultural productivity, while commodity price fluctuations can have a negative impact on farmer incomes.</w:t>
      </w:r>
    </w:p>
    <w:p w14:paraId="3592AC5D" w14:textId="77777777" w:rsidR="001F3CFD" w:rsidRPr="001F3CFD" w:rsidRDefault="00D377B5" w:rsidP="00D377B5">
      <w:pPr>
        <w:jc w:val="both"/>
        <w:rPr>
          <w:i/>
          <w:iCs/>
        </w:rPr>
      </w:pPr>
      <w:r w:rsidRPr="00D377B5">
        <w:rPr>
          <w:i/>
          <w:iCs/>
        </w:rPr>
        <w:t>5.</w:t>
      </w:r>
      <w:r w:rsidR="001F3CFD" w:rsidRPr="001F3CFD">
        <w:rPr>
          <w:i/>
          <w:iCs/>
        </w:rPr>
        <w:t>6. Environmental Degradation</w:t>
      </w:r>
    </w:p>
    <w:p w14:paraId="56EB2DB9" w14:textId="77777777" w:rsidR="001F3CFD" w:rsidRPr="001F3CFD" w:rsidRDefault="001F3CFD" w:rsidP="00D377B5">
      <w:pPr>
        <w:jc w:val="both"/>
      </w:pPr>
      <w:r w:rsidRPr="001F3CFD">
        <w:t>If rural economic transformation is carried out without considering sustainability aspects, excessive exploitation of natural resources could occur. Unwise use of land, excessive use of pesticides and chemicals, and deforestation to clear agricultural land can cause severe environmental degradation.</w:t>
      </w:r>
    </w:p>
    <w:p w14:paraId="1745E60E" w14:textId="77777777" w:rsidR="001F3CFD" w:rsidRPr="001F3CFD" w:rsidRDefault="00D377B5" w:rsidP="00D377B5">
      <w:pPr>
        <w:jc w:val="both"/>
        <w:rPr>
          <w:i/>
          <w:iCs/>
        </w:rPr>
      </w:pPr>
      <w:r w:rsidRPr="00D377B5">
        <w:rPr>
          <w:i/>
          <w:iCs/>
        </w:rPr>
        <w:t>5.</w:t>
      </w:r>
      <w:r w:rsidR="001F3CFD" w:rsidRPr="001F3CFD">
        <w:rPr>
          <w:i/>
          <w:iCs/>
        </w:rPr>
        <w:t>7. Land Uncertainty and Conflict</w:t>
      </w:r>
    </w:p>
    <w:p w14:paraId="6F976460" w14:textId="77777777" w:rsidR="001F3CFD" w:rsidRPr="001F3CFD" w:rsidRDefault="001F3CFD" w:rsidP="00D377B5">
      <w:pPr>
        <w:jc w:val="both"/>
      </w:pPr>
      <w:r w:rsidRPr="001F3CFD">
        <w:t>Changes in land use patterns from traditional agriculture to industrial or infrastructure development often give rise to land ownership conflicts. Without a clear legal framework, rural communities may lose their land rights, which could exacerbate social and economic instability in the area.</w:t>
      </w:r>
    </w:p>
    <w:p w14:paraId="1DF2A70C" w14:textId="77777777" w:rsidR="001F3CFD" w:rsidRPr="001F3CFD" w:rsidRDefault="001F3CFD" w:rsidP="00D377B5">
      <w:pPr>
        <w:jc w:val="both"/>
      </w:pPr>
      <w:r w:rsidRPr="001F3CFD">
        <w:rPr>
          <w:b/>
          <w:bCs/>
        </w:rPr>
        <w:t>6. Impact of Digitalization and E-commerce Platforms on the Rural Economy in Papua</w:t>
      </w:r>
    </w:p>
    <w:p w14:paraId="00FF27B1" w14:textId="77777777" w:rsidR="001F3CFD" w:rsidRPr="001F3CFD" w:rsidRDefault="001F3CFD" w:rsidP="00D377B5">
      <w:pPr>
        <w:jc w:val="both"/>
      </w:pPr>
      <w:r w:rsidRPr="001F3CFD">
        <w:t xml:space="preserve">The development of digital technology and e-commerce </w:t>
      </w:r>
      <w:r w:rsidR="00D377B5">
        <w:fldChar w:fldCharType="begin" w:fldLock="1"/>
      </w:r>
      <w:r w:rsidR="00D377B5">
        <w:instrText>ADDIN CSL_CITATION {"citationItems":[{"id":"ITEM-1","itemData":{"abstract":"e-commerce","author":[{"dropping-particle":"","family":"Baršauskas","given":"A.P.","non-dropping-particle":"","parse-names":false,"suffix":""},{"dropping-particle":"","family":"Šarapovas","given":"T.","non-dropping-particle":"","parse-names":false,"suffix":""},{"dropping-particle":"","family":"Cvilikas","given":"A","non-dropping-particle":"","parse-names":false,"suffix":""}],"container-title":"Baltic Journal of Management","id":"ITEM-1","issue":"1","issued":{"date-parts":[["1996"]]},"page":"1-7","title":"\"The evaluation of e‐commerce impact on business efficiency","type":"article-journal","volume":"3"},"uris":["http://www.mendeley.com/documents/?uuid=3d3adbad-4465-4dc2-a249-f9cdbf973052"]}],"mendeley":{"formattedCitation":"(Baršauskas, Šarapovas, and Cvilikas 1996)","manualFormatting":"(Baršauskas et al. 1996)","plainTextFormattedCitation":"(Baršauskas, Šarapovas, and Cvilikas 1996)","previouslyFormattedCitation":"(Baršauskas, Šarapovas, and Cvilikas 1996)"},"properties":{"noteIndex":0},"schema":"https://github.com/citation-style-language/schema/raw/master/csl-citation.json"}</w:instrText>
      </w:r>
      <w:r w:rsidR="00D377B5">
        <w:fldChar w:fldCharType="separate"/>
      </w:r>
      <w:r w:rsidR="00D377B5" w:rsidRPr="00D377B5">
        <w:rPr>
          <w:noProof/>
        </w:rPr>
        <w:t>(Baršauskas</w:t>
      </w:r>
      <w:r w:rsidR="00D377B5">
        <w:rPr>
          <w:noProof/>
        </w:rPr>
        <w:t xml:space="preserve"> et al.</w:t>
      </w:r>
      <w:r w:rsidR="00D377B5" w:rsidRPr="00D377B5">
        <w:rPr>
          <w:noProof/>
        </w:rPr>
        <w:t xml:space="preserve"> 1996)</w:t>
      </w:r>
      <w:r w:rsidR="00D377B5">
        <w:fldChar w:fldCharType="end"/>
      </w:r>
      <w:r w:rsidR="00D377B5">
        <w:t xml:space="preserve"> </w:t>
      </w:r>
      <w:r w:rsidRPr="001F3CFD">
        <w:t>has brought significant changes to various sectors of life, including in rural areas of Tanah Papua. Amid geographic and infrastructure challenges, digitalization and e-commerce platforms present new opportunities for Papuans to connect with wider markets and improve their economic prosperity. The following is a narrative regarding the impact of digitalization and e-commerce on the rural economy in Papua:</w:t>
      </w:r>
    </w:p>
    <w:p w14:paraId="57A26AD8" w14:textId="77777777" w:rsidR="001F3CFD" w:rsidRPr="001F3CFD" w:rsidRDefault="00D377B5" w:rsidP="00D377B5">
      <w:pPr>
        <w:jc w:val="both"/>
        <w:rPr>
          <w:i/>
          <w:iCs/>
        </w:rPr>
      </w:pPr>
      <w:r w:rsidRPr="00D377B5">
        <w:rPr>
          <w:i/>
          <w:iCs/>
        </w:rPr>
        <w:t>6.</w:t>
      </w:r>
      <w:r w:rsidR="001F3CFD" w:rsidRPr="001F3CFD">
        <w:rPr>
          <w:i/>
          <w:iCs/>
        </w:rPr>
        <w:t>1. Increased Access to New Markets and Economic Opportunities</w:t>
      </w:r>
    </w:p>
    <w:p w14:paraId="0CE9CD7E" w14:textId="77777777" w:rsidR="001F3CFD" w:rsidRPr="001F3CFD" w:rsidRDefault="001F3CFD" w:rsidP="00D377B5">
      <w:pPr>
        <w:jc w:val="both"/>
      </w:pPr>
      <w:r w:rsidRPr="001F3CFD">
        <w:lastRenderedPageBreak/>
        <w:t>The e-commerce platform allows rural communities in Papua, including farmers, fishermen and craftsmen, to sell their products to a wider market at home and abroad. Previously, limited physical access to markets was the main obstacle for economic actors in rural areas, considering Papua's remote and difficult-to-reach geographical conditions. However, with digital platforms, they can overcome these obstacles and market agricultural products, handicrafts and other local products online, without having to rely entirely on intermediaries or limited local markets. For example, coffee or cocoa farmers in the mountainous regions of Papua can now sell their products directly to consumers or companies outside Papua via e-commerce platforms. That way, they can get better prices, increase income, and expand their business network.</w:t>
      </w:r>
    </w:p>
    <w:p w14:paraId="007D24BB" w14:textId="77777777" w:rsidR="001F3CFD" w:rsidRPr="001F3CFD" w:rsidRDefault="00D377B5" w:rsidP="00D377B5">
      <w:pPr>
        <w:jc w:val="both"/>
        <w:rPr>
          <w:i/>
          <w:iCs/>
        </w:rPr>
      </w:pPr>
      <w:r w:rsidRPr="00D377B5">
        <w:rPr>
          <w:i/>
          <w:iCs/>
        </w:rPr>
        <w:t>6.</w:t>
      </w:r>
      <w:r w:rsidR="001F3CFD" w:rsidRPr="001F3CFD">
        <w:rPr>
          <w:i/>
          <w:iCs/>
        </w:rPr>
        <w:t>2. Increased Productivity and Business Efficiency</w:t>
      </w:r>
    </w:p>
    <w:p w14:paraId="5BF6D81F" w14:textId="77777777" w:rsidR="001F3CFD" w:rsidRPr="001F3CFD" w:rsidRDefault="001F3CFD" w:rsidP="00D377B5">
      <w:pPr>
        <w:jc w:val="both"/>
      </w:pPr>
      <w:r w:rsidRPr="001F3CFD">
        <w:t xml:space="preserve">Digitalization in the agricultural and fisheries sectors also has a positive impact on productivity and business efficiency in rural Papua. Digital technology </w:t>
      </w:r>
      <w:r w:rsidR="00D377B5">
        <w:t xml:space="preserve"> </w:t>
      </w:r>
      <w:r w:rsidR="00D377B5">
        <w:fldChar w:fldCharType="begin" w:fldLock="1"/>
      </w:r>
      <w:r w:rsidR="00D377B5">
        <w:instrText>ADDIN CSL_CITATION {"citationItems":[{"id":"ITEM-1","itemData":{"DOI":"10.1355/cs29-2i","ISBN":"9781932728491","ISSN":"0129797X","abstract":"[...]dialogue in Papua should involve at least two Papuan umbrella actors: a. The Papuan People's Assembly, which, as a legal organization, has easy access to ordinary Papuans; and b. A secessionist umbrella organization, which could also incorporate the most radical elements, including the exiled rebel leaders. 3.\\n The issue of security concerns with transmigrants and with ethnic Papuans will also need to be dealt with, and the organization of security will need to be resolved if a meaningful peace treaty is to be achieved. [...]the issue of the political empowerment of Papuans needs to be dealt with in a dialogue between supporters and opponents of Indonesian rule.","author":[{"dropping-particle":"","family":"Sudira","given":"I Nyoman","non-dropping-particle":"","parse-names":false,"suffix":""}],"container-title":"Contemporary Southeast Asia","id":"ITEM-1","issue":"2","issued":{"date-parts":[["2007"]]},"number-of-pages":"380-382","title":"Initiating a Peace Process in Papua: Actors, Issues, Process, and the Role of the International Community","type":"book","volume":"29"},"uris":["http://www.mendeley.com/documents/?uuid=d7ab3235-b447-42b8-a038-ac199e91b27c"]},{"id":"ITEM-2","itemData":{"DOI":"10.1016/j.joitmc.2023.100159","ISSN":"21998531","abstract":"This study investigates whether village funds, village-owned enterprises (henceforth, BUMDes), and village original income in Indonesia (PADes) enhance rural development. We employ three empirical methodologies to analyze data collected from 361 districts across Indonesia. These methods encompass cross-section regression, Difference-in-Difference (DID) technique, and Structural Equation Model (SEM)-based mediation analysis. The findings show that village funds positively and significantly impact rural development (measured using the village development index). However, the impact of BUMDes on rural development shows weak evidence. The quasi-experiment also reveals that districts with higher funding for their villages do not experience greater improvements in the village development index between 2016 and 2020. Furthermore, our study indicates that PADes play a crucial role in determining rural development, either directly or as a mediator for village funds and BUMDes. Policymakers should monitor the allocation of village funds to evaluate future allocation policies. Additionally, PADes performance is important for determining village fund transfers and development progress.","author":[{"dropping-particle":"","family":"Hilmawan","given":"Rian","non-dropping-particle":"","parse-names":false,"suffix":""},{"dropping-particle":"","family":"Aprianti","given":"Yesi","non-dropping-particle":"","parse-names":false,"suffix":""},{"dropping-particle":"","family":"Vo","given":"Diem Thi Hong","non-dropping-particle":"","parse-names":false,"suffix":""},{"dropping-particle":"","family":"Yudaruddin","given":"Rizky","non-dropping-particle":"","parse-names":false,"suffix":""},{"dropping-particle":"","family":"Bintoro","given":"Ratih Fenty Anggraini","non-dropping-particle":"","parse-names":false,"suffix":""},{"dropping-particle":"","family":"Fitrianto","given":"Yuli","non-dropping-particle":"","parse-names":false,"suffix":""},{"dropping-particle":"","family":"Wahyuningsih","given":"Noor","non-dropping-particle":"","parse-names":false,"suffix":""}],"container-title":"Journal of Open Innovation: Technology, Market, and Complexity","id":"ITEM-2","issue":"4","issued":{"date-parts":[["2023"]]},"title":"Rural development from village funds, village-owned enterprises, and village original income","type":"article-journal","volume":"9"},"uris":["http://www.mendeley.com/documents/?uuid=987e7163-e59c-4004-9eed-d1e11b6377c7"]}],"mendeley":{"formattedCitation":"(Sudira 2007; Hilmawan et al. 2023)","plainTextFormattedCitation":"(Sudira 2007; Hilmawan et al. 2023)","previouslyFormattedCitation":"(Sudira 2007; Hilmawan et al. 2023)"},"properties":{"noteIndex":0},"schema":"https://github.com/citation-style-language/schema/raw/master/csl-citation.json"}</w:instrText>
      </w:r>
      <w:r w:rsidR="00D377B5">
        <w:fldChar w:fldCharType="separate"/>
      </w:r>
      <w:r w:rsidR="00D377B5" w:rsidRPr="00D377B5">
        <w:rPr>
          <w:noProof/>
        </w:rPr>
        <w:t>(Sudira 2007; Hilmawan et al. 2023)</w:t>
      </w:r>
      <w:r w:rsidR="00D377B5">
        <w:fldChar w:fldCharType="end"/>
      </w:r>
      <w:r w:rsidR="00D377B5">
        <w:t xml:space="preserve"> </w:t>
      </w:r>
      <w:r w:rsidRPr="001F3CFD">
        <w:t>such as applications for weather prediction, stock management, or digital payment systems help rural businesses manage production and distribution more effectively. With accurate and easily accessible information, farmers and fishermen can optimize harvest or catch times, reduce the risk of losses, and increase their production yields.</w:t>
      </w:r>
    </w:p>
    <w:p w14:paraId="27CE1453" w14:textId="77777777" w:rsidR="001F3CFD" w:rsidRPr="001F3CFD" w:rsidRDefault="001F3CFD" w:rsidP="00D377B5">
      <w:pPr>
        <w:jc w:val="both"/>
      </w:pPr>
      <w:r w:rsidRPr="001F3CFD">
        <w:t xml:space="preserve">Digital platforms also enable farmers or micro-entrepreneurs </w:t>
      </w:r>
      <w:r w:rsidR="00D377B5">
        <w:fldChar w:fldCharType="begin" w:fldLock="1"/>
      </w:r>
      <w:r w:rsidR="00D377B5">
        <w:instrText>ADDIN CSL_CITATION {"citationItems":[{"id":"ITEM-1","itemData":{"DOI":"10.47540/ijqr.v1i1.305","abstract":"This study aims to determine the pattern of strengthening social capital in increasing agricultural productivity in Tridana Mulya Village. The approach used in this study is a qualitative approach with data collection techniques including interviews, observation, and documentation. In this study, 19 rice farmers were used as informants. The results showed that the strategy of strengthening the social capital of rice farmers in increasing agricultural productivity in Tridhana Mulya Village included mutual trust and cooperation. The mutual trust of rice farmers in Tridhana Mulya Village is in the form of providing agricultural business capital, increasing the work ethic of rice farmers, increasing farmers' tenacity in farming, and allocation of working hours by farmers. While strengthening social capital through cooperation, namely cooperation in maintaining facilities and infrastructure, cooperation in working on rice fields and the use of livestock manure for fertilizer, cooperation in maintaining agricultural hygiene, and cooperation in maintaining the cleanliness of agricultural irrigation.","author":[{"dropping-particle":"","family":"Upe","given":"Ambo","non-dropping-particle":"","parse-names":false,"suffix":""},{"dropping-particle":"","family":"To’at","given":"Mohamad","non-dropping-particle":"","parse-names":false,"suffix":""},{"dropping-particle":"","family":"Mugambiwa","given":"Shingirai Stanley","non-dropping-particle":"","parse-names":false,"suffix":""},{"dropping-particle":"","family":"Huma","given":"Hertly","non-dropping-particle":"","parse-names":false,"suffix":""},{"dropping-particle":"","family":"Samad Akenbi","given":"Ahmed","non-dropping-particle":"","parse-names":false,"suffix":""}],"container-title":"International Journal of Qualitative Research","id":"ITEM-1","issue":"1","issued":{"date-parts":[["2021"]]},"page":"48-54","title":"Strengthening Rice Farmers' Social Capital in Increasing Agricultural Productivity","type":"article-journal","volume":"1"},"uris":["http://www.mendeley.com/documents/?uuid=636da386-4efa-4f79-bf31-29a5cc739367"]},{"id":"ITEM-2","itemData":{"DOI":"10.1016/j.joitmc.2023.100159","ISSN":"21998531","abstract":"This study investigates whether village funds, village-owned enterprises (henceforth, BUMDes), and village original income in Indonesia (PADes) enhance rural development. We employ three empirical methodologies to analyze data collected from 361 districts across Indonesia. These methods encompass cross-section regression, Difference-in-Difference (DID) technique, and Structural Equation Model (SEM)-based mediation analysis. The findings show that village funds positively and significantly impact rural development (measured using the village development index). However, the impact of BUMDes on rural development shows weak evidence. The quasi-experiment also reveals that districts with higher funding for their villages do not experience greater improvements in the village development index between 2016 and 2020. Furthermore, our study indicates that PADes play a crucial role in determining rural development, either directly or as a mediator for village funds and BUMDes. Policymakers should monitor the allocation of village funds to evaluate future allocation policies. Additionally, PADes performance is important for determining village fund transfers and development progress.","author":[{"dropping-particle":"","family":"Hilmawan","given":"Rian","non-dropping-particle":"","parse-names":false,"suffix":""},{"dropping-particle":"","family":"Aprianti","given":"Yesi","non-dropping-particle":"","parse-names":false,"suffix":""},{"dropping-particle":"","family":"Vo","given":"Diem Thi Hong","non-dropping-particle":"","parse-names":false,"suffix":""},{"dropping-particle":"","family":"Yudaruddin","given":"Rizky","non-dropping-particle":"","parse-names":false,"suffix":""},{"dropping-particle":"","family":"Bintoro","given":"Ratih Fenty Anggraini","non-dropping-particle":"","parse-names":false,"suffix":""},{"dropping-particle":"","family":"Fitrianto","given":"Yuli","non-dropping-particle":"","parse-names":false,"suffix":""},{"dropping-particle":"","family":"Wahyuningsih","given":"Noor","non-dropping-particle":"","parse-names":false,"suffix":""}],"container-title":"Journal of Open Innovation: Technology, Market, and Complexity","id":"ITEM-2","issue":"4","issued":{"date-parts":[["2023"]]},"title":"Rural development from village funds, village-owned enterprises, and village original income","type":"article-journal","volume":"9"},"uris":["http://www.mendeley.com/documents/?uuid=987e7163-e59c-4004-9eed-d1e11b6377c7"]}],"mendeley":{"formattedCitation":"(Upe et al. 2021; Hilmawan et al. 2023)","plainTextFormattedCitation":"(Upe et al. 2021; Hilmawan et al. 2023)","previouslyFormattedCitation":"(Upe et al. 2021; Hilmawan et al. 2023)"},"properties":{"noteIndex":0},"schema":"https://github.com/citation-style-language/schema/raw/master/csl-citation.json"}</w:instrText>
      </w:r>
      <w:r w:rsidR="00D377B5">
        <w:fldChar w:fldCharType="separate"/>
      </w:r>
      <w:r w:rsidR="00D377B5" w:rsidRPr="00D377B5">
        <w:rPr>
          <w:noProof/>
        </w:rPr>
        <w:t>(Upe et al. 2021; Hilmawan et al. 2023)</w:t>
      </w:r>
      <w:r w:rsidR="00D377B5">
        <w:fldChar w:fldCharType="end"/>
      </w:r>
      <w:r w:rsidR="00D377B5">
        <w:t xml:space="preserve"> </w:t>
      </w:r>
      <w:r w:rsidRPr="001F3CFD">
        <w:t>to manage their businesses more professionally, for example through online training or financial management applications that help them understand how to manage finances and investments in their businesses.</w:t>
      </w:r>
    </w:p>
    <w:p w14:paraId="27EE8B25" w14:textId="77777777" w:rsidR="001F3CFD" w:rsidRPr="001F3CFD" w:rsidRDefault="00D377B5" w:rsidP="00D377B5">
      <w:pPr>
        <w:jc w:val="both"/>
        <w:rPr>
          <w:i/>
          <w:iCs/>
        </w:rPr>
      </w:pPr>
      <w:r w:rsidRPr="00D377B5">
        <w:rPr>
          <w:i/>
          <w:iCs/>
        </w:rPr>
        <w:t>6.</w:t>
      </w:r>
      <w:r w:rsidR="001F3CFD" w:rsidRPr="001F3CFD">
        <w:rPr>
          <w:i/>
          <w:iCs/>
        </w:rPr>
        <w:t>3. Increased Access to Financial Information and Services</w:t>
      </w:r>
    </w:p>
    <w:p w14:paraId="055CDFDD" w14:textId="77777777" w:rsidR="001F3CFD" w:rsidRPr="001F3CFD" w:rsidRDefault="001F3CFD" w:rsidP="00D377B5">
      <w:pPr>
        <w:jc w:val="both"/>
      </w:pPr>
      <w:r w:rsidRPr="001F3CFD">
        <w:t>One of the main benefits of digitalization for rural Papuans is increased access to financial services. Previously, limited physical banks and financial services in remote areas made it difficult for rural communities to get access to banking, credit or insurance. However, with the development of digital financial services such as mobile banking and fintech, people in rural Papua can now access financial services more easily. This helps them develop their business, obtain capital, and manage their finances better.</w:t>
      </w:r>
    </w:p>
    <w:p w14:paraId="5704D775" w14:textId="77777777" w:rsidR="001F3CFD" w:rsidRPr="001F3CFD" w:rsidRDefault="001F3CFD" w:rsidP="00D377B5">
      <w:pPr>
        <w:jc w:val="both"/>
      </w:pPr>
      <w:r w:rsidRPr="001F3CFD">
        <w:t>Apart from that, digital platforms also provide wider access to information to the public. Through the internet and digital applications, they can gain new knowledge about more efficient farming techniques, new business opportunities, and emerging market trends, all of which can increase their competitiveness in the broader market.</w:t>
      </w:r>
    </w:p>
    <w:p w14:paraId="6FCA89DA" w14:textId="77777777" w:rsidR="001F3CFD" w:rsidRPr="001F3CFD" w:rsidRDefault="00D377B5" w:rsidP="00D377B5">
      <w:pPr>
        <w:jc w:val="both"/>
        <w:rPr>
          <w:i/>
          <w:iCs/>
        </w:rPr>
      </w:pPr>
      <w:r w:rsidRPr="00D377B5">
        <w:rPr>
          <w:i/>
          <w:iCs/>
        </w:rPr>
        <w:t>6.</w:t>
      </w:r>
      <w:r w:rsidR="001F3CFD" w:rsidRPr="001F3CFD">
        <w:rPr>
          <w:i/>
          <w:iCs/>
        </w:rPr>
        <w:t>4. Reducing dependence on intermediaries and increasing farmer welfare</w:t>
      </w:r>
    </w:p>
    <w:p w14:paraId="4817750B" w14:textId="77777777" w:rsidR="001F3CFD" w:rsidRPr="001F3CFD" w:rsidRDefault="001F3CFD" w:rsidP="00D377B5">
      <w:pPr>
        <w:jc w:val="both"/>
      </w:pPr>
      <w:r w:rsidRPr="001F3CFD">
        <w:t>Before the advent of digital platforms, many farmers and fishermen in rural Papua relied on intermediaries to sell their products. This often means they do not get optimal prices because of their weak bargaining position. However, with e-commerce, farmers can directly interact with end consumers or retailers, reduce dependence on middlemen, and get better prices. This increase in income directly contributes to improving the economic welfare of farming and fishing families in Papua.</w:t>
      </w:r>
    </w:p>
    <w:p w14:paraId="46F202C8" w14:textId="77777777" w:rsidR="001F3CFD" w:rsidRPr="001F3CFD" w:rsidRDefault="00D377B5" w:rsidP="00D377B5">
      <w:pPr>
        <w:jc w:val="both"/>
        <w:rPr>
          <w:i/>
          <w:iCs/>
        </w:rPr>
      </w:pPr>
      <w:r w:rsidRPr="00D377B5">
        <w:rPr>
          <w:i/>
          <w:iCs/>
        </w:rPr>
        <w:t>6.</w:t>
      </w:r>
      <w:r w:rsidR="001F3CFD" w:rsidRPr="001F3CFD">
        <w:rPr>
          <w:i/>
          <w:iCs/>
        </w:rPr>
        <w:t>5. Economic Opportunities in the Services and Tourism Sector</w:t>
      </w:r>
    </w:p>
    <w:p w14:paraId="4D61A00D" w14:textId="77777777" w:rsidR="001F3CFD" w:rsidRPr="001F3CFD" w:rsidRDefault="001F3CFD" w:rsidP="00D377B5">
      <w:pPr>
        <w:jc w:val="both"/>
      </w:pPr>
      <w:r w:rsidRPr="001F3CFD">
        <w:t xml:space="preserve">Digital platforms also open up new opportunities in the service and tourism sectors in Papua. With online promotions and the use of social media, villages in Papua that have natural and cultural tourism potential can attract more domestic and foreign tourists. For example, homestays, ecotourism and </w:t>
      </w:r>
      <w:r w:rsidRPr="001F3CFD">
        <w:lastRenderedPageBreak/>
        <w:t>community-based tour packages managed by local indigenous communities can be marketed via digital platforms, increasing income from the tourism sector and developing the local economy.</w:t>
      </w:r>
    </w:p>
    <w:p w14:paraId="3545F40E" w14:textId="77777777" w:rsidR="001F3CFD" w:rsidRPr="001F3CFD" w:rsidRDefault="001F3CFD" w:rsidP="00D377B5">
      <w:pPr>
        <w:jc w:val="both"/>
      </w:pPr>
      <w:r w:rsidRPr="001F3CFD">
        <w:t>Digitalization has also encouraged the emergence of new service sectors in rural areas, such as delivery services, local couriers, or management of the e-commerce platform itself, which creates new jobs for young people in rural Papua.</w:t>
      </w:r>
    </w:p>
    <w:p w14:paraId="57B0950D" w14:textId="77777777" w:rsidR="001F3CFD" w:rsidRPr="001F3CFD" w:rsidRDefault="00D377B5" w:rsidP="00D377B5">
      <w:pPr>
        <w:jc w:val="both"/>
        <w:rPr>
          <w:i/>
          <w:iCs/>
        </w:rPr>
      </w:pPr>
      <w:r w:rsidRPr="00D377B5">
        <w:rPr>
          <w:i/>
          <w:iCs/>
        </w:rPr>
        <w:t>6.</w:t>
      </w:r>
      <w:r w:rsidR="001F3CFD" w:rsidRPr="001F3CFD">
        <w:rPr>
          <w:i/>
          <w:iCs/>
        </w:rPr>
        <w:t>6. Infrastructure and Digital Literacy Challenges</w:t>
      </w:r>
    </w:p>
    <w:p w14:paraId="2C52F701" w14:textId="77777777" w:rsidR="001F3CFD" w:rsidRPr="001F3CFD" w:rsidRDefault="001F3CFD" w:rsidP="00D377B5">
      <w:pPr>
        <w:jc w:val="both"/>
      </w:pPr>
      <w:r w:rsidRPr="001F3CFD">
        <w:t>Even though digitalization brings many benefits, there are several challenges that must be faced in implementing it in rural Papua. Limited internet infrastructure is still a major obstacle, especially in inland and remote areas</w:t>
      </w:r>
      <w:r w:rsidR="00A0666E">
        <w:t xml:space="preserve"> </w:t>
      </w:r>
      <w:r w:rsidR="00A0666E">
        <w:fldChar w:fldCharType="begin" w:fldLock="1"/>
      </w:r>
      <w:r w:rsidR="00A0666E">
        <w:instrText>ADDIN CSL_CITATION {"citationItems":[{"id":"ITEM-1","itemData":{"ISBN":"9781932728248","PMID":"2005274221","abstract":"This study examines the ways in which large-scale migration and rapid economic change have fueled separatism and ethnic conflict in Papua. It presents an analysis of recent census data showing that three quarters of a million migrants from other parts of Indonesia have resettled in the territory since 1970 either through official transmigration programs or as unsponsored economic migrants. Based on this analysis, the study illustrates how rapid modernization and demographic change have resulted in the displacement and dislocation of Papua?s indigenous population, provoking Papuan resentment and demands for independence. But rapid social change has not only spurred ethnonationalist mobilization; it has also generated ethnic and tribal tensions within Papua. Growing competition for land and resources between settlers and Papuans has given rise to persistent social conflict in Papua. The threat now looms that this social conflict could trigger a larger outbreak of communal and ethnic violence as in neighboring areas. So far Papua has proved relatively resistant to efforts to foment widespread conflict. It remains unclear, however, whether the government can address the deep-seated sense of Papuan resentment leading to alienation and conflict. It could do so by reversing many of its divisive policies and redoubling its efforts to bring services to remote indigenous communities. In the absence of such initiatives, continuing inflows of migrants into the province may well overwhelm the mechanisms for social management that have so far kept conflict from spiraling out of control.This is the thirteenth publication in Policy Studies, a peer-reviewed East-West Center Washington series that presents scholarly analysis of key contemporary domestic and international political, economic, and strategic issues affecting Asia in a policy relevant manner.","author":[{"dropping-particle":"","family":"McGibbon","given":"R","non-dropping-particle":"","parse-names":false,"suffix":""},{"dropping-particle":"","family":"Washington","given":"East-West Center","non-dropping-particle":"","parse-names":false,"suffix":""}],"container-title":"Policy studies","id":"ITEM-1","issued":{"date-parts":[["2004"]]},"number-of-pages":"86","title":"Plural society in peril: migration, economic change, and the Papua conflict","type":"book"},"uris":["http://www.mendeley.com/documents/?uuid=ddb94da7-0ba9-49ba-9b3d-73fcf1da2995"]}],"mendeley":{"formattedCitation":"(McGibbon and Washington 2004)","plainTextFormattedCitation":"(McGibbon and Washington 2004)","previouslyFormattedCitation":"(McGibbon and Washington 2004)"},"properties":{"noteIndex":0},"schema":"https://github.com/citation-style-language/schema/raw/master/csl-citation.json"}</w:instrText>
      </w:r>
      <w:r w:rsidR="00A0666E">
        <w:fldChar w:fldCharType="separate"/>
      </w:r>
      <w:r w:rsidR="00A0666E" w:rsidRPr="00A0666E">
        <w:rPr>
          <w:noProof/>
        </w:rPr>
        <w:t>(McGibbon and Washington 2004)</w:t>
      </w:r>
      <w:r w:rsidR="00A0666E">
        <w:fldChar w:fldCharType="end"/>
      </w:r>
      <w:r w:rsidRPr="001F3CFD">
        <w:t>. Limited or low-quality internet access prevents some rural communities from making full use of e-commerce platforms</w:t>
      </w:r>
      <w:r w:rsidR="00A0666E">
        <w:t xml:space="preserve"> </w:t>
      </w:r>
      <w:r w:rsidR="00A0666E">
        <w:fldChar w:fldCharType="begin" w:fldLock="1"/>
      </w:r>
      <w:r w:rsidR="00A0666E">
        <w:instrText>ADDIN CSL_CITATION {"citationItems":[{"id":"ITEM-1","itemData":{"abstract":"e-commerce","author":[{"dropping-particle":"","family":"Baršauskas","given":"A.P.","non-dropping-particle":"","parse-names":false,"suffix":""},{"dropping-particle":"","family":"Šarapovas","given":"T.","non-dropping-particle":"","parse-names":false,"suffix":""},{"dropping-particle":"","family":"Cvilikas","given":"A","non-dropping-particle":"","parse-names":false,"suffix":""}],"container-title":"Baltic Journal of Management","id":"ITEM-1","issue":"1","issued":{"date-parts":[["1996"]]},"page":"1-7","title":"\"The evaluation of e‐commerce impact on business efficiency","type":"article-journal","volume":"3"},"uris":["http://www.mendeley.com/documents/?uuid=3d3adbad-4465-4dc2-a249-f9cdbf973052"]}],"mendeley":{"formattedCitation":"(Baršauskas, Šarapovas, and Cvilikas 1996)","manualFormatting":"(Baršauskas et al. 1996)","plainTextFormattedCitation":"(Baršauskas, Šarapovas, and Cvilikas 1996)","previouslyFormattedCitation":"(Baršauskas, Šarapovas, and Cvilikas 1996)"},"properties":{"noteIndex":0},"schema":"https://github.com/citation-style-language/schema/raw/master/csl-citation.json"}</w:instrText>
      </w:r>
      <w:r w:rsidR="00A0666E">
        <w:fldChar w:fldCharType="separate"/>
      </w:r>
      <w:r w:rsidR="00A0666E" w:rsidRPr="00A0666E">
        <w:rPr>
          <w:noProof/>
        </w:rPr>
        <w:t>(Baršauskas</w:t>
      </w:r>
      <w:r w:rsidR="00A0666E">
        <w:rPr>
          <w:noProof/>
        </w:rPr>
        <w:t xml:space="preserve"> et al.</w:t>
      </w:r>
      <w:r w:rsidR="00A0666E" w:rsidRPr="00A0666E">
        <w:rPr>
          <w:noProof/>
        </w:rPr>
        <w:t xml:space="preserve"> 1996)</w:t>
      </w:r>
      <w:r w:rsidR="00A0666E">
        <w:fldChar w:fldCharType="end"/>
      </w:r>
      <w:r w:rsidRPr="001F3CFD">
        <w:t>.</w:t>
      </w:r>
    </w:p>
    <w:p w14:paraId="05DAAEB1" w14:textId="77777777" w:rsidR="001F3CFD" w:rsidRPr="001F3CFD" w:rsidRDefault="001F3CFD" w:rsidP="00D377B5">
      <w:pPr>
        <w:jc w:val="both"/>
      </w:pPr>
      <w:r w:rsidRPr="001F3CFD">
        <w:t xml:space="preserve">Apart from that, the low level of digital literacy </w:t>
      </w:r>
      <w:r w:rsidR="00A0666E">
        <w:fldChar w:fldCharType="begin" w:fldLock="1"/>
      </w:r>
      <w:r w:rsidR="008C6815">
        <w:instrText>ADDIN CSL_CITATION {"citationItems":[{"id":"ITEM-1","itemData":{"ISBN":"9786023921553","author":[{"dropping-particle":"","family":"Pangaribuan","given":"N","non-dropping-particle":"","parse-names":false,"suffix":""},{"dropping-particle":"","family":"Winarni","given":"I","non-dropping-particle":"","parse-names":false,"suffix":""},{"dropping-particle":"","family":"Toha","given":"M","non-dropping-particle":"","parse-names":false,"suffix":""},{"dropping-particle":"","family":"Utami","given":"S","non-dropping-particle":"","parse-names":false,"suffix":""}],"id":"ITEM-1","issue":"June","issued":{"date-parts":[["2017"]]},"number-of-pages":"117-152","publisher":"Universitas Terbuka","title":"Optimalisasi Peran Sains &amp; Teknologi Mewujudkan Smart City","type":"book"},"uris":["http://www.mendeley.com/documents/?uuid=5dbcfb08-3a23-4eb9-867c-b2ea7d76510c"]},{"id":"ITEM-2","itemData":{"author":[{"dropping-particle":"","family":"IFAD","given":"I","non-dropping-particle":"","parse-names":false,"suffix":""}],"id":"ITEM-2","issue":"08","issued":{"date-parts":[["2019"]]},"title":"Indonesia Transformasi Ekonomi Kampung Terpadu - Integrated Village Economic Transformation ( TEKAD ) Project Design Report Main report and annexes","type":"book"},"uris":["http://www.mendeley.com/documents/?uuid=7d06a03d-c2a9-4260-96e7-dfa172152916"]}],"mendeley":{"formattedCitation":"(Pangaribuan et al. 2017; IFAD 2019)","plainTextFormattedCitation":"(Pangaribuan et al. 2017; IFAD 2019)","previouslyFormattedCitation":"(Pangaribuan et al. 2017; IFAD 2019)"},"properties":{"noteIndex":0},"schema":"https://github.com/citation-style-language/schema/raw/master/csl-citation.json"}</w:instrText>
      </w:r>
      <w:r w:rsidR="00A0666E">
        <w:fldChar w:fldCharType="separate"/>
      </w:r>
      <w:r w:rsidR="00A0666E" w:rsidRPr="00A0666E">
        <w:rPr>
          <w:noProof/>
        </w:rPr>
        <w:t>(Pangaribuan et al. 2017; IFAD 2019)</w:t>
      </w:r>
      <w:r w:rsidR="00A0666E">
        <w:fldChar w:fldCharType="end"/>
      </w:r>
      <w:r w:rsidR="00A0666E">
        <w:t xml:space="preserve"> </w:t>
      </w:r>
      <w:r w:rsidRPr="001F3CFD">
        <w:t>among Papuan rural communities is also a challenge. Many people are not yet accustomed to using digital technology or do not have sufficient skills to operate e-commerce platforms and other digital services. Therefore, training and education programs on digital literacy are very important to ensure that rural communities can optimally utilize the opportunities offered by digitalization and e-commerce.</w:t>
      </w:r>
    </w:p>
    <w:p w14:paraId="316C8129" w14:textId="77777777" w:rsidR="001F3CFD" w:rsidRPr="001F3CFD" w:rsidRDefault="001F3CFD" w:rsidP="00D377B5">
      <w:pPr>
        <w:jc w:val="both"/>
      </w:pPr>
      <w:r w:rsidRPr="001F3CFD">
        <w:rPr>
          <w:b/>
          <w:bCs/>
        </w:rPr>
        <w:t>7. Conclusion</w:t>
      </w:r>
    </w:p>
    <w:p w14:paraId="2AA3D8F6" w14:textId="77777777" w:rsidR="001F3CFD" w:rsidRPr="001F3CFD" w:rsidRDefault="001F3CFD" w:rsidP="00D377B5">
      <w:pPr>
        <w:jc w:val="both"/>
      </w:pPr>
      <w:r w:rsidRPr="001F3CFD">
        <w:t>Rural economic activities in Papua depend heavily on natural wealth and local culture. However, to improve community welfare, there needs to be increased infrastructure, access to technology, and community empowerment through education and skills training. In this way, Papuan rural communities can be more competitive in a wider market and ready to face modern economic challenges.</w:t>
      </w:r>
    </w:p>
    <w:p w14:paraId="6AC731C0" w14:textId="77777777" w:rsidR="001F3CFD" w:rsidRPr="001F3CFD" w:rsidRDefault="001F3CFD" w:rsidP="00D377B5">
      <w:pPr>
        <w:jc w:val="both"/>
      </w:pPr>
      <w:r w:rsidRPr="001F3CFD">
        <w:t>Rural economic transformation is a complex process and requires an integrated approach to address structural, social and environmental issues. Even though it has great potential to improve the welfare of rural communities and reduce disparities with urban areas, this process requires strong support from the government, private sector and local communities. Adequate infrastructure, access to capital, increasing human resource capacity, and protecting the environment are key elements for the success of this transformation.</w:t>
      </w:r>
    </w:p>
    <w:p w14:paraId="76CC9187" w14:textId="77777777" w:rsidR="001F3CFD" w:rsidRPr="001F3CFD" w:rsidRDefault="001F3CFD" w:rsidP="00D377B5">
      <w:pPr>
        <w:jc w:val="both"/>
      </w:pPr>
      <w:r w:rsidRPr="001F3CFD">
        <w:t>The transformation of the rural economy in Papua through digitalization and e-commerce platforms has had a positive impact in the form of increasing market access, business productivity and the welfare of local communities. Although there are still challenges related to infrastructure and digital literacy, digitalization is paving the way for the rural economy in Papua to be more integrated with the national and global economy, creating new opportunities for sustainable development in the region.</w:t>
      </w:r>
    </w:p>
    <w:p w14:paraId="20F7CEC6" w14:textId="77777777" w:rsidR="001F3CFD" w:rsidRPr="001F3CFD" w:rsidRDefault="001F3CFD" w:rsidP="00D377B5">
      <w:pPr>
        <w:jc w:val="both"/>
      </w:pPr>
      <w:r w:rsidRPr="001F3CFD">
        <w:rPr>
          <w:b/>
          <w:bCs/>
        </w:rPr>
        <w:t xml:space="preserve">8. </w:t>
      </w:r>
      <w:r w:rsidR="00D377B5">
        <w:rPr>
          <w:b/>
          <w:bCs/>
        </w:rPr>
        <w:t>Reference</w:t>
      </w:r>
    </w:p>
    <w:p w14:paraId="5DC4369A" w14:textId="77777777" w:rsidR="00F36C9C" w:rsidRPr="00F36C9C" w:rsidRDefault="00D377B5" w:rsidP="008F36E6">
      <w:pPr>
        <w:widowControl w:val="0"/>
        <w:autoSpaceDE w:val="0"/>
        <w:autoSpaceDN w:val="0"/>
        <w:adjustRightInd w:val="0"/>
        <w:spacing w:line="240" w:lineRule="auto"/>
        <w:ind w:left="480" w:hanging="480"/>
        <w:jc w:val="both"/>
        <w:rPr>
          <w:rFonts w:ascii="Calibri" w:hAnsi="Calibri" w:cs="Calibri"/>
          <w:noProof/>
          <w:szCs w:val="24"/>
        </w:rPr>
      </w:pPr>
      <w:r>
        <w:fldChar w:fldCharType="begin" w:fldLock="1"/>
      </w:r>
      <w:r>
        <w:instrText xml:space="preserve">ADDIN Mendeley Bibliography CSL_BIBLIOGRAPHY </w:instrText>
      </w:r>
      <w:r>
        <w:fldChar w:fldCharType="separate"/>
      </w:r>
      <w:r w:rsidR="00F36C9C" w:rsidRPr="00F36C9C">
        <w:rPr>
          <w:rFonts w:ascii="Calibri" w:hAnsi="Calibri" w:cs="Calibri"/>
          <w:noProof/>
          <w:szCs w:val="24"/>
        </w:rPr>
        <w:t xml:space="preserve">Baršauskas, A.P., T. Šarapovas, and A Cvilikas. 1996. “"The Evaluation of E‐commerce Impact on Business Efficiency.” </w:t>
      </w:r>
      <w:r w:rsidR="00F36C9C" w:rsidRPr="00F36C9C">
        <w:rPr>
          <w:rFonts w:ascii="Calibri" w:hAnsi="Calibri" w:cs="Calibri"/>
          <w:i/>
          <w:iCs/>
          <w:noProof/>
          <w:szCs w:val="24"/>
        </w:rPr>
        <w:t>Baltic Journal of Management</w:t>
      </w:r>
      <w:r w:rsidR="00F36C9C" w:rsidRPr="00F36C9C">
        <w:rPr>
          <w:rFonts w:ascii="Calibri" w:hAnsi="Calibri" w:cs="Calibri"/>
          <w:noProof/>
          <w:szCs w:val="24"/>
        </w:rPr>
        <w:t xml:space="preserve"> 3 (1): 1–7.</w:t>
      </w:r>
    </w:p>
    <w:p w14:paraId="4B6FA662"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Browning, Martin, Thomas F. Crossley, and Joachim Winter. 2014. “The Measurement of Household Consumption Expenditures.” </w:t>
      </w:r>
      <w:r w:rsidRPr="00F36C9C">
        <w:rPr>
          <w:rFonts w:ascii="Calibri" w:hAnsi="Calibri" w:cs="Calibri"/>
          <w:i/>
          <w:iCs/>
          <w:noProof/>
          <w:szCs w:val="24"/>
        </w:rPr>
        <w:t>Annual Review of Economics</w:t>
      </w:r>
      <w:r w:rsidRPr="00F36C9C">
        <w:rPr>
          <w:rFonts w:ascii="Calibri" w:hAnsi="Calibri" w:cs="Calibri"/>
          <w:noProof/>
          <w:szCs w:val="24"/>
        </w:rPr>
        <w:t xml:space="preserve"> 6: 475–501. https://doi.org/10.1146/annurev-economics-080213-041247.</w:t>
      </w:r>
    </w:p>
    <w:p w14:paraId="154EE1C9"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Cahyono, Heru. 2012. “Arah Perkembangan Demokrasi Di Perdesaan Pasca Orde Baru.” </w:t>
      </w:r>
      <w:r w:rsidRPr="00F36C9C">
        <w:rPr>
          <w:rFonts w:ascii="Calibri" w:hAnsi="Calibri" w:cs="Calibri"/>
          <w:i/>
          <w:iCs/>
          <w:noProof/>
          <w:szCs w:val="24"/>
        </w:rPr>
        <w:t>Masyarakat Indonesia</w:t>
      </w:r>
      <w:r w:rsidRPr="00F36C9C">
        <w:rPr>
          <w:rFonts w:ascii="Calibri" w:hAnsi="Calibri" w:cs="Calibri"/>
          <w:noProof/>
          <w:szCs w:val="24"/>
        </w:rPr>
        <w:t xml:space="preserve"> 38 (2): 351.</w:t>
      </w:r>
    </w:p>
    <w:p w14:paraId="0E3889E1"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lastRenderedPageBreak/>
        <w:t xml:space="preserve">Christiaensen, Luc, Lionel Demery, and Jesper Kuhl. 2011. “The ( Evolving ) Role of Agriculture in Poverty Reduction — An Empirical Perspective.” </w:t>
      </w:r>
      <w:r w:rsidRPr="00F36C9C">
        <w:rPr>
          <w:rFonts w:ascii="Calibri" w:hAnsi="Calibri" w:cs="Calibri"/>
          <w:i/>
          <w:iCs/>
          <w:noProof/>
          <w:szCs w:val="24"/>
        </w:rPr>
        <w:t>Journal of Development Economics</w:t>
      </w:r>
      <w:r w:rsidRPr="00F36C9C">
        <w:rPr>
          <w:rFonts w:ascii="Calibri" w:hAnsi="Calibri" w:cs="Calibri"/>
          <w:noProof/>
          <w:szCs w:val="24"/>
        </w:rPr>
        <w:t xml:space="preserve"> 96 (2): 239–54. https://doi.org/10.1016/j.jdeveco.2010.10.006.</w:t>
      </w:r>
    </w:p>
    <w:p w14:paraId="2A0E3682"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Dewaelheyns, Valerie, Eva Kerselaers, and Elke Rogge. 2016. “A Toolbox for Garden Governance.” </w:t>
      </w:r>
      <w:r w:rsidRPr="00F36C9C">
        <w:rPr>
          <w:rFonts w:ascii="Calibri" w:hAnsi="Calibri" w:cs="Calibri"/>
          <w:i/>
          <w:iCs/>
          <w:noProof/>
          <w:szCs w:val="24"/>
        </w:rPr>
        <w:t>Land Use Policy</w:t>
      </w:r>
      <w:r w:rsidRPr="00F36C9C">
        <w:rPr>
          <w:rFonts w:ascii="Calibri" w:hAnsi="Calibri" w:cs="Calibri"/>
          <w:noProof/>
          <w:szCs w:val="24"/>
        </w:rPr>
        <w:t xml:space="preserve"> 51: 191–205. https://doi.org/10.1016/j.landusepol.2015.11.016.</w:t>
      </w:r>
    </w:p>
    <w:p w14:paraId="7E4DF4C9"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Dollo, Mihin, Prasanna K Samal, R C Sundriyal, and Kireet Kumar. 2009. “Environmentally Sustainable Traditional Natural Resource Management and Conservation in Ziro Valley , Arunachal Himalaya , India.” </w:t>
      </w:r>
      <w:r w:rsidRPr="00F36C9C">
        <w:rPr>
          <w:rFonts w:ascii="Calibri" w:hAnsi="Calibri" w:cs="Calibri"/>
          <w:i/>
          <w:iCs/>
          <w:noProof/>
          <w:szCs w:val="24"/>
        </w:rPr>
        <w:t>Marsland Press Journal of American Science</w:t>
      </w:r>
      <w:r w:rsidRPr="00F36C9C">
        <w:rPr>
          <w:rFonts w:ascii="Calibri" w:hAnsi="Calibri" w:cs="Calibri"/>
          <w:noProof/>
          <w:szCs w:val="24"/>
        </w:rPr>
        <w:t xml:space="preserve"> 5 (5): 41–52. http://www.americanscience.org.</w:t>
      </w:r>
    </w:p>
    <w:p w14:paraId="0FB4C1E0"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Feneteruma, Luis. 2023. </w:t>
      </w:r>
      <w:r w:rsidRPr="00F36C9C">
        <w:rPr>
          <w:rFonts w:ascii="Calibri" w:hAnsi="Calibri" w:cs="Calibri"/>
          <w:i/>
          <w:iCs/>
          <w:noProof/>
          <w:szCs w:val="24"/>
        </w:rPr>
        <w:t>PEMBANGUNAN, MARGINALISASI, Dan DISINTEGRASI PAPUA</w:t>
      </w:r>
      <w:r w:rsidRPr="00F36C9C">
        <w:rPr>
          <w:rFonts w:ascii="Calibri" w:hAnsi="Calibri" w:cs="Calibri"/>
          <w:noProof/>
          <w:szCs w:val="24"/>
        </w:rPr>
        <w:t xml:space="preserve">. </w:t>
      </w:r>
      <w:r w:rsidRPr="00F36C9C">
        <w:rPr>
          <w:rFonts w:ascii="Calibri" w:hAnsi="Calibri" w:cs="Calibri"/>
          <w:i/>
          <w:iCs/>
          <w:noProof/>
          <w:szCs w:val="24"/>
        </w:rPr>
        <w:t>Masyarakat Indonesia</w:t>
      </w:r>
      <w:r w:rsidRPr="00F36C9C">
        <w:rPr>
          <w:rFonts w:ascii="Calibri" w:hAnsi="Calibri" w:cs="Calibri"/>
          <w:noProof/>
          <w:szCs w:val="24"/>
        </w:rPr>
        <w:t>. Vol. 48. https://doi.org/10.14203/jmi.v48i1.1187.</w:t>
      </w:r>
    </w:p>
    <w:p w14:paraId="247E75C9"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G. M. Toharmat, A. M. Fuah, L. Cyrilla, and Y. Triyonggo. 2020. “Strategi Pengembangan Kompetensi Sumber Daya Manusia Pasca Unloading Dari Kapal Ternak Camara Nusantara Indonesia.” </w:t>
      </w:r>
      <w:r w:rsidRPr="00F36C9C">
        <w:rPr>
          <w:rFonts w:ascii="Calibri" w:hAnsi="Calibri" w:cs="Calibri"/>
          <w:i/>
          <w:iCs/>
          <w:noProof/>
          <w:szCs w:val="24"/>
        </w:rPr>
        <w:t>Jurnal Ilmu Produksi Dan Teknologi Hasil Peternakan</w:t>
      </w:r>
      <w:r w:rsidRPr="00F36C9C">
        <w:rPr>
          <w:rFonts w:ascii="Calibri" w:hAnsi="Calibri" w:cs="Calibri"/>
          <w:noProof/>
          <w:szCs w:val="24"/>
        </w:rPr>
        <w:t xml:space="preserve"> 8 (1): 36–41. https://doi.org/10.29244/jipthp.8.1.36-41.</w:t>
      </w:r>
    </w:p>
    <w:p w14:paraId="22795778"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García-Martínez, A., A. Olaizola, and A. Bernués. 2009. “Trajectories of Evolution and Drivers of Change in European Mountain Cattle Farming Systems.” </w:t>
      </w:r>
      <w:r w:rsidRPr="00F36C9C">
        <w:rPr>
          <w:rFonts w:ascii="Calibri" w:hAnsi="Calibri" w:cs="Calibri"/>
          <w:i/>
          <w:iCs/>
          <w:noProof/>
          <w:szCs w:val="24"/>
        </w:rPr>
        <w:t>Animal</w:t>
      </w:r>
      <w:r w:rsidRPr="00F36C9C">
        <w:rPr>
          <w:rFonts w:ascii="Calibri" w:hAnsi="Calibri" w:cs="Calibri"/>
          <w:noProof/>
          <w:szCs w:val="24"/>
        </w:rPr>
        <w:t xml:space="preserve"> 3 (1): 152–65. https://doi.org/10.1017/S1751731108003297.</w:t>
      </w:r>
    </w:p>
    <w:p w14:paraId="241D59F5"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Hilmawan, Rian, Yesi Aprianti, Diem Thi Hong Vo, Rizky Yudaruddin, Ratih Fenty Anggraini Bintoro, Yuli Fitrianto, and Noor Wahyuningsih. 2023. “Rural Development from Village Funds, Village-Owned Enterprises, and Village Original Income.” </w:t>
      </w:r>
      <w:r w:rsidRPr="00F36C9C">
        <w:rPr>
          <w:rFonts w:ascii="Calibri" w:hAnsi="Calibri" w:cs="Calibri"/>
          <w:i/>
          <w:iCs/>
          <w:noProof/>
          <w:szCs w:val="24"/>
        </w:rPr>
        <w:t>Journal of Open Innovation: Technology, Market, and Complexity</w:t>
      </w:r>
      <w:r w:rsidRPr="00F36C9C">
        <w:rPr>
          <w:rFonts w:ascii="Calibri" w:hAnsi="Calibri" w:cs="Calibri"/>
          <w:noProof/>
          <w:szCs w:val="24"/>
        </w:rPr>
        <w:t xml:space="preserve"> 9 (4). https://doi.org/10.1016/j.joitmc.2023.100159.</w:t>
      </w:r>
    </w:p>
    <w:p w14:paraId="1510CACC"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IFAD, I. 2019. </w:t>
      </w:r>
      <w:r w:rsidRPr="00F36C9C">
        <w:rPr>
          <w:rFonts w:ascii="Calibri" w:hAnsi="Calibri" w:cs="Calibri"/>
          <w:i/>
          <w:iCs/>
          <w:noProof/>
          <w:szCs w:val="24"/>
        </w:rPr>
        <w:t>Indonesia Transformasi Ekonomi Kampung Terpadu - Integrated Village Economic Transformation ( TEKAD ) Project Design Report Main Report and Annexes</w:t>
      </w:r>
      <w:r w:rsidRPr="00F36C9C">
        <w:rPr>
          <w:rFonts w:ascii="Calibri" w:hAnsi="Calibri" w:cs="Calibri"/>
          <w:noProof/>
          <w:szCs w:val="24"/>
        </w:rPr>
        <w:t>.</w:t>
      </w:r>
    </w:p>
    <w:p w14:paraId="4040AFD4"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Kwapena, Navu. 1984. “Traditional Conservation and Utilization of Wildlife in Papua New Guinea.” </w:t>
      </w:r>
      <w:r w:rsidRPr="00F36C9C">
        <w:rPr>
          <w:rFonts w:ascii="Calibri" w:hAnsi="Calibri" w:cs="Calibri"/>
          <w:i/>
          <w:iCs/>
          <w:noProof/>
          <w:szCs w:val="24"/>
        </w:rPr>
        <w:t>The Environmentalist</w:t>
      </w:r>
      <w:r w:rsidRPr="00F36C9C">
        <w:rPr>
          <w:rFonts w:ascii="Calibri" w:hAnsi="Calibri" w:cs="Calibri"/>
          <w:noProof/>
          <w:szCs w:val="24"/>
        </w:rPr>
        <w:t xml:space="preserve"> 4 (7 Supplement): 22–26. https://doi.org/10.1007/BF01907288.</w:t>
      </w:r>
    </w:p>
    <w:p w14:paraId="0CA628F1"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Lekitoo, Hanro Yonathan. 2022. “Disertasi Relasi Kelompok Etnik Antar-Orang Kayo Pulau Dengan Kelompok Etnik Lainnya Di Kota Jayapura Provinsi Papua Inter-Ethnic Relationship between Kayo Pulau Ethnic Group and Other Indigenous Ethnic Groups in Jayapura City of Papua Province.” </w:t>
      </w:r>
      <w:r w:rsidRPr="00F36C9C">
        <w:rPr>
          <w:rFonts w:ascii="Calibri" w:hAnsi="Calibri" w:cs="Calibri"/>
          <w:i/>
          <w:iCs/>
          <w:noProof/>
          <w:szCs w:val="24"/>
        </w:rPr>
        <w:t>Jurnal Masyarakat Indonesia</w:t>
      </w:r>
      <w:r w:rsidRPr="00F36C9C">
        <w:rPr>
          <w:rFonts w:ascii="Calibri" w:hAnsi="Calibri" w:cs="Calibri"/>
          <w:noProof/>
          <w:szCs w:val="24"/>
        </w:rPr>
        <w:t xml:space="preserve"> 48 (1): 131–46.</w:t>
      </w:r>
    </w:p>
    <w:p w14:paraId="5D7D5F9E"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Linden, Aart van der, Evelien M. de Olde, Pim F. Mostert, and Imke J.M. de Boer. 2020. “A Review of European Models to Assess the Sustainability Performance of Livestock Production Systems.” </w:t>
      </w:r>
      <w:r w:rsidRPr="00F36C9C">
        <w:rPr>
          <w:rFonts w:ascii="Calibri" w:hAnsi="Calibri" w:cs="Calibri"/>
          <w:i/>
          <w:iCs/>
          <w:noProof/>
          <w:szCs w:val="24"/>
        </w:rPr>
        <w:t>Agricultural Systems</w:t>
      </w:r>
      <w:r w:rsidRPr="00F36C9C">
        <w:rPr>
          <w:rFonts w:ascii="Calibri" w:hAnsi="Calibri" w:cs="Calibri"/>
          <w:noProof/>
          <w:szCs w:val="24"/>
        </w:rPr>
        <w:t xml:space="preserve"> 182 (July 2019): 102842. https://doi.org/10.1016/j.agsy.2020.102842.</w:t>
      </w:r>
    </w:p>
    <w:p w14:paraId="2DCA27D6"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Mangkuprawira, Sjafri. 2016. “Strategi Peningkatan Kapasitas Modal Sosial Dan Kualitas Sumber Daya Manusia Pendamping Pembangunan Pertanian.” </w:t>
      </w:r>
      <w:r w:rsidRPr="00F36C9C">
        <w:rPr>
          <w:rFonts w:ascii="Calibri" w:hAnsi="Calibri" w:cs="Calibri"/>
          <w:i/>
          <w:iCs/>
          <w:noProof/>
          <w:szCs w:val="24"/>
        </w:rPr>
        <w:t>Forum Penelitian Agro Ekonomi</w:t>
      </w:r>
      <w:r w:rsidRPr="00F36C9C">
        <w:rPr>
          <w:rFonts w:ascii="Calibri" w:hAnsi="Calibri" w:cs="Calibri"/>
          <w:noProof/>
          <w:szCs w:val="24"/>
        </w:rPr>
        <w:t xml:space="preserve"> 28 (1): 19. https://doi.org/10.21082/fae.v28n1.2010.19-34.</w:t>
      </w:r>
    </w:p>
    <w:p w14:paraId="3F6704C0"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McGibbon, R, and East-West Center Washington. 2004. </w:t>
      </w:r>
      <w:r w:rsidRPr="00F36C9C">
        <w:rPr>
          <w:rFonts w:ascii="Calibri" w:hAnsi="Calibri" w:cs="Calibri"/>
          <w:i/>
          <w:iCs/>
          <w:noProof/>
          <w:szCs w:val="24"/>
        </w:rPr>
        <w:t>Plural Society in Peril: Migration, Economic Change, and the Papua Conflict</w:t>
      </w:r>
      <w:r w:rsidRPr="00F36C9C">
        <w:rPr>
          <w:rFonts w:ascii="Calibri" w:hAnsi="Calibri" w:cs="Calibri"/>
          <w:noProof/>
          <w:szCs w:val="24"/>
        </w:rPr>
        <w:t xml:space="preserve">. </w:t>
      </w:r>
      <w:r w:rsidRPr="00F36C9C">
        <w:rPr>
          <w:rFonts w:ascii="Calibri" w:hAnsi="Calibri" w:cs="Calibri"/>
          <w:i/>
          <w:iCs/>
          <w:noProof/>
          <w:szCs w:val="24"/>
        </w:rPr>
        <w:t>Policy Studies</w:t>
      </w:r>
      <w:r w:rsidRPr="00F36C9C">
        <w:rPr>
          <w:rFonts w:ascii="Calibri" w:hAnsi="Calibri" w:cs="Calibri"/>
          <w:noProof/>
          <w:szCs w:val="24"/>
        </w:rPr>
        <w:t>. http://books.google.com/books?id=CguBAAAAMAAJ.</w:t>
      </w:r>
    </w:p>
    <w:p w14:paraId="6E2E0294"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Pangaribuan, N, I Winarni, M Toha, and S Utami. 2017. </w:t>
      </w:r>
      <w:r w:rsidRPr="00F36C9C">
        <w:rPr>
          <w:rFonts w:ascii="Calibri" w:hAnsi="Calibri" w:cs="Calibri"/>
          <w:i/>
          <w:iCs/>
          <w:noProof/>
          <w:szCs w:val="24"/>
        </w:rPr>
        <w:t>Optimalisasi Peran Sains &amp; Teknologi Mewujudkan Smart City</w:t>
      </w:r>
      <w:r w:rsidRPr="00F36C9C">
        <w:rPr>
          <w:rFonts w:ascii="Calibri" w:hAnsi="Calibri" w:cs="Calibri"/>
          <w:noProof/>
          <w:szCs w:val="24"/>
        </w:rPr>
        <w:t>. Universitas Terbuka. https://www.researchgate.net/profile/Sri-Utami-24/publication/326057983_Optimalisasi_Peran_Sains_Teknologi_untuk_Mewujudkan_Smart_City/links/5b35ac33aca2720785f49141/Optimalisasi-Peran-Sains-Teknologi-untuk-Mewujudkan-Smart-City.pdf#page=226.</w:t>
      </w:r>
    </w:p>
    <w:p w14:paraId="7625D6E2"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lastRenderedPageBreak/>
        <w:t xml:space="preserve">Pareja-Sánchez, Evangelina, Daniel Plaza-Bonilla, Maria Concepción Ramos, Jorge Lampurlanés, Jorge Álvaro-Fuentes, and Carlos Cantero-Martínez. 2017. “Long-Term No-till as a Means to Maintain Soil Surface Structure in an Agroecosystem Transformed into Irrigation.” </w:t>
      </w:r>
      <w:r w:rsidRPr="00F36C9C">
        <w:rPr>
          <w:rFonts w:ascii="Calibri" w:hAnsi="Calibri" w:cs="Calibri"/>
          <w:i/>
          <w:iCs/>
          <w:noProof/>
          <w:szCs w:val="24"/>
        </w:rPr>
        <w:t>Soil and Tillage Research</w:t>
      </w:r>
      <w:r w:rsidRPr="00F36C9C">
        <w:rPr>
          <w:rFonts w:ascii="Calibri" w:hAnsi="Calibri" w:cs="Calibri"/>
          <w:noProof/>
          <w:szCs w:val="24"/>
        </w:rPr>
        <w:t xml:space="preserve"> 174 (July): 221–30. https://doi.org/10.1016/j.still.2017.07.012.</w:t>
      </w:r>
    </w:p>
    <w:p w14:paraId="24B18454"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Pattiselanno, F, and AYS Arobaya. 2011. “Subsistence Indigenous Hunting in Papua : Does It Sustainable?” </w:t>
      </w:r>
      <w:r w:rsidRPr="00F36C9C">
        <w:rPr>
          <w:rFonts w:ascii="Calibri" w:hAnsi="Calibri" w:cs="Calibri"/>
          <w:i/>
          <w:iCs/>
          <w:noProof/>
          <w:szCs w:val="24"/>
        </w:rPr>
        <w:t>Media Konservasi</w:t>
      </w:r>
      <w:r w:rsidRPr="00F36C9C">
        <w:rPr>
          <w:rFonts w:ascii="Calibri" w:hAnsi="Calibri" w:cs="Calibri"/>
          <w:noProof/>
          <w:szCs w:val="24"/>
        </w:rPr>
        <w:t xml:space="preserve"> 16 (2): 95–100.</w:t>
      </w:r>
    </w:p>
    <w:p w14:paraId="492E5777"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Pattiselanno, F, and MI Lubis. 2014. “Hunting at the Abun Regional Marine Protected Areas: A Link Between Wildmeat and Food Security.” </w:t>
      </w:r>
      <w:r w:rsidRPr="00F36C9C">
        <w:rPr>
          <w:rFonts w:ascii="Calibri" w:hAnsi="Calibri" w:cs="Calibri"/>
          <w:i/>
          <w:iCs/>
          <w:noProof/>
          <w:szCs w:val="24"/>
        </w:rPr>
        <w:t>HAYATI Journal of Biosciences</w:t>
      </w:r>
      <w:r w:rsidRPr="00F36C9C">
        <w:rPr>
          <w:rFonts w:ascii="Calibri" w:hAnsi="Calibri" w:cs="Calibri"/>
          <w:noProof/>
          <w:szCs w:val="24"/>
        </w:rPr>
        <w:t xml:space="preserve"> 21 (4): 180–86. https://doi.org/10.4308/hjb.21.4.180.</w:t>
      </w:r>
    </w:p>
    <w:p w14:paraId="11DE5EFA"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Pattiselanno, Freddy. 2006. “The Wildlife Hunting in Papua.” </w:t>
      </w:r>
      <w:r w:rsidRPr="00F36C9C">
        <w:rPr>
          <w:rFonts w:ascii="Calibri" w:hAnsi="Calibri" w:cs="Calibri"/>
          <w:i/>
          <w:iCs/>
          <w:noProof/>
          <w:szCs w:val="24"/>
        </w:rPr>
        <w:t>Biota</w:t>
      </w:r>
      <w:r w:rsidRPr="00F36C9C">
        <w:rPr>
          <w:rFonts w:ascii="Calibri" w:hAnsi="Calibri" w:cs="Calibri"/>
          <w:noProof/>
          <w:szCs w:val="24"/>
        </w:rPr>
        <w:t xml:space="preserve"> XI (1): 59–61.</w:t>
      </w:r>
    </w:p>
    <w:p w14:paraId="1AEE6222"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Pattiselanno, Freddy, Janice K F Lloyd, Andrew Krockenberger, Agustina Y S Arobaya, and Douglas Sheil. 2023. “Hunting in Indonesian New Guinea : Dogs , Conservation and Culture” 20 (September). https://doi.org/10.15451/ec2023-09-12.20-1-11.</w:t>
      </w:r>
    </w:p>
    <w:p w14:paraId="46376680"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Praza, Riyandhi. 2016. “Optimalisasi Cyber Extension Dalam Pembangunan Pertanian Di Era MEA.” </w:t>
      </w:r>
      <w:r w:rsidRPr="00F36C9C">
        <w:rPr>
          <w:rFonts w:ascii="Calibri" w:hAnsi="Calibri" w:cs="Calibri"/>
          <w:i/>
          <w:iCs/>
          <w:noProof/>
          <w:szCs w:val="24"/>
        </w:rPr>
        <w:t>Prosiding Seminar Nasional BKS PTN Wilayah Barat Bidang Ilmu Pertanian.</w:t>
      </w:r>
      <w:r w:rsidRPr="00F36C9C">
        <w:rPr>
          <w:rFonts w:ascii="Calibri" w:hAnsi="Calibri" w:cs="Calibri"/>
          <w:noProof/>
          <w:szCs w:val="24"/>
        </w:rPr>
        <w:t>, no. August 2016: 200–204. http://repository.unimal.ac.id/2913/1/Optimalisasi Cyber Extension Dalam Pembangunan.pdf.</w:t>
      </w:r>
    </w:p>
    <w:p w14:paraId="56642686"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Sudira, I Nyoman. 2007. </w:t>
      </w:r>
      <w:r w:rsidRPr="00F36C9C">
        <w:rPr>
          <w:rFonts w:ascii="Calibri" w:hAnsi="Calibri" w:cs="Calibri"/>
          <w:i/>
          <w:iCs/>
          <w:noProof/>
          <w:szCs w:val="24"/>
        </w:rPr>
        <w:t>Initiating a Peace Process in Papua: Actors, Issues, Process, and the Role of the International Community</w:t>
      </w:r>
      <w:r w:rsidRPr="00F36C9C">
        <w:rPr>
          <w:rFonts w:ascii="Calibri" w:hAnsi="Calibri" w:cs="Calibri"/>
          <w:noProof/>
          <w:szCs w:val="24"/>
        </w:rPr>
        <w:t xml:space="preserve">. </w:t>
      </w:r>
      <w:r w:rsidRPr="00F36C9C">
        <w:rPr>
          <w:rFonts w:ascii="Calibri" w:hAnsi="Calibri" w:cs="Calibri"/>
          <w:i/>
          <w:iCs/>
          <w:noProof/>
          <w:szCs w:val="24"/>
        </w:rPr>
        <w:t>Contemporary Southeast Asia</w:t>
      </w:r>
      <w:r w:rsidRPr="00F36C9C">
        <w:rPr>
          <w:rFonts w:ascii="Calibri" w:hAnsi="Calibri" w:cs="Calibri"/>
          <w:noProof/>
          <w:szCs w:val="24"/>
        </w:rPr>
        <w:t>. Vol. 29. https://doi.org/10.1355/cs29-2i.</w:t>
      </w:r>
    </w:p>
    <w:p w14:paraId="5B26BD57"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Sunuantari, Manik, and Raihan Muhammad Farhan. 2022. “Rural Tourism Development Through Community Based Tourism Sumbergondo Village Malang.” </w:t>
      </w:r>
      <w:r w:rsidRPr="00F36C9C">
        <w:rPr>
          <w:rFonts w:ascii="Calibri" w:hAnsi="Calibri" w:cs="Calibri"/>
          <w:i/>
          <w:iCs/>
          <w:noProof/>
          <w:szCs w:val="24"/>
        </w:rPr>
        <w:t>Proceedings Of International Conference On Communication Science</w:t>
      </w:r>
      <w:r w:rsidRPr="00F36C9C">
        <w:rPr>
          <w:rFonts w:ascii="Calibri" w:hAnsi="Calibri" w:cs="Calibri"/>
          <w:noProof/>
          <w:szCs w:val="24"/>
        </w:rPr>
        <w:t xml:space="preserve"> 2 (1): 403–9. https://doi.org/10.29303/iccsproceeding.v2i1.132.</w:t>
      </w:r>
    </w:p>
    <w:p w14:paraId="783AAA90"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Thurlow, James, Paul Dorosh, and Ben Davis. 2019. </w:t>
      </w:r>
      <w:r w:rsidRPr="00F36C9C">
        <w:rPr>
          <w:rFonts w:ascii="Calibri" w:hAnsi="Calibri" w:cs="Calibri"/>
          <w:i/>
          <w:iCs/>
          <w:noProof/>
          <w:szCs w:val="24"/>
        </w:rPr>
        <w:t>Demographic Change, Agriculture, and Rural Poverty</w:t>
      </w:r>
      <w:r w:rsidRPr="00F36C9C">
        <w:rPr>
          <w:rFonts w:ascii="Calibri" w:hAnsi="Calibri" w:cs="Calibri"/>
          <w:noProof/>
          <w:szCs w:val="24"/>
        </w:rPr>
        <w:t xml:space="preserve">. </w:t>
      </w:r>
      <w:r w:rsidRPr="00F36C9C">
        <w:rPr>
          <w:rFonts w:ascii="Calibri" w:hAnsi="Calibri" w:cs="Calibri"/>
          <w:i/>
          <w:iCs/>
          <w:noProof/>
          <w:szCs w:val="24"/>
        </w:rPr>
        <w:t>Sustainable Food and Agriculture</w:t>
      </w:r>
      <w:r w:rsidRPr="00F36C9C">
        <w:rPr>
          <w:rFonts w:ascii="Calibri" w:hAnsi="Calibri" w:cs="Calibri"/>
          <w:noProof/>
          <w:szCs w:val="24"/>
        </w:rPr>
        <w:t>. Elsevier Inc. https://doi.org/10.1016/b978-0-12-812134-4.00003-0.</w:t>
      </w:r>
    </w:p>
    <w:p w14:paraId="7DAE4F18"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Ugochukwu, Albert I., and Peter W.B. Phillips. 2018. “Technology Adoption by Agricultural Producers: A Review of the Literature.” </w:t>
      </w:r>
      <w:r w:rsidRPr="00F36C9C">
        <w:rPr>
          <w:rFonts w:ascii="Calibri" w:hAnsi="Calibri" w:cs="Calibri"/>
          <w:i/>
          <w:iCs/>
          <w:noProof/>
          <w:szCs w:val="24"/>
        </w:rPr>
        <w:t>Innovation, Technology and Knowledge Management</w:t>
      </w:r>
      <w:r w:rsidRPr="00F36C9C">
        <w:rPr>
          <w:rFonts w:ascii="Calibri" w:hAnsi="Calibri" w:cs="Calibri"/>
          <w:noProof/>
          <w:szCs w:val="24"/>
        </w:rPr>
        <w:t>, 361–77. https://doi.org/10.1007/978-3-319-67958-7_17.</w:t>
      </w:r>
    </w:p>
    <w:p w14:paraId="231D446E"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szCs w:val="24"/>
        </w:rPr>
      </w:pPr>
      <w:r w:rsidRPr="00F36C9C">
        <w:rPr>
          <w:rFonts w:ascii="Calibri" w:hAnsi="Calibri" w:cs="Calibri"/>
          <w:noProof/>
          <w:szCs w:val="24"/>
        </w:rPr>
        <w:t xml:space="preserve">Upe, Ambo, Mohamad To’at, Shingirai Stanley Mugambiwa, Hertly Huma, and Ahmed Samad Akenbi. 2021. “Strengthening Rice Farmers’ Social Capital in Increasing Agricultural Productivity.” </w:t>
      </w:r>
      <w:r w:rsidRPr="00F36C9C">
        <w:rPr>
          <w:rFonts w:ascii="Calibri" w:hAnsi="Calibri" w:cs="Calibri"/>
          <w:i/>
          <w:iCs/>
          <w:noProof/>
          <w:szCs w:val="24"/>
        </w:rPr>
        <w:t>International Journal of Qualitative Research</w:t>
      </w:r>
      <w:r w:rsidRPr="00F36C9C">
        <w:rPr>
          <w:rFonts w:ascii="Calibri" w:hAnsi="Calibri" w:cs="Calibri"/>
          <w:noProof/>
          <w:szCs w:val="24"/>
        </w:rPr>
        <w:t xml:space="preserve"> 1 (1): 48–54. https://doi.org/10.47540/ijqr.v1i1.305.</w:t>
      </w:r>
    </w:p>
    <w:p w14:paraId="34D6FB6A" w14:textId="77777777" w:rsidR="00F36C9C" w:rsidRPr="00F36C9C" w:rsidRDefault="00F36C9C" w:rsidP="008F36E6">
      <w:pPr>
        <w:widowControl w:val="0"/>
        <w:autoSpaceDE w:val="0"/>
        <w:autoSpaceDN w:val="0"/>
        <w:adjustRightInd w:val="0"/>
        <w:spacing w:line="240" w:lineRule="auto"/>
        <w:ind w:left="480" w:hanging="480"/>
        <w:jc w:val="both"/>
        <w:rPr>
          <w:rFonts w:ascii="Calibri" w:hAnsi="Calibri" w:cs="Calibri"/>
          <w:noProof/>
        </w:rPr>
      </w:pPr>
      <w:r w:rsidRPr="00F36C9C">
        <w:rPr>
          <w:rFonts w:ascii="Calibri" w:hAnsi="Calibri" w:cs="Calibri"/>
          <w:noProof/>
          <w:szCs w:val="24"/>
        </w:rPr>
        <w:t xml:space="preserve">Widodo, Aris Slamet, and Sutrisno Sutrisno. 2023. “Tourism Assistance for Village-Owned Enterprises Rest Area, Karangsari Village, Sapuran, Wonosobo.” </w:t>
      </w:r>
      <w:r w:rsidRPr="00F36C9C">
        <w:rPr>
          <w:rFonts w:ascii="Calibri" w:hAnsi="Calibri" w:cs="Calibri"/>
          <w:i/>
          <w:iCs/>
          <w:noProof/>
          <w:szCs w:val="24"/>
        </w:rPr>
        <w:t>Proceeding International Conference of Technology on Community and Environmental Development</w:t>
      </w:r>
      <w:r w:rsidRPr="00F36C9C">
        <w:rPr>
          <w:rFonts w:ascii="Calibri" w:hAnsi="Calibri" w:cs="Calibri"/>
          <w:noProof/>
          <w:szCs w:val="24"/>
        </w:rPr>
        <w:t xml:space="preserve"> 1 (1): 307–16. https://doi.org/10.18196/ictced.v1i1.39.</w:t>
      </w:r>
    </w:p>
    <w:p w14:paraId="3677E7FA" w14:textId="77777777" w:rsidR="00CC1EBD" w:rsidRDefault="00D377B5" w:rsidP="008F36E6">
      <w:pPr>
        <w:jc w:val="both"/>
      </w:pPr>
      <w:r>
        <w:fldChar w:fldCharType="end"/>
      </w:r>
    </w:p>
    <w:sectPr w:rsidR="00CC1EB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FAE62" w14:textId="77777777" w:rsidR="0070529C" w:rsidRDefault="0070529C" w:rsidP="008F36E6">
      <w:pPr>
        <w:spacing w:after="0" w:line="240" w:lineRule="auto"/>
      </w:pPr>
      <w:r>
        <w:separator/>
      </w:r>
    </w:p>
  </w:endnote>
  <w:endnote w:type="continuationSeparator" w:id="0">
    <w:p w14:paraId="71CF1010" w14:textId="77777777" w:rsidR="0070529C" w:rsidRDefault="0070529C" w:rsidP="008F3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8449779"/>
      <w:docPartObj>
        <w:docPartGallery w:val="Page Numbers (Bottom of Page)"/>
        <w:docPartUnique/>
      </w:docPartObj>
    </w:sdtPr>
    <w:sdtEndPr>
      <w:rPr>
        <w:noProof/>
      </w:rPr>
    </w:sdtEndPr>
    <w:sdtContent>
      <w:p w14:paraId="2FD43520" w14:textId="77777777" w:rsidR="008F36E6" w:rsidRDefault="008F36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6E650" w14:textId="77777777" w:rsidR="008F36E6" w:rsidRDefault="008F3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CCBBE4" w14:textId="77777777" w:rsidR="0070529C" w:rsidRDefault="0070529C" w:rsidP="008F36E6">
      <w:pPr>
        <w:spacing w:after="0" w:line="240" w:lineRule="auto"/>
      </w:pPr>
      <w:r>
        <w:separator/>
      </w:r>
    </w:p>
  </w:footnote>
  <w:footnote w:type="continuationSeparator" w:id="0">
    <w:p w14:paraId="7FBFD4D6" w14:textId="77777777" w:rsidR="0070529C" w:rsidRDefault="0070529C" w:rsidP="008F36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FD"/>
    <w:rsid w:val="001F3CFD"/>
    <w:rsid w:val="0070529C"/>
    <w:rsid w:val="008C6815"/>
    <w:rsid w:val="008F36E6"/>
    <w:rsid w:val="009466B9"/>
    <w:rsid w:val="00A0666E"/>
    <w:rsid w:val="00CC1EBD"/>
    <w:rsid w:val="00D377B5"/>
    <w:rsid w:val="00F36C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EF1A"/>
  <w15:chartTrackingRefBased/>
  <w15:docId w15:val="{477AAD47-BDD0-4BC3-B91E-CED3EA53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6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6E6"/>
  </w:style>
  <w:style w:type="paragraph" w:styleId="Footer">
    <w:name w:val="footer"/>
    <w:basedOn w:val="Normal"/>
    <w:link w:val="FooterChar"/>
    <w:uiPriority w:val="99"/>
    <w:unhideWhenUsed/>
    <w:rsid w:val="008F3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6E6"/>
  </w:style>
  <w:style w:type="character" w:styleId="Hyperlink">
    <w:name w:val="Hyperlink"/>
    <w:basedOn w:val="DefaultParagraphFont"/>
    <w:uiPriority w:val="99"/>
    <w:unhideWhenUsed/>
    <w:rsid w:val="008F36E6"/>
    <w:rPr>
      <w:color w:val="0563C1" w:themeColor="hyperlink"/>
      <w:u w:val="single"/>
    </w:rPr>
  </w:style>
  <w:style w:type="character" w:styleId="UnresolvedMention">
    <w:name w:val="Unresolved Mention"/>
    <w:basedOn w:val="DefaultParagraphFont"/>
    <w:uiPriority w:val="99"/>
    <w:semiHidden/>
    <w:unhideWhenUsed/>
    <w:rsid w:val="008F3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339766">
      <w:bodyDiv w:val="1"/>
      <w:marLeft w:val="0"/>
      <w:marRight w:val="0"/>
      <w:marTop w:val="0"/>
      <w:marBottom w:val="0"/>
      <w:divBdr>
        <w:top w:val="none" w:sz="0" w:space="0" w:color="auto"/>
        <w:left w:val="none" w:sz="0" w:space="0" w:color="auto"/>
        <w:bottom w:val="none" w:sz="0" w:space="0" w:color="auto"/>
        <w:right w:val="none" w:sz="0" w:space="0" w:color="auto"/>
      </w:divBdr>
    </w:div>
    <w:div w:id="50582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sagrim@unipa.ac.i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BF53B-007C-44F7-8799-F2B25163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14947</Words>
  <Characters>85204</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cp:lastPrinted>2024-10-14T22:44:00Z</cp:lastPrinted>
  <dcterms:created xsi:type="dcterms:W3CDTF">2024-10-14T22:14:00Z</dcterms:created>
  <dcterms:modified xsi:type="dcterms:W3CDTF">2024-10-14T22:44:00Z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63739993-84f9-3a18-a5e1-901b9de7763c</vt:lpwstr>
  </property>
  <property fmtid="{D5CDD505-2E9C-101B-9397-08002B2CF9AE}" pid="24" name="Mendeley Citation Style_1">
    <vt:lpwstr>http://www.zotero.org/styles/chicago-author-date</vt:lpwstr>
  </property>
</Properties>
</file>