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348" w:type="dxa"/>
        <w:tblInd w:w="0" w:type="dxa"/>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9072"/>
      </w:tblGrid>
      <w:tr>
        <w:tblPrEx>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CellMar>
            <w:top w:w="0" w:type="dxa"/>
            <w:left w:w="0" w:type="dxa"/>
            <w:bottom w:w="0" w:type="dxa"/>
            <w:right w:w="0" w:type="dxa"/>
          </w:tblCellMar>
        </w:tblPrEx>
        <w:trPr>
          <w:trHeight w:val="1499" w:hRule="atLeast"/>
        </w:trPr>
        <w:tc>
          <w:tcPr>
            <w:tcW w:w="1276" w:type="dxa"/>
            <w:shd w:val="clear" w:color="auto" w:fill="auto"/>
          </w:tcPr>
          <w:p>
            <w:pPr>
              <w:jc w:val="center"/>
              <w:rPr>
                <w:rFonts w:eastAsia="Calibri" w:cs="Arial"/>
                <w:color w:val="auto"/>
              </w:rPr>
            </w:pPr>
            <w:r>
              <w:rPr>
                <w:rFonts w:eastAsia="Calibri" w:cs="Arial"/>
                <w:color w:val="auto"/>
              </w:rPr>
              <w:drawing>
                <wp:inline distT="0" distB="0" distL="114300" distR="114300">
                  <wp:extent cx="809625" cy="979805"/>
                  <wp:effectExtent l="0" t="0" r="9525" b="10795"/>
                  <wp:docPr id="2" name="Picture 2" descr="WhatsApp Image 2023-05-27 at 11.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3-05-27 at 11.04.28"/>
                          <pic:cNvPicPr>
                            <a:picLocks noChangeAspect="1"/>
                          </pic:cNvPicPr>
                        </pic:nvPicPr>
                        <pic:blipFill>
                          <a:blip r:embed="rId8"/>
                          <a:stretch>
                            <a:fillRect/>
                          </a:stretch>
                        </pic:blipFill>
                        <pic:spPr>
                          <a:xfrm>
                            <a:off x="0" y="0"/>
                            <a:ext cx="809625" cy="979805"/>
                          </a:xfrm>
                          <a:prstGeom prst="rect">
                            <a:avLst/>
                          </a:prstGeom>
                        </pic:spPr>
                      </pic:pic>
                    </a:graphicData>
                  </a:graphic>
                </wp:inline>
              </w:drawing>
            </w:r>
            <w:r>
              <w:rPr>
                <w:rFonts w:eastAsia="Calibri" w:cs="Arial"/>
                <w:color w:val="auto"/>
              </w:rPr>
              <mc:AlternateContent>
                <mc:Choice Requires="wps">
                  <w:drawing>
                    <wp:anchor distT="0" distB="0" distL="114300" distR="114300" simplePos="0" relativeHeight="251660288" behindDoc="0" locked="0" layoutInCell="1" allowOverlap="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 xmlns:a="http://schemas.openxmlformats.org/drawingml/2006/main">
                        <a:graphicData uri="http://schemas.microsoft.com/office/word/2010/wordprocessingShape">
                          <wps:wsp>
                            <wps:cNvSpPr txBox="1"/>
                            <wps:spPr bwMode="auto">
                              <a:xfrm>
                                <a:off x="0" y="0"/>
                                <a:ext cx="5622925" cy="1041400"/>
                              </a:xfrm>
                              <a:prstGeom prst="rect">
                                <a:avLst/>
                              </a:prstGeom>
                              <a:noFill/>
                              <a:ln>
                                <a:noFill/>
                              </a:ln>
                            </wps:spPr>
                            <wps:txb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56.95pt;margin-top:0.45pt;height:82pt;width:442.75pt;z-index:251660288;mso-width-relative:page;mso-height-relative:page;" filled="f" stroked="f" coordsize="21600,21600" o:gfxdata="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bo&#10;rs/VAAAACAEAAA8AAAAAAAAAAQAgAAAAIgAAAGRycy9kb3ducmV2LnhtbFBLAQIUABQAAAAIAIdO&#10;4kAVl6Za7QEAAOYDAAAOAAAAAAAAAAEAIAAAACQBAABkcnMvZTJvRG9jLnhtbFBLBQYAAAAABgAG&#10;AFkBAACDBQAAAAA=&#10;">
                      <v:fill on="f" focussize="0,0"/>
                      <v:stroke on="f"/>
                      <v:imagedata o:title=""/>
                      <o:lock v:ext="edit" aspectratio="f"/>
                      <v:textbo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rFonts w:hint="default"/>
                                <w:lang w:val="en-GB" w:eastAsia="en-MY"/>
                              </w:rPr>
                            </w:pPr>
                            <w:r>
                              <w:rPr>
                                <w:rStyle w:val="21"/>
                                <w:rFonts w:hint="default"/>
                                <w:lang w:val="en-GB" w:eastAsia="en-MY"/>
                              </w:rPr>
                              <w:t>https://ejournal.univ-tridinanti.ac.id/index.php/Jietri/index</w:t>
                            </w:r>
                          </w:p>
                          <w:p>
                            <w:pPr>
                              <w:rPr>
                                <w:lang w:val="en-MY" w:eastAsia="en-MY"/>
                              </w:rPr>
                            </w:pPr>
                          </w:p>
                          <w:p>
                            <w:pPr>
                              <w:pStyle w:val="27"/>
                              <w:jc w:val="center"/>
                              <w:rPr>
                                <w:sz w:val="28"/>
                                <w:szCs w:val="28"/>
                              </w:rPr>
                            </w:pPr>
                          </w:p>
                        </w:txbxContent>
                      </v:textbox>
                    </v:shape>
                  </w:pict>
                </mc:Fallback>
              </mc:AlternateContent>
            </w:r>
          </w:p>
        </w:tc>
        <w:tc>
          <w:tcPr>
            <w:tcW w:w="9072" w:type="dxa"/>
            <w:shd w:val="clear" w:color="auto" w:fill="BFBFBF"/>
          </w:tcPr>
          <w:p>
            <w:pPr>
              <w:rPr>
                <w:rFonts w:eastAsia="Calibri" w:cs="Arial"/>
                <w:color w:val="auto"/>
              </w:rPr>
            </w:pPr>
          </w:p>
        </w:tc>
      </w:tr>
    </w:tbl>
    <w:p>
      <w:pPr>
        <w:pStyle w:val="27"/>
        <w:rPr>
          <w:color w:val="auto"/>
          <w:sz w:val="28"/>
        </w:rPr>
      </w:pPr>
      <w:r>
        <w:rPr>
          <w:color w:val="auto"/>
          <w:sz w:val="28"/>
        </w:rPr>
        <w:t xml:space="preserve">Peramalan Jumlah Persediaan Komoditas di PT Pelabuhan Indonesia II Cabang Palembang Menggunakan Metode </w:t>
      </w:r>
      <w:r>
        <w:rPr>
          <w:i/>
          <w:color w:val="auto"/>
          <w:sz w:val="28"/>
        </w:rPr>
        <w:t>Moving Average</w:t>
      </w:r>
      <w:r>
        <w:rPr>
          <w:color w:val="auto"/>
          <w:sz w:val="28"/>
        </w:rPr>
        <w:t xml:space="preserve"> dan </w:t>
      </w:r>
      <w:r>
        <w:rPr>
          <w:i/>
          <w:color w:val="auto"/>
          <w:sz w:val="28"/>
        </w:rPr>
        <w:t>Exponential Smoothing</w:t>
      </w:r>
    </w:p>
    <w:p>
      <w:pPr>
        <w:pStyle w:val="27"/>
        <w:rPr>
          <w:color w:val="auto"/>
          <w:sz w:val="28"/>
        </w:rPr>
      </w:pPr>
      <w:r>
        <w:rPr>
          <w:color w:val="auto"/>
          <w:sz w:val="28"/>
        </w:rPr>
        <w:t>Commodity Inventory Forecasting in PT Pelabuhan Indonesia II Palembang Branch usin Moving Average and Exponential Smoothing Methods</w:t>
      </w:r>
    </w:p>
    <w:p>
      <w:pPr>
        <w:spacing w:after="120"/>
        <w:rPr>
          <w:rStyle w:val="18"/>
          <w:color w:val="auto"/>
        </w:rPr>
      </w:pPr>
      <w:r>
        <w:rPr>
          <w:rStyle w:val="18"/>
          <w:rFonts w:hint="default"/>
          <w:color w:val="auto"/>
          <w:sz w:val="22"/>
          <w:lang w:val="en-GB"/>
        </w:rPr>
        <w:t>Winny Andalia</w:t>
      </w:r>
      <w:r>
        <w:rPr>
          <w:rStyle w:val="18"/>
          <w:color w:val="auto"/>
          <w:sz w:val="22"/>
          <w:vertAlign w:val="superscript"/>
        </w:rPr>
        <w:t>*1</w:t>
      </w:r>
    </w:p>
    <w:p>
      <w:pPr>
        <w:spacing w:after="240"/>
        <w:contextualSpacing/>
        <w:rPr>
          <w:rStyle w:val="37"/>
          <w:color w:val="auto"/>
        </w:rPr>
      </w:pPr>
      <w:r>
        <w:rPr>
          <w:rStyle w:val="37"/>
          <w:color w:val="auto"/>
          <w:vertAlign w:val="superscript"/>
        </w:rPr>
        <w:t>1,</w:t>
      </w:r>
      <w:r>
        <w:rPr>
          <w:rStyle w:val="37"/>
          <w:rFonts w:hint="default"/>
          <w:color w:val="auto"/>
          <w:vertAlign w:val="superscript"/>
          <w:lang w:val="en-GB"/>
        </w:rPr>
        <w:t xml:space="preserve"> </w:t>
      </w:r>
      <w:r>
        <w:rPr>
          <w:rStyle w:val="37"/>
          <w:color w:val="auto"/>
        </w:rPr>
        <w:t>Program Studi Teknik Industri, Fakultas Teknik, Universitas Tridinanti</w:t>
      </w:r>
    </w:p>
    <w:p>
      <w:pPr>
        <w:spacing w:after="240"/>
        <w:contextualSpacing/>
        <w:rPr>
          <w:rStyle w:val="37"/>
          <w:color w:val="auto"/>
        </w:rPr>
      </w:pPr>
    </w:p>
    <w:p>
      <w:pPr>
        <w:spacing w:after="240"/>
        <w:contextualSpacing/>
        <w:rPr>
          <w:rStyle w:val="37"/>
          <w:rFonts w:hint="default"/>
          <w:color w:val="auto"/>
          <w:lang w:val="en-GB"/>
        </w:rPr>
      </w:pPr>
      <w:r>
        <w:rPr>
          <w:rStyle w:val="37"/>
          <w:rFonts w:hint="default"/>
          <w:color w:val="auto"/>
          <w:lang w:val="en-GB"/>
        </w:rPr>
        <w:t xml:space="preserve">Corresponding Email : </w:t>
      </w:r>
      <w:r>
        <w:rPr>
          <w:rFonts w:hint="default" w:ascii="Times New Roman" w:hAnsi="Times New Roman" w:eastAsia="Segoe UI" w:cs="Times New Roman"/>
          <w:i w:val="0"/>
          <w:iCs w:val="0"/>
          <w:caps w:val="0"/>
          <w:color w:val="auto"/>
          <w:spacing w:val="0"/>
          <w:sz w:val="21"/>
          <w:szCs w:val="21"/>
          <w:u w:val="none"/>
          <w:shd w:val="clear" w:fill="FFFFFF"/>
        </w:rPr>
        <w:fldChar w:fldCharType="begin"/>
      </w:r>
      <w:r>
        <w:rPr>
          <w:rFonts w:hint="default" w:ascii="Times New Roman" w:hAnsi="Times New Roman" w:eastAsia="Segoe UI" w:cs="Times New Roman"/>
          <w:i w:val="0"/>
          <w:iCs w:val="0"/>
          <w:caps w:val="0"/>
          <w:color w:val="auto"/>
          <w:spacing w:val="0"/>
          <w:sz w:val="21"/>
          <w:szCs w:val="21"/>
          <w:u w:val="none"/>
          <w:shd w:val="clear" w:fill="FFFFFF"/>
        </w:rPr>
        <w:instrText xml:space="preserve"> HYPERLINK "mailto:ra_nurul@univ-tridinanti.ac.id" </w:instrText>
      </w:r>
      <w:r>
        <w:rPr>
          <w:rFonts w:hint="default" w:ascii="Times New Roman" w:hAnsi="Times New Roman" w:eastAsia="Segoe UI" w:cs="Times New Roman"/>
          <w:i w:val="0"/>
          <w:iCs w:val="0"/>
          <w:caps w:val="0"/>
          <w:color w:val="auto"/>
          <w:spacing w:val="0"/>
          <w:sz w:val="21"/>
          <w:szCs w:val="21"/>
          <w:u w:val="none"/>
          <w:shd w:val="clear" w:fill="FFFFFF"/>
        </w:rPr>
        <w:fldChar w:fldCharType="separate"/>
      </w:r>
      <w:r>
        <w:rPr>
          <w:rFonts w:hint="default" w:eastAsia="Segoe UI" w:cs="Times New Roman"/>
          <w:i w:val="0"/>
          <w:iCs w:val="0"/>
          <w:caps w:val="0"/>
          <w:color w:val="auto"/>
          <w:spacing w:val="0"/>
          <w:sz w:val="21"/>
          <w:szCs w:val="21"/>
          <w:u w:val="none"/>
          <w:shd w:val="clear" w:fill="FFFFFF"/>
          <w:lang w:val="en-GB"/>
        </w:rPr>
        <w:t>winnyandalia</w:t>
      </w:r>
      <w:r>
        <w:rPr>
          <w:rStyle w:val="21"/>
          <w:rFonts w:hint="default" w:ascii="Times New Roman" w:hAnsi="Times New Roman" w:eastAsia="Segoe UI" w:cs="Times New Roman"/>
          <w:i w:val="0"/>
          <w:iCs w:val="0"/>
          <w:caps w:val="0"/>
          <w:color w:val="auto"/>
          <w:spacing w:val="0"/>
          <w:sz w:val="21"/>
          <w:szCs w:val="21"/>
          <w:u w:val="none"/>
          <w:shd w:val="clear" w:fill="FFFFFF"/>
        </w:rPr>
        <w:t>@univ-tridinanti.ac.id</w:t>
      </w:r>
      <w:r>
        <w:rPr>
          <w:rFonts w:hint="default" w:ascii="Times New Roman" w:hAnsi="Times New Roman" w:eastAsia="Segoe UI" w:cs="Times New Roman"/>
          <w:i w:val="0"/>
          <w:iCs w:val="0"/>
          <w:caps w:val="0"/>
          <w:color w:val="auto"/>
          <w:spacing w:val="0"/>
          <w:sz w:val="21"/>
          <w:szCs w:val="21"/>
          <w:u w:val="none"/>
          <w:shd w:val="clear" w:fill="FFFFFF"/>
        </w:rPr>
        <w:fldChar w:fldCharType="end"/>
      </w:r>
      <w:r>
        <w:rPr>
          <w:rFonts w:hint="default" w:eastAsia="Segoe UI" w:cs="Times New Roman"/>
          <w:i w:val="0"/>
          <w:iCs w:val="0"/>
          <w:caps w:val="0"/>
          <w:color w:val="auto"/>
          <w:spacing w:val="0"/>
          <w:sz w:val="21"/>
          <w:szCs w:val="21"/>
          <w:shd w:val="clear" w:fill="FFFFFF"/>
          <w:lang w:val="en-GB"/>
        </w:rPr>
        <w:t xml:space="preserve"> </w:t>
      </w:r>
      <w:r>
        <w:rPr>
          <w:rFonts w:hint="default" w:ascii="Times New Roman" w:hAnsi="Times New Roman" w:eastAsia="Segoe UI" w:cs="Times New Roman"/>
          <w:i w:val="0"/>
          <w:iCs w:val="0"/>
          <w:caps w:val="0"/>
          <w:color w:val="auto"/>
          <w:spacing w:val="0"/>
          <w:sz w:val="21"/>
          <w:szCs w:val="21"/>
          <w:shd w:val="clear" w:fill="FFFFFF"/>
          <w:lang w:val="en-GB"/>
        </w:rPr>
        <w:t xml:space="preserve"> </w:t>
      </w:r>
    </w:p>
    <w:tbl>
      <w:tblPr>
        <w:tblStyle w:val="12"/>
        <w:tblW w:w="10260"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60"/>
        <w:gridCol w:w="360"/>
        <w:gridCol w:w="7740"/>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single" w:color="auto" w:sz="12" w:space="0"/>
              <w:bottom w:val="single" w:color="auto" w:sz="12" w:space="0"/>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r>
              <w:rPr>
                <w:rStyle w:val="38"/>
                <w:rFonts w:eastAsia="Calibri" w:cs="Arial"/>
                <w:color w:val="auto"/>
                <w:spacing w:val="30"/>
                <w:sz w:val="18"/>
                <w:szCs w:val="18"/>
              </w:rPr>
              <w:t>ARTICLE  INFO</w:t>
            </w:r>
          </w:p>
        </w:tc>
        <w:tc>
          <w:tcPr>
            <w:tcW w:w="360" w:type="dxa"/>
            <w:tcBorders>
              <w:bottom w:val="nil"/>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ABSTRAK</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4" w:hRule="atLeast"/>
        </w:trPr>
        <w:tc>
          <w:tcPr>
            <w:tcW w:w="2160" w:type="dxa"/>
            <w:tcBorders>
              <w:top w:val="single" w:color="auto" w:sz="12" w:space="0"/>
              <w:bottom w:val="nil"/>
            </w:tcBorders>
            <w:shd w:val="clear" w:color="auto" w:fill="auto"/>
          </w:tcPr>
          <w:p>
            <w:pPr>
              <w:spacing w:before="240"/>
              <w:jc w:val="left"/>
              <w:rPr>
                <w:color w:val="auto"/>
                <w:sz w:val="18"/>
                <w:szCs w:val="18"/>
              </w:rPr>
            </w:pPr>
            <w:r>
              <w:rPr>
                <w:color w:val="auto"/>
                <w:sz w:val="18"/>
                <w:szCs w:val="18"/>
              </w:rPr>
              <w:t>Article history:</w:t>
            </w:r>
          </w:p>
          <w:p>
            <w:pPr>
              <w:ind w:left="6"/>
              <w:jc w:val="left"/>
              <w:rPr>
                <w:rFonts w:hint="default"/>
                <w:color w:val="auto"/>
                <w:sz w:val="18"/>
                <w:szCs w:val="18"/>
                <w:lang w:val="en-GB"/>
              </w:rPr>
            </w:pPr>
            <w:r>
              <w:rPr>
                <w:rFonts w:hint="default"/>
                <w:color w:val="auto"/>
                <w:sz w:val="18"/>
                <w:szCs w:val="18"/>
                <w:lang w:val="en-GB"/>
              </w:rPr>
              <w:t>Submit       01-04-2023</w:t>
            </w:r>
          </w:p>
          <w:p>
            <w:pPr>
              <w:ind w:left="6"/>
              <w:jc w:val="left"/>
              <w:rPr>
                <w:rFonts w:hint="default"/>
                <w:color w:val="auto"/>
                <w:sz w:val="18"/>
                <w:szCs w:val="18"/>
                <w:lang w:val="en-GB"/>
              </w:rPr>
            </w:pPr>
            <w:r>
              <w:rPr>
                <w:color w:val="auto"/>
                <w:sz w:val="18"/>
                <w:szCs w:val="18"/>
              </w:rPr>
              <w:t>Diterima</w:t>
            </w:r>
            <w:r>
              <w:rPr>
                <w:rFonts w:hint="default"/>
                <w:color w:val="auto"/>
                <w:sz w:val="18"/>
                <w:szCs w:val="18"/>
                <w:lang w:val="en-GB"/>
              </w:rPr>
              <w:t xml:space="preserve">   </w:t>
            </w:r>
            <w:r>
              <w:rPr>
                <w:color w:val="auto"/>
                <w:sz w:val="18"/>
                <w:szCs w:val="18"/>
              </w:rPr>
              <w:t xml:space="preserve"> </w:t>
            </w:r>
            <w:r>
              <w:rPr>
                <w:rFonts w:hint="default"/>
                <w:color w:val="auto"/>
                <w:sz w:val="18"/>
                <w:szCs w:val="18"/>
                <w:lang w:val="en-GB"/>
              </w:rPr>
              <w:t>06</w:t>
            </w:r>
            <w:r>
              <w:rPr>
                <w:color w:val="auto"/>
                <w:sz w:val="18"/>
                <w:szCs w:val="18"/>
              </w:rPr>
              <w:t>-</w:t>
            </w:r>
            <w:r>
              <w:rPr>
                <w:rFonts w:hint="default"/>
                <w:color w:val="auto"/>
                <w:sz w:val="18"/>
                <w:szCs w:val="18"/>
                <w:lang w:val="en-GB"/>
              </w:rPr>
              <w:t>05</w:t>
            </w:r>
            <w:r>
              <w:rPr>
                <w:color w:val="auto"/>
                <w:sz w:val="18"/>
                <w:szCs w:val="18"/>
              </w:rPr>
              <w:t>-</w:t>
            </w:r>
            <w:r>
              <w:rPr>
                <w:rFonts w:hint="default"/>
                <w:color w:val="auto"/>
                <w:sz w:val="18"/>
                <w:szCs w:val="18"/>
                <w:lang w:val="en-GB"/>
              </w:rPr>
              <w:t>2023</w:t>
            </w:r>
          </w:p>
          <w:p>
            <w:pPr>
              <w:pStyle w:val="39"/>
              <w:spacing w:line="240" w:lineRule="auto"/>
              <w:rPr>
                <w:rFonts w:hint="default"/>
                <w:color w:val="auto"/>
                <w:sz w:val="18"/>
                <w:szCs w:val="18"/>
                <w:lang w:val="en-GB"/>
              </w:rPr>
            </w:pPr>
            <w:r>
              <w:rPr>
                <w:color w:val="auto"/>
                <w:sz w:val="18"/>
                <w:szCs w:val="18"/>
              </w:rPr>
              <w:t xml:space="preserve">Diperbaiki </w:t>
            </w:r>
            <w:r>
              <w:rPr>
                <w:rFonts w:hint="default"/>
                <w:color w:val="auto"/>
                <w:sz w:val="18"/>
                <w:szCs w:val="18"/>
                <w:lang w:val="en-GB"/>
              </w:rPr>
              <w:t>08-05-2023</w:t>
            </w:r>
          </w:p>
          <w:p>
            <w:pPr>
              <w:pStyle w:val="39"/>
              <w:spacing w:line="240" w:lineRule="auto"/>
              <w:rPr>
                <w:rFonts w:hint="default"/>
                <w:color w:val="auto"/>
                <w:sz w:val="18"/>
                <w:szCs w:val="18"/>
                <w:lang w:val="en-GB"/>
              </w:rPr>
            </w:pPr>
            <w:r>
              <w:rPr>
                <w:color w:val="auto"/>
                <w:sz w:val="18"/>
                <w:szCs w:val="18"/>
              </w:rPr>
              <w:t xml:space="preserve">Disetujui </w:t>
            </w:r>
            <w:r>
              <w:rPr>
                <w:rFonts w:hint="default"/>
                <w:color w:val="auto"/>
                <w:sz w:val="18"/>
                <w:szCs w:val="18"/>
                <w:lang w:val="en-GB"/>
              </w:rPr>
              <w:t xml:space="preserve">   08-05-2023</w:t>
            </w:r>
          </w:p>
          <w:p>
            <w:pPr>
              <w:rPr>
                <w:rFonts w:hint="default"/>
                <w:color w:val="auto"/>
                <w:lang w:val="en-GB"/>
              </w:rPr>
            </w:pPr>
            <w:r>
              <w:rPr>
                <w:rStyle w:val="24"/>
                <w:rFonts w:hint="default" w:eastAsia="Calibri" w:cs="Arial"/>
                <w:color w:val="auto"/>
                <w:sz w:val="18"/>
                <w:szCs w:val="18"/>
                <w:lang w:val="en-GB"/>
              </w:rPr>
              <w:t>Publish       09-05-2023</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restart"/>
            <w:tcBorders>
              <w:top w:val="single" w:color="auto" w:sz="12" w:space="0"/>
            </w:tcBorders>
            <w:shd w:val="clear" w:color="auto" w:fill="auto"/>
          </w:tcPr>
          <w:p>
            <w:pPr>
              <w:pStyle w:val="2"/>
              <w:numPr>
                <w:ilvl w:val="0"/>
                <w:numId w:val="0"/>
              </w:numPr>
              <w:tabs>
                <w:tab w:val="left" w:pos="0"/>
              </w:tabs>
              <w:rPr>
                <w:rStyle w:val="24"/>
                <w:b w:val="0"/>
                <w:bCs w:val="0"/>
                <w:color w:val="auto"/>
                <w:szCs w:val="18"/>
              </w:rPr>
            </w:pPr>
            <w:r>
              <w:rPr>
                <w:rStyle w:val="24"/>
                <w:rFonts w:eastAsia="Calibri" w:cs="Arial"/>
                <w:b w:val="0"/>
                <w:bCs w:val="0"/>
                <w:color w:val="auto"/>
              </w:rPr>
              <w:t xml:space="preserve">PT. Pelabuhan Indonesia II Cabang Palembang diharuskan untuk cepat dan tepat dalam melakukan pelayanan bongkar muat komoditas. Tingginya jumlah komoditas yang akan dilakukan bongkar muat seringkali tidak dapat diprediksi sehingga akan berakibat pada adanya penumpukan. Suatu peramalan diperlukan untuk memprediksi jumlah persediaan komoditas yang akan dilakukan bongkar muat pada bulan selanjutnya. Penelitian ini menggunakan dua metode peramalan yaitu </w:t>
            </w:r>
            <w:r>
              <w:rPr>
                <w:rStyle w:val="24"/>
                <w:rFonts w:eastAsia="Calibri" w:cs="Arial"/>
                <w:b w:val="0"/>
                <w:bCs w:val="0"/>
                <w:i/>
                <w:color w:val="auto"/>
              </w:rPr>
              <w:t>moving average</w:t>
            </w:r>
            <w:r>
              <w:rPr>
                <w:rStyle w:val="24"/>
                <w:rFonts w:eastAsia="Calibri" w:cs="Arial"/>
                <w:b w:val="0"/>
                <w:bCs w:val="0"/>
                <w:color w:val="auto"/>
              </w:rPr>
              <w:t xml:space="preserve"> dan </w:t>
            </w:r>
            <w:r>
              <w:rPr>
                <w:rStyle w:val="24"/>
                <w:rFonts w:eastAsia="Calibri" w:cs="Arial"/>
                <w:b w:val="0"/>
                <w:bCs w:val="0"/>
                <w:i/>
                <w:color w:val="auto"/>
              </w:rPr>
              <w:t>exponential smoothing</w:t>
            </w:r>
            <w:r>
              <w:rPr>
                <w:rStyle w:val="24"/>
                <w:rFonts w:eastAsia="Calibri" w:cs="Arial"/>
                <w:b w:val="0"/>
                <w:bCs w:val="0"/>
                <w:color w:val="auto"/>
              </w:rPr>
              <w:t xml:space="preserve"> yang akan dibandingkan untuk mengetahui metode peramalan yang efektif dalam meramalkan jumlah persediaan komoditas. Hasil dari pengolahan data menggunakan kedua metode adalah sebanyak </w:t>
            </w:r>
            <w:r>
              <w:rPr>
                <w:b w:val="0"/>
                <w:bCs w:val="0"/>
                <w:color w:val="auto"/>
              </w:rPr>
              <w:t xml:space="preserve">99.749,5 ton </w:t>
            </w:r>
            <w:r>
              <w:rPr>
                <w:rStyle w:val="24"/>
                <w:rFonts w:eastAsia="Calibri" w:cs="Arial"/>
                <w:b w:val="0"/>
                <w:bCs w:val="0"/>
                <w:color w:val="auto"/>
              </w:rPr>
              <w:t xml:space="preserve">jumlah persediaan komoditas yang akan dilakukan bongkar muat pada bulan Januari 2021 </w:t>
            </w:r>
            <w:r>
              <w:rPr>
                <w:b w:val="0"/>
                <w:bCs w:val="0"/>
                <w:color w:val="auto"/>
              </w:rPr>
              <w:t xml:space="preserve">terdiri dari 88.293 ton CPO, 4.374 ton aspal, dan 1.743 ton kopra sesuai dengan  peramalan menggunakan metode </w:t>
            </w:r>
            <w:r>
              <w:rPr>
                <w:b w:val="0"/>
                <w:bCs w:val="0"/>
                <w:i/>
                <w:color w:val="auto"/>
              </w:rPr>
              <w:t xml:space="preserve">moving average </w:t>
            </w:r>
            <w:r>
              <w:rPr>
                <w:b w:val="0"/>
                <w:bCs w:val="0"/>
                <w:color w:val="auto"/>
              </w:rPr>
              <w:t xml:space="preserve">7 bulanan sedangkan untuk komoditas PKE adalah 5.339,5 ton sesuai dengan peramalan menggunakan metode </w:t>
            </w:r>
            <w:r>
              <w:rPr>
                <w:b w:val="0"/>
                <w:bCs w:val="0"/>
                <w:i/>
                <w:color w:val="auto"/>
              </w:rPr>
              <w:t>exponential smoothing</w:t>
            </w:r>
            <w:r>
              <w:rPr>
                <w:b w:val="0"/>
                <w:bCs w:val="0"/>
                <w:color w:val="auto"/>
              </w:rPr>
              <w:t xml:space="preserve"> α = 0,1. Akurasi dari metode </w:t>
            </w:r>
            <w:r>
              <w:rPr>
                <w:b w:val="0"/>
                <w:bCs w:val="0"/>
                <w:i/>
                <w:color w:val="auto"/>
              </w:rPr>
              <w:t>moving average</w:t>
            </w:r>
            <w:r>
              <w:rPr>
                <w:b w:val="0"/>
                <w:bCs w:val="0"/>
                <w:color w:val="auto"/>
              </w:rPr>
              <w:t xml:space="preserve"> 7 bulanan secara keseluruhan bisa dikatakan cukup baik dengan nilai MAPE 68,5% untuk CPO, 25% untuk aspal, dan 11,4% untuk kopra. Sementara itu, penggunaan metode </w:t>
            </w:r>
            <w:r>
              <w:rPr>
                <w:b w:val="0"/>
                <w:bCs w:val="0"/>
                <w:i/>
                <w:color w:val="auto"/>
              </w:rPr>
              <w:t>exponential smoothing</w:t>
            </w:r>
            <w:r>
              <w:rPr>
                <w:b w:val="0"/>
                <w:bCs w:val="0"/>
                <w:color w:val="auto"/>
              </w:rPr>
              <w:t xml:space="preserve"> α = 0,1 memberikan hasil akurasi yang lebih baik pada peramalan jumlah persediaan komoditas PKE dengan nilai MAPE yaitu 56,3%.</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vAlign w:val="bottom"/>
          </w:tcPr>
          <w:p>
            <w:pPr>
              <w:tabs>
                <w:tab w:val="left" w:pos="94"/>
              </w:tabs>
              <w:jc w:val="left"/>
              <w:rPr>
                <w:rStyle w:val="24"/>
                <w:rFonts w:eastAsia="Calibri" w:cs="Arial"/>
                <w:color w:val="auto"/>
              </w:rPr>
            </w:pPr>
            <w:r>
              <w:rPr>
                <w:rStyle w:val="24"/>
                <w:rFonts w:eastAsia="Calibri" w:cs="Arial"/>
                <w:color w:val="auto"/>
              </w:rPr>
              <w:t xml:space="preserve">Kata Kunci: </w:t>
            </w:r>
          </w:p>
          <w:p>
            <w:pPr>
              <w:tabs>
                <w:tab w:val="left" w:pos="94"/>
              </w:tabs>
              <w:spacing w:after="200" w:line="223" w:lineRule="auto"/>
              <w:jc w:val="left"/>
              <w:rPr>
                <w:rStyle w:val="24"/>
                <w:rFonts w:eastAsia="Calibri" w:cs="Arial"/>
                <w:color w:val="auto"/>
              </w:rPr>
            </w:pPr>
            <w:r>
              <w:rPr>
                <w:rStyle w:val="24"/>
                <w:rFonts w:eastAsia="Calibri" w:cs="Arial"/>
                <w:color w:val="auto"/>
              </w:rPr>
              <w:t xml:space="preserve">Komoditas, peramalan, </w:t>
            </w:r>
            <w:r>
              <w:rPr>
                <w:rStyle w:val="24"/>
                <w:rFonts w:eastAsia="Calibri" w:cs="Arial"/>
                <w:i/>
                <w:color w:val="auto"/>
              </w:rPr>
              <w:t>moving average</w:t>
            </w:r>
            <w:r>
              <w:rPr>
                <w:rStyle w:val="24"/>
                <w:rFonts w:eastAsia="Calibri" w:cs="Arial"/>
                <w:color w:val="auto"/>
              </w:rPr>
              <w:t xml:space="preserve">, </w:t>
            </w:r>
            <w:r>
              <w:rPr>
                <w:rStyle w:val="24"/>
                <w:rFonts w:eastAsia="Calibri" w:cs="Arial"/>
                <w:i/>
                <w:color w:val="auto"/>
              </w:rPr>
              <w:t>exponential smoothing</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vMerge w:val="continue"/>
            <w:tcBorders>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tcPr>
          <w:p>
            <w:pPr>
              <w:tabs>
                <w:tab w:val="left" w:pos="94"/>
              </w:tabs>
              <w:spacing w:before="240" w:after="120" w:line="223" w:lineRule="auto"/>
              <w:jc w:val="left"/>
              <w:rPr>
                <w:rStyle w:val="38"/>
                <w:rFonts w:eastAsia="Calibri" w:cs="Arial"/>
                <w:color w:val="auto"/>
                <w:spacing w:val="30"/>
                <w:sz w:val="18"/>
                <w:szCs w:val="18"/>
              </w:rPr>
            </w:pP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color w:val="auto"/>
                <w:spacing w:val="30"/>
                <w:sz w:val="18"/>
                <w:szCs w:val="18"/>
              </w:rPr>
            </w:pPr>
            <w:r>
              <w:rPr>
                <w:rStyle w:val="38"/>
                <w:rFonts w:eastAsia="Calibri" w:cs="Arial"/>
                <w:color w:val="auto"/>
                <w:spacing w:val="30"/>
                <w:sz w:val="18"/>
                <w:szCs w:val="18"/>
              </w:rPr>
              <w:t>ABSTRACT</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single" w:color="auto" w:sz="12" w:space="0"/>
            </w:tcBorders>
            <w:shd w:val="clear" w:color="auto" w:fill="auto"/>
            <w:vAlign w:val="bottom"/>
          </w:tcPr>
          <w:p>
            <w:pPr>
              <w:pStyle w:val="39"/>
              <w:spacing w:line="240" w:lineRule="auto"/>
              <w:jc w:val="left"/>
              <w:rPr>
                <w:rStyle w:val="24"/>
                <w:rFonts w:eastAsia="Calibri" w:cs="Arial"/>
                <w:i/>
                <w:iCs w:val="0"/>
                <w:color w:val="auto"/>
              </w:rPr>
            </w:pPr>
            <w:r>
              <w:rPr>
                <w:rStyle w:val="24"/>
                <w:rFonts w:eastAsia="Calibri" w:cs="Arial"/>
                <w:i/>
                <w:iCs w:val="0"/>
                <w:color w:val="auto"/>
              </w:rPr>
              <w:t>Keywords:</w:t>
            </w:r>
          </w:p>
          <w:p>
            <w:pPr>
              <w:spacing w:after="200"/>
              <w:jc w:val="left"/>
              <w:rPr>
                <w:rFonts w:eastAsia="Calibri" w:cs="Arial"/>
                <w:color w:val="auto"/>
              </w:rPr>
            </w:pPr>
            <w:r>
              <w:rPr>
                <w:rStyle w:val="24"/>
                <w:rFonts w:eastAsia="Calibri" w:cs="Arial"/>
                <w:i/>
                <w:iCs w:val="0"/>
                <w:color w:val="auto"/>
              </w:rPr>
              <w:t>Commodity, forecasting, moving average, exponential smoothing</w:t>
            </w:r>
          </w:p>
        </w:tc>
        <w:tc>
          <w:tcPr>
            <w:tcW w:w="360" w:type="dxa"/>
            <w:tcBorders>
              <w:bottom w:val="nil"/>
            </w:tcBorders>
            <w:shd w:val="clear" w:color="auto" w:fill="auto"/>
          </w:tcPr>
          <w:p>
            <w:pPr>
              <w:tabs>
                <w:tab w:val="left" w:pos="94"/>
              </w:tabs>
              <w:spacing w:line="223" w:lineRule="auto"/>
              <w:ind w:right="1800"/>
              <w:rPr>
                <w:rFonts w:eastAsia="Calibri" w:cs="Arial"/>
                <w:color w:val="auto"/>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00" w:after="200"/>
              <w:rPr>
                <w:rStyle w:val="24"/>
                <w:rFonts w:eastAsia="Calibri" w:cs="Arial"/>
                <w:color w:val="auto"/>
              </w:rPr>
            </w:pPr>
            <w:r>
              <w:rPr>
                <w:rStyle w:val="24"/>
                <w:rFonts w:eastAsia="Calibri" w:cs="Arial"/>
                <w:i/>
                <w:iCs/>
                <w:color w:val="auto"/>
              </w:rPr>
              <w:t>PT. Pelabuhan Indonesia II Palembang Branch is required to be fast and precise in carrying out commodity loading and unloading services. The high number of commodities that will be carried out for loading and unloading is often unpredictable so it will result in accumulation. Forecasting is needed to predict the amount of commodity inventory that will be loaded and unloaded in the next month. This study uses two forecasting methods, moving average and exponential smoothing methods that will be compared to find out which method that effective in predicting the amount of commodity inventory. The results of data processing using both methods are 99,749.5 tons of commodity inventories that will be loaded and unloaded in January 2021 consisting of 88,293 tons of CPO, 4,374 tons of asphalt, and 1,743 tons of copra according to forecasts using the 7-month moving average method while for PKE commodity is 5,339.5 tons according to the forecast using the exponential smoothing method α = 0.1. The accuracy of the 7-month moving average method as a whole can be said to be quite good with MAPE values of 68.5% for CPO, 25% for asphalt and 11.4% for copra. Meanwhile, the use of the exponential smoothing method α = 0.1 gives better accuracy results in forecasting the total supply of PKE commodities with a MAPE value of 56.3%.</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2160" w:type="dxa"/>
            <w:tcBorders>
              <w:top w:val="single" w:color="auto" w:sz="12" w:space="0"/>
            </w:tcBorders>
            <w:shd w:val="clear" w:color="auto" w:fill="auto"/>
          </w:tcPr>
          <w:p>
            <w:pPr>
              <w:spacing w:after="120" w:line="281" w:lineRule="auto"/>
              <w:rPr>
                <w:rFonts w:cs="Arial"/>
                <w:color w:val="auto"/>
                <w:sz w:val="13"/>
              </w:rPr>
            </w:pPr>
          </w:p>
        </w:tc>
        <w:tc>
          <w:tcPr>
            <w:tcW w:w="36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tc>
        <w:tc>
          <w:tcPr>
            <w:tcW w:w="7740" w:type="dxa"/>
            <w:tcBorders>
              <w:top w:val="single" w:color="auto" w:sz="12" w:space="0"/>
            </w:tcBorders>
            <w:shd w:val="clear" w:color="auto" w:fill="auto"/>
          </w:tcPr>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p>
            <w:pPr>
              <w:tabs>
                <w:tab w:val="left" w:pos="94"/>
              </w:tabs>
              <w:spacing w:line="223" w:lineRule="auto"/>
              <w:ind w:right="1800"/>
              <w:rPr>
                <w:rFonts w:cs="Arial"/>
                <w:color w:val="auto"/>
                <w:sz w:val="17"/>
                <w:vertAlign w:val="superscript"/>
              </w:rPr>
            </w:pPr>
          </w:p>
        </w:tc>
      </w:tr>
    </w:tbl>
    <w:p>
      <w:pPr>
        <w:pStyle w:val="2"/>
        <w:rPr>
          <w:rStyle w:val="37"/>
          <w:bCs w:val="0"/>
          <w:iCs w:val="0"/>
          <w:color w:val="auto"/>
          <w:szCs w:val="18"/>
        </w:rPr>
        <w:sectPr>
          <w:headerReference r:id="rId4" w:type="first"/>
          <w:footerReference r:id="rId6" w:type="first"/>
          <w:headerReference r:id="rId3" w:type="default"/>
          <w:footerReference r:id="rId5" w:type="default"/>
          <w:pgSz w:w="11909" w:h="16834"/>
          <w:pgMar w:top="1152" w:right="806" w:bottom="1728" w:left="806" w:header="720" w:footer="1008" w:gutter="0"/>
          <w:pgNumType w:fmt="decimal" w:start="19"/>
          <w:cols w:space="720" w:num="1"/>
          <w:titlePg/>
          <w:docGrid w:linePitch="360" w:charSpace="0"/>
        </w:sectPr>
      </w:pPr>
    </w:p>
    <w:p>
      <w:pPr>
        <w:pStyle w:val="2"/>
        <w:rPr>
          <w:rStyle w:val="37"/>
          <w:bCs w:val="0"/>
          <w:iCs w:val="0"/>
          <w:color w:val="auto"/>
          <w:szCs w:val="18"/>
        </w:rPr>
      </w:pPr>
      <w:r>
        <w:rPr>
          <w:rStyle w:val="37"/>
          <w:bCs w:val="0"/>
          <w:iCs w:val="0"/>
          <w:color w:val="auto"/>
          <w:szCs w:val="18"/>
        </w:rPr>
        <w:t>Pendahuluan</w:t>
      </w:r>
    </w:p>
    <w:p>
      <w:pPr>
        <w:ind w:firstLine="432"/>
        <w:rPr>
          <w:color w:val="auto"/>
        </w:rPr>
      </w:pPr>
      <w:r>
        <w:rPr>
          <w:color w:val="auto"/>
        </w:rPr>
        <w:t xml:space="preserve">Dua per tiga wilayah Indonesia merupakan perairan dan berada di persilangan rute perdagangan dunia. Hal ini berpengaruh pada pertumbuhan ekonomi maupun mobilitas sosial serta perdagangan dunia. Pelabuhan sebagai fasilitas yang berfungsi menerima kapal serta memindahkan barang, kargo, maupun penumpang menjadi salah satu faktor penting bagi pemerintah untuk tetap menjalankan roda perekonomian negara. PT. Pelabuhan Indonesia II Cabang Palembang yang terletak di Boom Baru memiliki berbagai bidang usaha, salah satunya adalah penyediaan dan pengusahaan terminal konvensional, terminal petikemas, serta terminal curah untuk melayani bongkar muat komoditas sesuai jenisnya. Kegiatan bongkar muat komoditas harus dilakukan secara cepat dan tepat. Penumpukan barang di gudang maupun lapangan dapat mempengaruhi kinerja produktifitas kegiatan bongkar muat serta arus barang sehingga diperlukan peramalan untuk mengetahui jumlah persediaan komoditas yang akan dilakukan kegiatan bongkar muat. </w:t>
      </w:r>
    </w:p>
    <w:p>
      <w:pPr>
        <w:ind w:firstLine="432"/>
        <w:rPr>
          <w:color w:val="auto"/>
        </w:rPr>
      </w:pPr>
      <w:r>
        <w:rPr>
          <w:color w:val="auto"/>
        </w:rPr>
        <w:t xml:space="preserve">Peramalan atau </w:t>
      </w:r>
      <w:r>
        <w:rPr>
          <w:i/>
          <w:color w:val="auto"/>
        </w:rPr>
        <w:t>forecasting</w:t>
      </w:r>
      <w:r>
        <w:rPr>
          <w:color w:val="auto"/>
        </w:rPr>
        <w:t xml:space="preserve"> adalah proses yang dilakukan untuk memperkirakan beberapa kebutuhan di masa datang yang me yang meliputi kebutuhan dalam ukuran kuantitas, kualitas, waktu, serta lokasi yang dibutuhkan dalam rangka memenuhi permintaan barang maupun jasa [1]. Peramalan dilakukan dengan tujuan untuk mengkaji kebijakan perusahaan yang berlaku saat ini dan di masa lalu, serta melihat sejauh mana pengaruh di masa datang, mengurangi </w:t>
      </w:r>
      <w:r>
        <w:rPr>
          <w:i/>
          <w:color w:val="auto"/>
        </w:rPr>
        <w:t>time lag</w:t>
      </w:r>
      <w:r>
        <w:rPr>
          <w:color w:val="auto"/>
        </w:rPr>
        <w:t xml:space="preserve"> atau </w:t>
      </w:r>
      <w:r>
        <w:rPr>
          <w:i/>
          <w:color w:val="auto"/>
        </w:rPr>
        <w:t>delay</w:t>
      </w:r>
      <w:r>
        <w:rPr>
          <w:color w:val="auto"/>
        </w:rPr>
        <w:t xml:space="preserve"> antara saat kebijakan ditetapkan dengan implementasi, serta merupakan penyusunan bisnis pada suatu perusahaan untuk meningkatkan efektivitas suatu rencana bisnis [2]. Pemilihan metode peramalan yang tepat dapat memberikan tingkat </w:t>
      </w:r>
      <w:r>
        <w:rPr>
          <w:i/>
          <w:color w:val="auto"/>
        </w:rPr>
        <w:t>error</w:t>
      </w:r>
      <w:r>
        <w:rPr>
          <w:color w:val="auto"/>
        </w:rPr>
        <w:t xml:space="preserve"> yang rendah [3].</w:t>
      </w:r>
    </w:p>
    <w:p>
      <w:pPr>
        <w:ind w:firstLine="432"/>
        <w:rPr>
          <w:color w:val="auto"/>
        </w:rPr>
      </w:pPr>
      <w:r>
        <w:rPr>
          <w:i/>
          <w:color w:val="auto"/>
        </w:rPr>
        <w:t>Moving average</w:t>
      </w:r>
      <w:r>
        <w:rPr>
          <w:color w:val="auto"/>
        </w:rPr>
        <w:t xml:space="preserve"> merupakan salah satu bentuk metode peramalan. Metode ini meramalkan suatu kegiatan dengan mengombinasikan sejumlah data aktual pada periode sebelumnya untuk menghasikan peramalan di masa mendatang [4]. </w:t>
      </w:r>
      <w:r>
        <w:rPr>
          <w:i/>
          <w:color w:val="auto"/>
        </w:rPr>
        <w:t>Moving average</w:t>
      </w:r>
      <w:r>
        <w:rPr>
          <w:color w:val="auto"/>
        </w:rPr>
        <w:t xml:space="preserve"> membutuhkan data historis dengan jangka waktu tertentu serta hasilnya akan semakin halus sesuai dengan panjang waktunya. Namun, penggunaan metode ini harus memiliki data historis yang cukup, tingkat presisinya rendah, serta tidak bisa mengikuti perubahan yang bersifat drastis. Metode lain yang juga dapat digunakan dalam peramalan yaitu </w:t>
      </w:r>
      <w:r>
        <w:rPr>
          <w:i/>
          <w:color w:val="auto"/>
        </w:rPr>
        <w:t>exponential smoothing</w:t>
      </w:r>
      <w:r>
        <w:rPr>
          <w:color w:val="auto"/>
        </w:rPr>
        <w:t xml:space="preserve">. Metode ini meramalkan dengan teknik rata-rata bergerak dimana data diberi bobot dengan sebuah fungsi eksponensial [5]. </w:t>
      </w:r>
      <w:r>
        <w:rPr>
          <w:i/>
          <w:color w:val="auto"/>
        </w:rPr>
        <w:t>Exponential smoothing</w:t>
      </w:r>
      <w:r>
        <w:rPr>
          <w:color w:val="auto"/>
        </w:rPr>
        <w:t xml:space="preserve"> memiliki daya tarik tersendiri jika dibandingkan dengan metode </w:t>
      </w:r>
      <w:r>
        <w:rPr>
          <w:i/>
          <w:color w:val="auto"/>
        </w:rPr>
        <w:t>moving average</w:t>
      </w:r>
      <w:r>
        <w:rPr>
          <w:color w:val="auto"/>
        </w:rPr>
        <w:t>, yaitu pemberian bobot terbanyak dilakukan pada data pengamatan terbaru sehingga secara terus-menerus akan memperbaiki peramalan dengan meratakan nilai masa lalu dari suatu data runtut waktu dengan cara menurun [6].</w:t>
      </w:r>
    </w:p>
    <w:p>
      <w:pPr>
        <w:ind w:firstLine="431"/>
        <w:rPr>
          <w:color w:val="auto"/>
        </w:rPr>
      </w:pPr>
      <w:r>
        <w:rPr>
          <w:color w:val="auto"/>
        </w:rPr>
        <w:t xml:space="preserve">Wulandari pada tahun 2020 pernah melakukan penelitian mengenai sistem peramalan persediaan barang dengan menggunakan metode </w:t>
      </w:r>
      <w:r>
        <w:rPr>
          <w:i/>
          <w:color w:val="auto"/>
        </w:rPr>
        <w:t>moving average</w:t>
      </w:r>
      <w:r>
        <w:rPr>
          <w:color w:val="auto"/>
        </w:rPr>
        <w:t xml:space="preserve"> 3 bulanan. Berdasarkan penelitiannya penggunaan metode </w:t>
      </w:r>
      <w:r>
        <w:rPr>
          <w:i/>
          <w:color w:val="auto"/>
        </w:rPr>
        <w:t>moving average</w:t>
      </w:r>
      <w:r>
        <w:rPr>
          <w:color w:val="auto"/>
        </w:rPr>
        <w:t xml:space="preserve"> memberikan hasil peramalan yang sangat baik dengan tingkat akurasi yang mencapai 88% [7]. Sementara itu, Ihsan, dkk menggunakan metode </w:t>
      </w:r>
      <w:r>
        <w:rPr>
          <w:i/>
          <w:color w:val="auto"/>
        </w:rPr>
        <w:t>exponential smoothing</w:t>
      </w:r>
      <w:r>
        <w:rPr>
          <w:color w:val="auto"/>
        </w:rPr>
        <w:t xml:space="preserve"> dalam penelitiannya mengenai peramalan penjualan bakso kemasan. Hasil penelitiannya yaitu penggunaan nilai α = 0,1 pada metode </w:t>
      </w:r>
      <w:r>
        <w:rPr>
          <w:i/>
          <w:color w:val="auto"/>
        </w:rPr>
        <w:t>exponential smoothing</w:t>
      </w:r>
      <w:r>
        <w:rPr>
          <w:color w:val="auto"/>
        </w:rPr>
        <w:t xml:space="preserve"> sangat cocok digunakan pada proses peramalan dikarenakan memberikan nilai </w:t>
      </w:r>
      <w:r>
        <w:rPr>
          <w:i/>
          <w:color w:val="auto"/>
        </w:rPr>
        <w:t>mean absolute error</w:t>
      </w:r>
      <w:r>
        <w:rPr>
          <w:color w:val="auto"/>
        </w:rPr>
        <w:t xml:space="preserve"> (MAE) serta </w:t>
      </w:r>
      <w:r>
        <w:rPr>
          <w:i/>
          <w:color w:val="auto"/>
        </w:rPr>
        <w:t>mean squared error</w:t>
      </w:r>
      <w:r>
        <w:rPr>
          <w:color w:val="auto"/>
        </w:rPr>
        <w:t xml:space="preserve"> (MSE) yang merupakan indikator kesalahan peramalan bernilai rendah [8]. Penelitian ini akan membandingkan penggunaan metode </w:t>
      </w:r>
      <w:r>
        <w:rPr>
          <w:i/>
          <w:color w:val="auto"/>
        </w:rPr>
        <w:t>moving average</w:t>
      </w:r>
      <w:r>
        <w:rPr>
          <w:color w:val="auto"/>
        </w:rPr>
        <w:t xml:space="preserve"> dan </w:t>
      </w:r>
      <w:r>
        <w:rPr>
          <w:i/>
          <w:color w:val="auto"/>
        </w:rPr>
        <w:t>exponential smoothing</w:t>
      </w:r>
      <w:r>
        <w:rPr>
          <w:color w:val="auto"/>
        </w:rPr>
        <w:t xml:space="preserve"> pada peramalan jumlah persediaan komoditas di PT. Pelabuhan Indonesia II Cabang Palembang sehingga tingkat efisiensi dari kinerja bongkar-muat yang dilakukan dapat meningkat.</w:t>
      </w:r>
    </w:p>
    <w:p>
      <w:pPr>
        <w:ind w:firstLine="431"/>
        <w:rPr>
          <w:color w:val="auto"/>
        </w:rPr>
      </w:pPr>
    </w:p>
    <w:p>
      <w:pPr>
        <w:pStyle w:val="2"/>
        <w:rPr>
          <w:color w:val="auto"/>
        </w:rPr>
      </w:pPr>
      <w:r>
        <w:rPr>
          <w:color w:val="auto"/>
        </w:rPr>
        <w:t>Metode Penelitian</w:t>
      </w:r>
    </w:p>
    <w:p>
      <w:pPr>
        <w:ind w:firstLine="432"/>
        <w:rPr>
          <w:color w:val="auto"/>
        </w:rPr>
      </w:pPr>
      <w:r>
        <w:rPr>
          <w:color w:val="auto"/>
        </w:rPr>
        <w:t>Penelitian dilakukan melalui beberapa tahapan yang meliputi identifikasi masalah, melakukan kajian literatur, proses pengumpulan dan pengolahan data, serta analisa yang akan menghasilkan kesimpulan dari penelitian yang telah dilakukan. Diagram alir penelitian yang dilakukan ditunjukkan pada Gambar 1.</w:t>
      </w:r>
    </w:p>
    <w:p>
      <w:pPr>
        <w:ind w:firstLine="432"/>
        <w:rPr>
          <w:color w:val="auto"/>
        </w:rPr>
      </w:pPr>
    </w:p>
    <w:p>
      <w:pPr>
        <w:ind w:firstLine="432"/>
        <w:jc w:val="center"/>
        <w:rPr>
          <w:color w:val="auto"/>
        </w:rPr>
      </w:pPr>
      <w:r>
        <w:rPr>
          <w:color w:val="auto"/>
        </w:rPr>
        <w:drawing>
          <wp:inline distT="0" distB="0" distL="0" distR="0">
            <wp:extent cx="1384300" cy="2933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8058" cy="2940386"/>
                    </a:xfrm>
                    <a:prstGeom prst="rect">
                      <a:avLst/>
                    </a:prstGeom>
                  </pic:spPr>
                </pic:pic>
              </a:graphicData>
            </a:graphic>
          </wp:inline>
        </w:drawing>
      </w:r>
    </w:p>
    <w:p>
      <w:pPr>
        <w:spacing w:before="240"/>
        <w:ind w:firstLine="432"/>
        <w:jc w:val="center"/>
        <w:rPr>
          <w:color w:val="auto"/>
          <w:sz w:val="16"/>
        </w:rPr>
      </w:pPr>
      <w:r>
        <w:rPr>
          <w:color w:val="auto"/>
          <w:sz w:val="16"/>
        </w:rPr>
        <w:t>Gambar 1. Diagram alir penelitan</w:t>
      </w:r>
    </w:p>
    <w:p>
      <w:pPr>
        <w:ind w:firstLine="432"/>
        <w:jc w:val="center"/>
        <w:rPr>
          <w:color w:val="auto"/>
          <w:sz w:val="16"/>
        </w:rPr>
      </w:pPr>
    </w:p>
    <w:p>
      <w:pPr>
        <w:ind w:firstLine="432"/>
        <w:rPr>
          <w:color w:val="auto"/>
        </w:rPr>
      </w:pPr>
      <w:r>
        <w:rPr>
          <w:color w:val="auto"/>
        </w:rPr>
        <w:t xml:space="preserve">Identifikasi masalah dilakukan dengan melakukan observasi serta wawancara dengan pihak perusahaan. Berdasarkan hasil observasi dan wawancara ini didapatlah suatu permasalahan berupa adanya proses penumpukan barang di gudang maupun lapangan pada saat terjadi </w:t>
      </w:r>
      <w:r>
        <w:rPr>
          <w:i/>
          <w:color w:val="auto"/>
        </w:rPr>
        <w:t>overload</w:t>
      </w:r>
      <w:r>
        <w:rPr>
          <w:color w:val="auto"/>
        </w:rPr>
        <w:t xml:space="preserve"> barang yang akan dilakukan proses bongkar-muat. Hal ini dapat mempengaruhi efektivitas kinerja produktivitas kegiatan setiap minggunya. Kajian literatur pun dilakukan untuk mendukung proses pengolahan data dan analisa hasil yang didapatkan. Data yang dikumpulkan berupa jumlah produk yang dilakukan bongkar-muat untuk setiap komoditasnya di PT. Pelabuhan Indonesia II Cabang Palembang mulai dari bulan Januari hingga Desember tahun 2020. Data ini kemudian akan diolah sehingga akan didapatkan niai peramalan jumlah persediaan komoditas yang akan dilakukan bongkar-muat pada bulan Januari 2021. Data juga akan diolah untuk mendapatkan akurasi peramalan untuk masing-masing metode yang digunakan sehingga didapatkan metode yang efektif dalam peramalan jumlah komoditas di PT. Pelabuhan Indonesia II Cabang Palembang.</w:t>
      </w:r>
    </w:p>
    <w:p>
      <w:pPr>
        <w:ind w:firstLine="432"/>
        <w:rPr>
          <w:color w:val="auto"/>
        </w:rPr>
      </w:pPr>
    </w:p>
    <w:p>
      <w:pPr>
        <w:pStyle w:val="3"/>
        <w:rPr>
          <w:color w:val="auto"/>
        </w:rPr>
      </w:pPr>
      <w:r>
        <w:rPr>
          <w:color w:val="auto"/>
        </w:rPr>
        <w:t>Metode moving average</w:t>
      </w:r>
    </w:p>
    <w:p>
      <w:pPr>
        <w:pStyle w:val="15"/>
        <w:spacing w:line="240" w:lineRule="auto"/>
        <w:ind w:firstLine="432"/>
        <w:rPr>
          <w:color w:val="auto"/>
        </w:rPr>
      </w:pPr>
      <w:r>
        <w:rPr>
          <w:color w:val="auto"/>
        </w:rPr>
        <w:t xml:space="preserve">Metode ini melakukan perhitungan terhadap nilai data terbaru. Nilai rata-rata akan dihitung berdasarkan jumlah data dengan angka rata-rata bergeraknya ditentukan dari harga 1 sampai n data yang dimiliki [9]. Hasil peramalan dari penggunaan metode </w:t>
      </w:r>
      <w:r>
        <w:rPr>
          <w:i/>
          <w:color w:val="auto"/>
        </w:rPr>
        <w:t>moving average</w:t>
      </w:r>
      <w:r>
        <w:rPr>
          <w:color w:val="auto"/>
        </w:rPr>
        <w:t xml:space="preserve"> ini memiliki selisih yang relatif dekat dengan nilai aktual sehingga lebih efektif dan juga efisien jika dibandingkan dengan metode lainnya [10]. Peramalan dengan menggunakan metode ini didapatkan melalui rumus berikut [9].</w:t>
      </w:r>
    </w:p>
    <w:p>
      <w:pPr>
        <w:pStyle w:val="15"/>
        <w:spacing w:after="0" w:line="240" w:lineRule="auto"/>
        <w:ind w:firstLine="432"/>
        <w:rPr>
          <w:color w:val="auto"/>
        </w:rPr>
      </w:pPr>
    </w:p>
    <w:p>
      <w:pPr>
        <w:pStyle w:val="15"/>
        <w:tabs>
          <w:tab w:val="right" w:pos="4536"/>
        </w:tabs>
        <w:spacing w:line="240" w:lineRule="auto"/>
        <w:ind w:firstLine="567"/>
        <w:rPr>
          <w:color w:val="auto"/>
          <w:spacing w:val="-8"/>
          <w:szCs w:val="16"/>
        </w:rPr>
      </w:pPr>
      <m:oMath>
        <m:sSub>
          <m:sSubPr>
            <m:ctrlPr>
              <w:rPr>
                <w:rFonts w:ascii="Cambria Math" w:hAnsi="Cambria Math"/>
                <w:i/>
                <w:color w:val="auto"/>
                <w:spacing w:val="-8"/>
                <w:szCs w:val="16"/>
                <w:lang w:val="id-ID"/>
              </w:rPr>
            </m:ctrlPr>
          </m:sSubPr>
          <m:e>
            <m:r>
              <m:rPr/>
              <w:rPr>
                <w:rFonts w:ascii="Cambria Math" w:hAnsi="Cambria Math"/>
                <w:color w:val="auto"/>
                <w:spacing w:val="-8"/>
                <w:szCs w:val="16"/>
                <w:lang w:val="id-ID"/>
              </w:rPr>
              <m:t>F</m:t>
            </m:r>
            <m:ctrlPr>
              <w:rPr>
                <w:rFonts w:ascii="Cambria Math" w:hAnsi="Cambria Math"/>
                <w:i/>
                <w:color w:val="auto"/>
                <w:spacing w:val="-8"/>
                <w:szCs w:val="16"/>
                <w:lang w:val="id-ID"/>
              </w:rPr>
            </m:ctrlPr>
          </m:e>
          <m:sub>
            <m:r>
              <m:rPr/>
              <w:rPr>
                <w:rFonts w:ascii="Cambria Math" w:hAnsi="Cambria Math"/>
                <w:color w:val="auto"/>
                <w:spacing w:val="-8"/>
                <w:szCs w:val="16"/>
                <w:lang w:val="id-ID"/>
              </w:rPr>
              <m:t>t+1</m:t>
            </m:r>
            <m:ctrlPr>
              <w:rPr>
                <w:rFonts w:ascii="Cambria Math" w:hAnsi="Cambria Math"/>
                <w:i/>
                <w:color w:val="auto"/>
                <w:spacing w:val="-8"/>
                <w:szCs w:val="16"/>
                <w:lang w:val="id-ID"/>
              </w:rPr>
            </m:ctrlPr>
          </m:sub>
        </m:sSub>
        <m:r>
          <m:rPr/>
          <w:rPr>
            <w:rFonts w:ascii="Cambria Math" w:hAnsi="Cambria Math"/>
            <w:color w:val="auto"/>
            <w:spacing w:val="-8"/>
            <w:szCs w:val="16"/>
            <w:lang w:val="id-ID"/>
          </w:rPr>
          <m:t>=</m:t>
        </m:r>
        <m:f>
          <m:fPr>
            <m:ctrlPr>
              <w:rPr>
                <w:rFonts w:ascii="Cambria Math" w:hAnsi="Cambria Math"/>
                <w:i/>
                <w:color w:val="auto"/>
                <w:spacing w:val="-8"/>
                <w:szCs w:val="16"/>
                <w:lang w:val="id-ID"/>
              </w:rPr>
            </m:ctrlPr>
          </m:fPr>
          <m:num>
            <m:r>
              <m:rPr/>
              <w:rPr>
                <w:rFonts w:ascii="Cambria Math" w:hAnsi="Cambria Math"/>
                <w:color w:val="auto"/>
                <w:spacing w:val="-8"/>
                <w:szCs w:val="16"/>
                <w:lang w:val="id-ID"/>
              </w:rPr>
              <m:t>1</m:t>
            </m:r>
            <m:ctrlPr>
              <w:rPr>
                <w:rFonts w:ascii="Cambria Math" w:hAnsi="Cambria Math"/>
                <w:i/>
                <w:color w:val="auto"/>
                <w:spacing w:val="-8"/>
                <w:szCs w:val="16"/>
                <w:lang w:val="id-ID"/>
              </w:rPr>
            </m:ctrlPr>
          </m:num>
          <m:den>
            <m:r>
              <m:rPr/>
              <w:rPr>
                <w:rFonts w:ascii="Cambria Math" w:hAnsi="Cambria Math"/>
                <w:color w:val="auto"/>
                <w:spacing w:val="-8"/>
                <w:szCs w:val="16"/>
                <w:lang w:val="id-ID"/>
              </w:rPr>
              <m:t>N</m:t>
            </m:r>
            <m:ctrlPr>
              <w:rPr>
                <w:rFonts w:ascii="Cambria Math" w:hAnsi="Cambria Math"/>
                <w:i/>
                <w:color w:val="auto"/>
                <w:spacing w:val="-8"/>
                <w:szCs w:val="16"/>
                <w:lang w:val="id-ID"/>
              </w:rPr>
            </m:ctrlPr>
          </m:den>
        </m:f>
        <m:nary>
          <m:naryPr>
            <m:chr m:val="∑"/>
            <m:limLoc m:val="subSup"/>
            <m:ctrlPr>
              <w:rPr>
                <w:rFonts w:ascii="Cambria Math" w:hAnsi="Cambria Math"/>
                <w:i/>
                <w:color w:val="auto"/>
                <w:spacing w:val="-8"/>
                <w:szCs w:val="16"/>
                <w:lang w:val="id-ID"/>
              </w:rPr>
            </m:ctrlPr>
          </m:naryPr>
          <m:sub>
            <m:r>
              <m:rPr/>
              <w:rPr>
                <w:rFonts w:ascii="Cambria Math" w:hAnsi="Cambria Math"/>
                <w:color w:val="auto"/>
                <w:spacing w:val="-8"/>
                <w:szCs w:val="16"/>
                <w:lang w:val="id-ID"/>
              </w:rPr>
              <m:t>i=t−N+1</m:t>
            </m:r>
            <m:ctrlPr>
              <w:rPr>
                <w:rFonts w:ascii="Cambria Math" w:hAnsi="Cambria Math"/>
                <w:i/>
                <w:color w:val="auto"/>
                <w:spacing w:val="-8"/>
                <w:szCs w:val="16"/>
                <w:lang w:val="id-ID"/>
              </w:rPr>
            </m:ctrlPr>
          </m:sub>
          <m:sup>
            <m:r>
              <m:rPr/>
              <w:rPr>
                <w:rFonts w:ascii="Cambria Math" w:hAnsi="Cambria Math"/>
                <w:color w:val="auto"/>
                <w:spacing w:val="-8"/>
                <w:szCs w:val="16"/>
                <w:lang w:val="id-ID"/>
              </w:rPr>
              <m:t>t</m:t>
            </m:r>
            <m:ctrlPr>
              <w:rPr>
                <w:rFonts w:ascii="Cambria Math" w:hAnsi="Cambria Math"/>
                <w:i/>
                <w:color w:val="auto"/>
                <w:spacing w:val="-8"/>
                <w:szCs w:val="16"/>
                <w:lang w:val="id-ID"/>
              </w:rPr>
            </m:ctrlPr>
          </m:sup>
          <m:e>
            <m:sSub>
              <m:sSubPr>
                <m:ctrlPr>
                  <w:rPr>
                    <w:rFonts w:ascii="Cambria Math" w:hAnsi="Cambria Math"/>
                    <w:i/>
                    <w:color w:val="auto"/>
                    <w:spacing w:val="-8"/>
                    <w:szCs w:val="16"/>
                    <w:lang w:val="id-ID"/>
                  </w:rPr>
                </m:ctrlPr>
              </m:sSubPr>
              <m:e>
                <m:r>
                  <m:rPr/>
                  <w:rPr>
                    <w:rFonts w:ascii="Cambria Math" w:hAnsi="Cambria Math"/>
                    <w:color w:val="auto"/>
                    <w:spacing w:val="-8"/>
                    <w:szCs w:val="16"/>
                    <w:lang w:val="id-ID"/>
                  </w:rPr>
                  <m:t>X</m:t>
                </m:r>
                <m:ctrlPr>
                  <w:rPr>
                    <w:rFonts w:ascii="Cambria Math" w:hAnsi="Cambria Math"/>
                    <w:i/>
                    <w:color w:val="auto"/>
                    <w:spacing w:val="-8"/>
                    <w:szCs w:val="16"/>
                    <w:lang w:val="id-ID"/>
                  </w:rPr>
                </m:ctrlPr>
              </m:e>
              <m:sub>
                <m:r>
                  <m:rPr/>
                  <w:rPr>
                    <w:rFonts w:ascii="Cambria Math" w:hAnsi="Cambria Math"/>
                    <w:color w:val="auto"/>
                    <w:spacing w:val="-8"/>
                    <w:szCs w:val="16"/>
                    <w:lang w:val="id-ID"/>
                  </w:rPr>
                  <m:t>i</m:t>
                </m:r>
                <m:ctrlPr>
                  <w:rPr>
                    <w:rFonts w:ascii="Cambria Math" w:hAnsi="Cambria Math"/>
                    <w:i/>
                    <w:color w:val="auto"/>
                    <w:spacing w:val="-8"/>
                    <w:szCs w:val="16"/>
                    <w:lang w:val="id-ID"/>
                  </w:rPr>
                </m:ctrlPr>
              </m:sub>
            </m:sSub>
            <m:ctrlPr>
              <w:rPr>
                <w:rFonts w:ascii="Cambria Math" w:hAnsi="Cambria Math"/>
                <w:i/>
                <w:color w:val="auto"/>
                <w:spacing w:val="-8"/>
                <w:szCs w:val="16"/>
                <w:lang w:val="id-ID"/>
              </w:rPr>
            </m:ctrlPr>
          </m:e>
        </m:nary>
      </m:oMath>
      <w:r>
        <w:rPr>
          <w:color w:val="auto"/>
          <w:spacing w:val="-8"/>
          <w:szCs w:val="16"/>
        </w:rPr>
        <w:tab/>
      </w:r>
      <w:r>
        <w:rPr>
          <w:color w:val="auto"/>
          <w:spacing w:val="-8"/>
          <w:szCs w:val="16"/>
        </w:rPr>
        <w:t>(1)</w:t>
      </w:r>
    </w:p>
    <w:p>
      <w:pPr>
        <w:pStyle w:val="15"/>
        <w:tabs>
          <w:tab w:val="right" w:pos="4536"/>
        </w:tabs>
        <w:spacing w:after="0" w:line="240" w:lineRule="auto"/>
        <w:rPr>
          <w:color w:val="auto"/>
          <w:spacing w:val="-8"/>
          <w:szCs w:val="16"/>
        </w:rPr>
      </w:pPr>
    </w:p>
    <w:p>
      <w:pPr>
        <w:pStyle w:val="15"/>
        <w:tabs>
          <w:tab w:val="right" w:pos="4536"/>
        </w:tabs>
        <w:spacing w:after="0" w:line="240" w:lineRule="auto"/>
        <w:rPr>
          <w:color w:val="auto"/>
          <w:spacing w:val="-8"/>
          <w:szCs w:val="16"/>
        </w:rPr>
      </w:pPr>
      <w:r>
        <w:rPr>
          <w:color w:val="auto"/>
          <w:spacing w:val="-8"/>
          <w:szCs w:val="16"/>
        </w:rPr>
        <w:t>dengan,</w:t>
      </w:r>
    </w:p>
    <w:p>
      <w:pPr>
        <w:pStyle w:val="15"/>
        <w:tabs>
          <w:tab w:val="left" w:pos="993"/>
          <w:tab w:val="right" w:pos="4536"/>
        </w:tabs>
        <w:spacing w:after="0" w:line="240" w:lineRule="auto"/>
        <w:rPr>
          <w:color w:val="auto"/>
          <w:spacing w:val="-8"/>
          <w:szCs w:val="16"/>
        </w:rPr>
      </w:pPr>
      <w:r>
        <w:rPr>
          <w:color w:val="auto"/>
          <w:spacing w:val="-8"/>
          <w:szCs w:val="16"/>
        </w:rPr>
        <w:t xml:space="preserve">t </w:t>
      </w:r>
      <w:r>
        <w:rPr>
          <w:color w:val="auto"/>
          <w:spacing w:val="-8"/>
          <w:szCs w:val="16"/>
        </w:rPr>
        <w:tab/>
      </w:r>
      <w:r>
        <w:rPr>
          <w:color w:val="auto"/>
          <w:spacing w:val="-8"/>
          <w:szCs w:val="16"/>
        </w:rPr>
        <w:t>: nilai paling akhir</w:t>
      </w:r>
    </w:p>
    <w:p>
      <w:pPr>
        <w:pStyle w:val="15"/>
        <w:tabs>
          <w:tab w:val="left" w:pos="567"/>
          <w:tab w:val="left" w:pos="993"/>
          <w:tab w:val="right" w:pos="4536"/>
        </w:tabs>
        <w:spacing w:after="0" w:line="240" w:lineRule="auto"/>
        <w:rPr>
          <w:color w:val="auto"/>
          <w:spacing w:val="-8"/>
          <w:szCs w:val="16"/>
        </w:rPr>
      </w:pPr>
      <w:r>
        <w:rPr>
          <w:color w:val="auto"/>
          <w:spacing w:val="-8"/>
          <w:szCs w:val="16"/>
        </w:rPr>
        <w:t xml:space="preserve">t+1 </w:t>
      </w:r>
      <w:r>
        <w:rPr>
          <w:color w:val="auto"/>
          <w:spacing w:val="-8"/>
          <w:szCs w:val="16"/>
        </w:rPr>
        <w:tab/>
      </w:r>
      <w:r>
        <w:rPr>
          <w:color w:val="auto"/>
          <w:spacing w:val="-8"/>
          <w:szCs w:val="16"/>
        </w:rPr>
        <w:tab/>
      </w:r>
      <w:r>
        <w:rPr>
          <w:color w:val="auto"/>
          <w:spacing w:val="-8"/>
          <w:szCs w:val="16"/>
        </w:rPr>
        <w:t>: periode suatu ramalan dibuat</w:t>
      </w:r>
    </w:p>
    <w:p>
      <w:pPr>
        <w:pStyle w:val="15"/>
        <w:tabs>
          <w:tab w:val="left" w:pos="993"/>
          <w:tab w:val="right" w:pos="4536"/>
        </w:tabs>
        <w:spacing w:after="0" w:line="240" w:lineRule="auto"/>
        <w:rPr>
          <w:color w:val="auto"/>
          <w:spacing w:val="-8"/>
          <w:szCs w:val="16"/>
        </w:rPr>
      </w:pPr>
      <m:oMath>
        <m:sSub>
          <m:sSubPr>
            <m:ctrlPr>
              <w:rPr>
                <w:rFonts w:ascii="Cambria Math" w:hAnsi="Cambria Math"/>
                <w:color w:val="auto"/>
                <w:spacing w:val="-8"/>
                <w:szCs w:val="16"/>
                <w:lang w:val="id-ID"/>
              </w:rPr>
            </m:ctrlPr>
          </m:sSubPr>
          <m:e>
            <m:r>
              <m:rPr>
                <m:sty m:val="p"/>
              </m:rPr>
              <w:rPr>
                <w:rFonts w:ascii="Cambria Math" w:hAnsi="Cambria Math"/>
                <w:color w:val="auto"/>
                <w:spacing w:val="-8"/>
                <w:szCs w:val="16"/>
                <w:lang w:val="id-ID"/>
              </w:rPr>
              <m:t>F</m:t>
            </m:r>
            <m:ctrlPr>
              <w:rPr>
                <w:rFonts w:ascii="Cambria Math" w:hAnsi="Cambria Math"/>
                <w:color w:val="auto"/>
                <w:spacing w:val="-8"/>
                <w:szCs w:val="16"/>
                <w:lang w:val="id-ID"/>
              </w:rPr>
            </m:ctrlPr>
          </m:e>
          <m:sub>
            <m:r>
              <m:rPr>
                <m:sty m:val="p"/>
              </m:rPr>
              <w:rPr>
                <w:rFonts w:ascii="Cambria Math" w:hAnsi="Cambria Math"/>
                <w:color w:val="auto"/>
                <w:spacing w:val="-8"/>
                <w:szCs w:val="16"/>
                <w:lang w:val="id-ID"/>
              </w:rPr>
              <m:t>t+1</m:t>
            </m:r>
            <m:ctrlPr>
              <w:rPr>
                <w:rFonts w:ascii="Cambria Math" w:hAnsi="Cambria Math"/>
                <w:color w:val="auto"/>
                <w:spacing w:val="-8"/>
                <w:szCs w:val="16"/>
                <w:lang w:val="id-ID"/>
              </w:rPr>
            </m:ctrlPr>
          </m:sub>
        </m:sSub>
      </m:oMath>
      <w:r>
        <w:rPr>
          <w:color w:val="auto"/>
          <w:spacing w:val="-8"/>
          <w:szCs w:val="16"/>
        </w:rPr>
        <w:tab/>
      </w:r>
      <w:r>
        <w:rPr>
          <w:color w:val="auto"/>
          <w:spacing w:val="-8"/>
          <w:szCs w:val="16"/>
        </w:rPr>
        <w:t>: ramalan untuk periode berikut, t+1</w:t>
      </w:r>
    </w:p>
    <w:p>
      <w:pPr>
        <w:pStyle w:val="15"/>
        <w:tabs>
          <w:tab w:val="left" w:pos="567"/>
          <w:tab w:val="left" w:pos="993"/>
          <w:tab w:val="right" w:pos="4536"/>
        </w:tabs>
        <w:spacing w:after="0" w:line="240" w:lineRule="auto"/>
        <w:rPr>
          <w:color w:val="auto"/>
          <w:spacing w:val="-8"/>
          <w:szCs w:val="16"/>
        </w:rPr>
      </w:pPr>
      <m:oMath>
        <m:sSub>
          <m:sSubPr>
            <m:ctrlPr>
              <w:rPr>
                <w:rFonts w:ascii="Cambria Math" w:hAnsi="Cambria Math"/>
                <w:color w:val="auto"/>
                <w:spacing w:val="-8"/>
                <w:szCs w:val="16"/>
                <w:lang w:val="id-ID"/>
              </w:rPr>
            </m:ctrlPr>
          </m:sSubPr>
          <m:e>
            <m:r>
              <m:rPr>
                <m:sty m:val="p"/>
              </m:rPr>
              <w:rPr>
                <w:rFonts w:ascii="Cambria Math" w:hAnsi="Cambria Math"/>
                <w:color w:val="auto"/>
                <w:spacing w:val="-8"/>
                <w:szCs w:val="16"/>
                <w:lang w:val="id-ID"/>
              </w:rPr>
              <m:t>X</m:t>
            </m:r>
            <m:ctrlPr>
              <w:rPr>
                <w:rFonts w:ascii="Cambria Math" w:hAnsi="Cambria Math"/>
                <w:color w:val="auto"/>
                <w:spacing w:val="-8"/>
                <w:szCs w:val="16"/>
                <w:lang w:val="id-ID"/>
              </w:rPr>
            </m:ctrlPr>
          </m:e>
          <m:sub>
            <m:r>
              <m:rPr>
                <m:sty m:val="p"/>
              </m:rPr>
              <w:rPr>
                <w:rFonts w:ascii="Cambria Math" w:hAnsi="Cambria Math"/>
                <w:color w:val="auto"/>
                <w:spacing w:val="-8"/>
                <w:szCs w:val="16"/>
                <w:lang w:val="id-ID"/>
              </w:rPr>
              <m:t>t,t−1,t−2,…</m:t>
            </m:r>
            <m:ctrlPr>
              <w:rPr>
                <w:rFonts w:ascii="Cambria Math" w:hAnsi="Cambria Math"/>
                <w:color w:val="auto"/>
                <w:spacing w:val="-8"/>
                <w:szCs w:val="16"/>
                <w:lang w:val="id-ID"/>
              </w:rPr>
            </m:ctrlPr>
          </m:sub>
        </m:sSub>
      </m:oMath>
      <w:r>
        <w:rPr>
          <w:color w:val="auto"/>
          <w:spacing w:val="-8"/>
          <w:szCs w:val="16"/>
        </w:rPr>
        <w:tab/>
      </w:r>
      <w:r>
        <w:rPr>
          <w:color w:val="auto"/>
          <w:spacing w:val="-8"/>
          <w:szCs w:val="16"/>
        </w:rPr>
        <w:t>: nilai observasi daro variabel pada periode t,t-1.t-2,…</w:t>
      </w:r>
    </w:p>
    <w:p>
      <w:pPr>
        <w:pStyle w:val="15"/>
        <w:tabs>
          <w:tab w:val="left" w:pos="993"/>
          <w:tab w:val="right" w:pos="4536"/>
        </w:tabs>
        <w:spacing w:after="0" w:line="240" w:lineRule="auto"/>
        <w:ind w:left="1134" w:hanging="1134"/>
        <w:rPr>
          <w:color w:val="auto"/>
          <w:spacing w:val="-8"/>
          <w:szCs w:val="16"/>
        </w:rPr>
      </w:pPr>
      <w:r>
        <w:rPr>
          <w:color w:val="auto"/>
          <w:spacing w:val="-8"/>
          <w:szCs w:val="16"/>
        </w:rPr>
        <w:t>N</w:t>
      </w:r>
      <w:r>
        <w:rPr>
          <w:color w:val="auto"/>
          <w:spacing w:val="-8"/>
          <w:szCs w:val="16"/>
        </w:rPr>
        <w:tab/>
      </w:r>
      <w:r>
        <w:rPr>
          <w:color w:val="auto"/>
          <w:spacing w:val="-8"/>
          <w:szCs w:val="16"/>
        </w:rPr>
        <w:t>: jumlah observasi yang digunakan dalam menghitung     rata-rata bergerak</w:t>
      </w:r>
    </w:p>
    <w:p>
      <w:pPr>
        <w:rPr>
          <w:color w:val="auto"/>
        </w:rPr>
      </w:pPr>
    </w:p>
    <w:p>
      <w:pPr>
        <w:pStyle w:val="3"/>
        <w:rPr>
          <w:color w:val="auto"/>
        </w:rPr>
      </w:pPr>
      <w:r>
        <w:rPr>
          <w:color w:val="auto"/>
        </w:rPr>
        <w:t>Metode exponential smoothing</w:t>
      </w:r>
    </w:p>
    <w:p>
      <w:pPr>
        <w:ind w:firstLine="432"/>
        <w:rPr>
          <w:color w:val="auto"/>
        </w:rPr>
      </w:pPr>
      <w:r>
        <w:rPr>
          <w:color w:val="auto"/>
        </w:rPr>
        <w:t xml:space="preserve">Metode </w:t>
      </w:r>
      <w:r>
        <w:rPr>
          <w:i/>
          <w:color w:val="auto"/>
        </w:rPr>
        <w:t>exponential smoothing</w:t>
      </w:r>
      <w:r>
        <w:rPr>
          <w:color w:val="auto"/>
        </w:rPr>
        <w:t xml:space="preserve"> melakukan perhitungan berdasarkan asumsi data tersebut diam dengan rata-rata yang bervariasi sehingga rata-rata akan berevolusi sepanjang waktu. Metode ini memberikan penekanan yang lebih besar kepada time series saat ini melalui penggunaan sebuah konstanta smoothing [11]. Peramalan dengan menggunakan metode ini didapatkan dengan menggunakan rumus berikut [12].</w:t>
      </w:r>
    </w:p>
    <w:p>
      <w:pPr>
        <w:ind w:firstLine="432"/>
        <w:rPr>
          <w:color w:val="auto"/>
        </w:rPr>
      </w:pPr>
    </w:p>
    <w:p>
      <w:pPr>
        <w:tabs>
          <w:tab w:val="left" w:pos="4536"/>
        </w:tabs>
        <w:ind w:firstLine="567"/>
        <w:rPr>
          <w:color w:val="auto"/>
        </w:rPr>
      </w:pPr>
      <m:oMath>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t+1</m:t>
            </m:r>
            <m:ctrlPr>
              <w:rPr>
                <w:rFonts w:ascii="Cambria Math" w:hAnsi="Cambria Math"/>
                <w:i/>
                <w:color w:val="auto"/>
              </w:rPr>
            </m:ctrlPr>
          </m:sub>
        </m:sSub>
        <m:r>
          <m:rPr/>
          <w:rPr>
            <w:rFonts w:ascii="Cambria Math" w:hAnsi="Cambria Math"/>
            <w:color w:val="auto"/>
          </w:rPr>
          <m:t xml:space="preserve">=α </m:t>
        </m:r>
        <m:sSub>
          <m:sSubPr>
            <m:ctrlPr>
              <w:rPr>
                <w:rFonts w:ascii="Cambria Math" w:hAnsi="Cambria Math"/>
                <w:i/>
                <w:color w:val="auto"/>
              </w:rPr>
            </m:ctrlPr>
          </m:sSubPr>
          <m:e>
            <m:r>
              <m:rPr/>
              <w:rPr>
                <w:rFonts w:ascii="Cambria Math" w:hAnsi="Cambria Math"/>
                <w:color w:val="auto"/>
              </w:rPr>
              <m:t>X</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d>
          <m:dPr>
            <m:ctrlPr>
              <w:rPr>
                <w:rFonts w:ascii="Cambria Math" w:hAnsi="Cambria Math"/>
                <w:i/>
                <w:color w:val="auto"/>
              </w:rPr>
            </m:ctrlPr>
          </m:dPr>
          <m:e>
            <m:r>
              <m:rPr/>
              <w:rPr>
                <w:rFonts w:ascii="Cambria Math" w:hAnsi="Cambria Math"/>
                <w:color w:val="auto"/>
              </w:rPr>
              <m:t>1−α</m:t>
            </m:r>
            <m:ctrlPr>
              <w:rPr>
                <w:rFonts w:ascii="Cambria Math" w:hAnsi="Cambria Math"/>
                <w:i/>
                <w:color w:val="auto"/>
              </w:rPr>
            </m:ctrlPr>
          </m:e>
        </m:d>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t−1</m:t>
            </m:r>
            <m:ctrlPr>
              <w:rPr>
                <w:rFonts w:ascii="Cambria Math" w:hAnsi="Cambria Math"/>
                <w:i/>
                <w:color w:val="auto"/>
              </w:rPr>
            </m:ctrlPr>
          </m:sub>
        </m:sSub>
      </m:oMath>
      <w:r>
        <w:rPr>
          <w:color w:val="auto"/>
        </w:rPr>
        <w:tab/>
      </w:r>
      <w:r>
        <w:rPr>
          <w:color w:val="auto"/>
        </w:rPr>
        <w:t>(2)</w:t>
      </w:r>
    </w:p>
    <w:p>
      <w:pPr>
        <w:tabs>
          <w:tab w:val="left" w:pos="4536"/>
        </w:tabs>
        <w:ind w:firstLine="567"/>
        <w:rPr>
          <w:color w:val="auto"/>
        </w:rPr>
      </w:pPr>
    </w:p>
    <w:p>
      <w:pPr>
        <w:tabs>
          <w:tab w:val="left" w:pos="4536"/>
        </w:tabs>
        <w:rPr>
          <w:color w:val="auto"/>
        </w:rPr>
      </w:pPr>
      <w:r>
        <w:rPr>
          <w:color w:val="auto"/>
        </w:rPr>
        <w:t>dengan,</w:t>
      </w:r>
    </w:p>
    <w:p>
      <w:pPr>
        <w:tabs>
          <w:tab w:val="left" w:pos="993"/>
          <w:tab w:val="left" w:pos="453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t+1</m:t>
            </m:r>
            <m:ctrlPr>
              <w:rPr>
                <w:rFonts w:ascii="Cambria Math" w:hAnsi="Cambria Math"/>
                <w:color w:val="auto"/>
              </w:rPr>
            </m:ctrlPr>
          </m:sub>
        </m:sSub>
      </m:oMath>
      <w:r>
        <w:rPr>
          <w:color w:val="auto"/>
        </w:rPr>
        <w:tab/>
      </w:r>
      <w:r>
        <w:rPr>
          <w:color w:val="auto"/>
        </w:rPr>
        <w:t>: ramalan untuk periode ke t+1</w:t>
      </w:r>
    </w:p>
    <w:p>
      <w:pPr>
        <w:tabs>
          <w:tab w:val="left" w:pos="993"/>
          <w:tab w:val="left" w:pos="4536"/>
        </w:tabs>
        <w:rPr>
          <w:color w:val="auto"/>
        </w:rPr>
      </w:pPr>
      <m:oMath>
        <m:sSub>
          <m:sSubPr>
            <m:ctrlPr>
              <w:rPr>
                <w:rFonts w:ascii="Cambria Math" w:hAnsi="Cambria Math"/>
                <w:color w:val="auto"/>
              </w:rPr>
            </m:ctrlPr>
          </m:sSubPr>
          <m:e>
            <m:r>
              <m:rPr>
                <m:sty m:val="p"/>
              </m:rPr>
              <w:rPr>
                <w:rFonts w:ascii="Cambria Math" w:hAnsi="Cambria Math"/>
                <w:color w:val="auto"/>
              </w:rPr>
              <m:t>X</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ab/>
      </w:r>
      <w:r>
        <w:rPr>
          <w:color w:val="auto"/>
        </w:rPr>
        <w:t>: nilai riil periode ke t</w:t>
      </w:r>
    </w:p>
    <w:p>
      <w:pPr>
        <w:tabs>
          <w:tab w:val="left" w:pos="993"/>
          <w:tab w:val="left" w:pos="1134"/>
          <w:tab w:val="left" w:pos="4536"/>
        </w:tabs>
        <w:ind w:left="1134" w:hanging="1134"/>
        <w:rPr>
          <w:color w:val="auto"/>
        </w:rPr>
      </w:pPr>
      <m:oMath>
        <m:r>
          <m:rPr>
            <m:sty m:val="p"/>
          </m:rPr>
          <w:rPr>
            <w:rFonts w:ascii="Cambria Math" w:hAnsi="Cambria Math"/>
            <w:color w:val="auto"/>
          </w:rPr>
          <m:t>α</m:t>
        </m:r>
      </m:oMath>
      <w:r>
        <w:rPr>
          <w:color w:val="auto"/>
        </w:rPr>
        <w:t xml:space="preserve"> </w:t>
      </w:r>
      <w:r>
        <w:rPr>
          <w:color w:val="auto"/>
        </w:rPr>
        <w:tab/>
      </w:r>
      <w:r>
        <w:rPr>
          <w:color w:val="auto"/>
        </w:rPr>
        <w:t>: bobot yang menunjukkan konstanta penghalus (0&lt;</w:t>
      </w:r>
      <m:oMath>
        <m:r>
          <m:rPr/>
          <w:rPr>
            <w:rFonts w:ascii="Cambria Math" w:hAnsi="Cambria Math"/>
            <w:color w:val="auto"/>
          </w:rPr>
          <m:t>α</m:t>
        </m:r>
      </m:oMath>
      <w:r>
        <w:rPr>
          <w:color w:val="auto"/>
        </w:rPr>
        <w:t>&lt;1)</w:t>
      </w:r>
    </w:p>
    <w:p>
      <w:pPr>
        <w:tabs>
          <w:tab w:val="left" w:pos="993"/>
          <w:tab w:val="left" w:pos="1134"/>
          <w:tab w:val="left" w:pos="453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t−1</m:t>
            </m:r>
            <m:ctrlPr>
              <w:rPr>
                <w:rFonts w:ascii="Cambria Math" w:hAnsi="Cambria Math"/>
                <w:color w:val="auto"/>
              </w:rPr>
            </m:ctrlPr>
          </m:sub>
        </m:sSub>
      </m:oMath>
      <w:r>
        <w:rPr>
          <w:color w:val="auto"/>
        </w:rPr>
        <w:tab/>
      </w:r>
      <w:r>
        <w:rPr>
          <w:color w:val="auto"/>
        </w:rPr>
        <w:t>: ramalan untuk periode ke t-1</w:t>
      </w:r>
    </w:p>
    <w:p>
      <w:pPr>
        <w:rPr>
          <w:color w:val="auto"/>
        </w:rPr>
      </w:pPr>
    </w:p>
    <w:p>
      <w:pPr>
        <w:pStyle w:val="3"/>
        <w:rPr>
          <w:color w:val="auto"/>
        </w:rPr>
      </w:pPr>
      <w:r>
        <w:rPr>
          <w:color w:val="auto"/>
        </w:rPr>
        <w:t>Ukuran akurasi peramalan</w:t>
      </w:r>
    </w:p>
    <w:p>
      <w:pPr>
        <w:ind w:firstLine="432"/>
        <w:rPr>
          <w:color w:val="auto"/>
        </w:rPr>
      </w:pPr>
      <w:r>
        <w:rPr>
          <w:color w:val="auto"/>
        </w:rPr>
        <w:t xml:space="preserve">Perhitungan akurasi peramalan dilakukan dengan tujuan untuk mengetahui ketepatan hasil peramalan dengan permintaan secara aktual sehingga dapat dievaluasi metode peramalan yang digunakan. Semakin rendah nilai kesalahan maka tingkat ketelitian peramalan akan semakin tinggi [13]. Metode yang digunakan untuk mengukur akurasi peramalan ada tiga, yaitu </w:t>
      </w:r>
      <w:r>
        <w:rPr>
          <w:i/>
          <w:color w:val="auto"/>
        </w:rPr>
        <w:t>mean absolute deviation</w:t>
      </w:r>
      <w:r>
        <w:rPr>
          <w:color w:val="auto"/>
        </w:rPr>
        <w:t xml:space="preserve"> (MAD), </w:t>
      </w:r>
      <w:r>
        <w:rPr>
          <w:i/>
          <w:color w:val="auto"/>
        </w:rPr>
        <w:t>mean square error</w:t>
      </w:r>
      <w:r>
        <w:rPr>
          <w:color w:val="auto"/>
        </w:rPr>
        <w:t xml:space="preserve"> (MSE), </w:t>
      </w:r>
      <w:r>
        <w:rPr>
          <w:i/>
          <w:color w:val="auto"/>
        </w:rPr>
        <w:t>serta mean absolute percentage error</w:t>
      </w:r>
      <w:r>
        <w:rPr>
          <w:color w:val="auto"/>
        </w:rPr>
        <w:t xml:space="preserve"> (MAPE).</w:t>
      </w:r>
    </w:p>
    <w:p>
      <w:pPr>
        <w:ind w:firstLine="432"/>
        <w:rPr>
          <w:color w:val="auto"/>
        </w:rPr>
      </w:pPr>
    </w:p>
    <w:p>
      <w:pPr>
        <w:pStyle w:val="4"/>
        <w:numPr>
          <w:ilvl w:val="2"/>
          <w:numId w:val="1"/>
        </w:numPr>
        <w:rPr>
          <w:color w:val="auto"/>
        </w:rPr>
      </w:pPr>
      <w:r>
        <w:rPr>
          <w:color w:val="auto"/>
        </w:rPr>
        <w:t>Mean absolute deviation (MAD)</w:t>
      </w:r>
    </w:p>
    <w:p>
      <w:pPr>
        <w:ind w:firstLine="567"/>
        <w:rPr>
          <w:color w:val="auto"/>
        </w:rPr>
      </w:pPr>
      <w:r>
        <w:rPr>
          <w:i/>
          <w:color w:val="auto"/>
        </w:rPr>
        <w:t>Mean absolute deviation</w:t>
      </w:r>
      <w:r>
        <w:rPr>
          <w:color w:val="auto"/>
        </w:rPr>
        <w:t xml:space="preserve"> merupakan sebuah metode yang digunakan untuk melakukan evaluasi terhadap metode peramalan yang digunakan dengan merata-ratakan nilai </w:t>
      </w:r>
      <w:r>
        <w:rPr>
          <w:i/>
          <w:color w:val="auto"/>
        </w:rPr>
        <w:t>absolute error</w:t>
      </w:r>
      <w:r>
        <w:rPr>
          <w:color w:val="auto"/>
        </w:rPr>
        <w:t xml:space="preserve"> dari seluruh hasil peramalan. Nilai absolut digunakan untuk menghindari nilai penyimpangan positif dan penyimpangan negatif yang saling meniadakan [14]. MAD mengukur kesalahan ramalan dalam unit yang sama sebagai suatu deret asli. Secara sistematis, nilai MAD dapat dirumuskan sebagai berikut [9]:</w:t>
      </w:r>
    </w:p>
    <w:p>
      <w:pPr>
        <w:ind w:firstLine="567"/>
        <w:rPr>
          <w:color w:val="auto"/>
        </w:rPr>
      </w:pPr>
    </w:p>
    <w:p>
      <w:pPr>
        <w:tabs>
          <w:tab w:val="left" w:pos="4536"/>
        </w:tabs>
        <w:ind w:firstLine="567"/>
        <w:rPr>
          <w:color w:val="auto"/>
        </w:rPr>
      </w:pPr>
      <m:oMath>
        <m:r>
          <m:rPr/>
          <w:rPr>
            <w:rFonts w:ascii="Cambria Math" w:hAnsi="Cambria Math"/>
            <w:color w:val="auto"/>
          </w:rPr>
          <m:t>MAD=</m:t>
        </m:r>
        <m:nary>
          <m:naryPr>
            <m:chr m:val="∑"/>
            <m:limLoc m:val="undOvr"/>
            <m:subHide m:val="1"/>
            <m:supHide m:val="1"/>
            <m:ctrlPr>
              <w:rPr>
                <w:rFonts w:ascii="Cambria Math" w:hAnsi="Cambria Math"/>
                <w:i/>
                <w:color w:val="auto"/>
              </w:rPr>
            </m:ctrlPr>
          </m:naryPr>
          <m:sub>
            <m:ctrlPr>
              <w:rPr>
                <w:rFonts w:ascii="Cambria Math" w:hAnsi="Cambria Math"/>
                <w:i/>
                <w:color w:val="auto"/>
              </w:rPr>
            </m:ctrlPr>
          </m:sub>
          <m:sup>
            <m:ctrlPr>
              <w:rPr>
                <w:rFonts w:ascii="Cambria Math" w:hAnsi="Cambria Math"/>
                <w:i/>
                <w:color w:val="auto"/>
              </w:rPr>
            </m:ctrlPr>
          </m:sup>
          <m:e>
            <m:d>
              <m:dPr>
                <m:begChr m:val="|"/>
                <m:endChr m:val="|"/>
                <m:ctrlPr>
                  <w:rPr>
                    <w:rFonts w:ascii="Cambria Math" w:hAnsi="Cambria Math"/>
                    <w:i/>
                    <w:color w:val="auto"/>
                  </w:rPr>
                </m:ctrlPr>
              </m:dPr>
              <m:e>
                <m:f>
                  <m:fPr>
                    <m:ctrlPr>
                      <w:rPr>
                        <w:rFonts w:ascii="Cambria Math" w:hAnsi="Cambria Math"/>
                        <w:i/>
                        <w:color w:val="auto"/>
                      </w:rPr>
                    </m:ctrlPr>
                  </m:fPr>
                  <m:num>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ctrlPr>
                      <w:rPr>
                        <w:rFonts w:ascii="Cambria Math" w:hAnsi="Cambria Math"/>
                        <w:i/>
                        <w:color w:val="auto"/>
                      </w:rPr>
                    </m:ctrlPr>
                  </m:num>
                  <m:den>
                    <m:r>
                      <m:rPr/>
                      <w:rPr>
                        <w:rFonts w:ascii="Cambria Math" w:hAnsi="Cambria Math"/>
                        <w:color w:val="auto"/>
                      </w:rPr>
                      <m:t>n</m:t>
                    </m:r>
                    <m:ctrlPr>
                      <w:rPr>
                        <w:rFonts w:ascii="Cambria Math" w:hAnsi="Cambria Math"/>
                        <w:i/>
                        <w:color w:val="auto"/>
                      </w:rPr>
                    </m:ctrlPr>
                  </m:den>
                </m:f>
                <m:ctrlPr>
                  <w:rPr>
                    <w:rFonts w:ascii="Cambria Math" w:hAnsi="Cambria Math"/>
                    <w:i/>
                    <w:color w:val="auto"/>
                  </w:rPr>
                </m:ctrlPr>
              </m:e>
            </m:d>
            <m:ctrlPr>
              <w:rPr>
                <w:rFonts w:ascii="Cambria Math" w:hAnsi="Cambria Math"/>
                <w:i/>
                <w:color w:val="auto"/>
              </w:rPr>
            </m:ctrlPr>
          </m:e>
        </m:nary>
      </m:oMath>
      <w:r>
        <w:rPr>
          <w:color w:val="auto"/>
        </w:rPr>
        <w:tab/>
      </w:r>
      <w:r>
        <w:rPr>
          <w:color w:val="auto"/>
        </w:rPr>
        <w:t>(2)</w:t>
      </w:r>
    </w:p>
    <w:p>
      <w:pPr>
        <w:tabs>
          <w:tab w:val="left" w:pos="4536"/>
        </w:tabs>
        <w:ind w:firstLine="567"/>
        <w:rPr>
          <w:color w:val="auto"/>
        </w:rPr>
      </w:pPr>
    </w:p>
    <w:p>
      <w:pPr>
        <w:tabs>
          <w:tab w:val="left" w:pos="4536"/>
        </w:tabs>
        <w:rPr>
          <w:color w:val="auto"/>
        </w:rPr>
      </w:pPr>
      <w:r>
        <w:rPr>
          <w:color w:val="auto"/>
        </w:rPr>
        <w:t>Dengan,</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A</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permintaan aktual pada periode t</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peramalan permintaan (forecast) pada periode t</w:t>
      </w:r>
    </w:p>
    <w:p>
      <w:pPr>
        <w:tabs>
          <w:tab w:val="left" w:pos="426"/>
        </w:tabs>
        <w:rPr>
          <w:color w:val="auto"/>
        </w:rPr>
      </w:pPr>
      <w:r>
        <w:rPr>
          <w:color w:val="auto"/>
        </w:rPr>
        <w:t xml:space="preserve">n </w:t>
      </w:r>
      <w:r>
        <w:rPr>
          <w:color w:val="auto"/>
        </w:rPr>
        <w:tab/>
      </w:r>
      <w:r>
        <w:rPr>
          <w:color w:val="auto"/>
        </w:rPr>
        <w:t>: jumlah periode peramalan yang terlibat</w:t>
      </w:r>
    </w:p>
    <w:p>
      <w:pPr>
        <w:tabs>
          <w:tab w:val="left" w:pos="426"/>
        </w:tabs>
        <w:rPr>
          <w:color w:val="auto"/>
        </w:rPr>
      </w:pPr>
    </w:p>
    <w:p>
      <w:pPr>
        <w:pStyle w:val="4"/>
        <w:numPr>
          <w:ilvl w:val="2"/>
          <w:numId w:val="1"/>
        </w:numPr>
        <w:rPr>
          <w:color w:val="auto"/>
        </w:rPr>
      </w:pPr>
      <w:r>
        <w:rPr>
          <w:color w:val="auto"/>
        </w:rPr>
        <w:t>Mean square error (MSE)</w:t>
      </w:r>
    </w:p>
    <w:p>
      <w:pPr>
        <w:ind w:firstLine="567"/>
        <w:rPr>
          <w:color w:val="auto"/>
        </w:rPr>
      </w:pPr>
      <w:r>
        <w:rPr>
          <w:i/>
          <w:color w:val="auto"/>
        </w:rPr>
        <w:t>Mean square error</w:t>
      </w:r>
      <w:r>
        <w:rPr>
          <w:color w:val="auto"/>
        </w:rPr>
        <w:t xml:space="preserve"> adalah metode yang digunakan untuk mengevaluasi metode peramalan dengan merata-ratakan data kesalahan peramalan yang telah dikuadratkan. MSE dirumuskan sebagai berikut [15]:</w:t>
      </w:r>
    </w:p>
    <w:p>
      <w:pPr>
        <w:ind w:firstLine="567"/>
        <w:rPr>
          <w:color w:val="auto"/>
        </w:rPr>
      </w:pPr>
    </w:p>
    <w:p>
      <w:pPr>
        <w:tabs>
          <w:tab w:val="left" w:pos="4536"/>
        </w:tabs>
        <w:ind w:firstLine="567"/>
        <w:rPr>
          <w:color w:val="auto"/>
        </w:rPr>
      </w:pPr>
      <m:oMath>
        <m:r>
          <m:rPr/>
          <w:rPr>
            <w:rFonts w:ascii="Cambria Math" w:hAnsi="Cambria Math"/>
            <w:color w:val="auto"/>
          </w:rPr>
          <m:t>MSE=</m:t>
        </m:r>
        <m:f>
          <m:fPr>
            <m:ctrlPr>
              <w:rPr>
                <w:rFonts w:ascii="Cambria Math" w:hAnsi="Cambria Math"/>
                <w:i/>
                <w:color w:val="auto"/>
              </w:rPr>
            </m:ctrlPr>
          </m:fPr>
          <m:num>
            <m:nary>
              <m:naryPr>
                <m:chr m:val="∑"/>
                <m:limLoc m:val="undOvr"/>
                <m:subHide m:val="1"/>
                <m:supHide m:val="1"/>
                <m:ctrlPr>
                  <w:rPr>
                    <w:rFonts w:ascii="Cambria Math" w:hAnsi="Cambria Math"/>
                    <w:i/>
                    <w:color w:val="auto"/>
                  </w:rPr>
                </m:ctrlPr>
              </m:naryPr>
              <m:sub>
                <m:ctrlPr>
                  <w:rPr>
                    <w:rFonts w:ascii="Cambria Math" w:hAnsi="Cambria Math"/>
                    <w:i/>
                    <w:color w:val="auto"/>
                  </w:rPr>
                </m:ctrlPr>
              </m:sub>
              <m:sup>
                <m:ctrlPr>
                  <w:rPr>
                    <w:rFonts w:ascii="Cambria Math" w:hAnsi="Cambria Math"/>
                    <w:i/>
                    <w:color w:val="auto"/>
                  </w:rPr>
                </m:ctrlPr>
              </m:sup>
              <m:e>
                <m:sSup>
                  <m:sSupPr>
                    <m:ctrlPr>
                      <w:rPr>
                        <w:rFonts w:ascii="Cambria Math" w:hAnsi="Cambria Math"/>
                        <w:i/>
                        <w:color w:val="auto"/>
                      </w:rPr>
                    </m:ctrlPr>
                  </m:sSupPr>
                  <m:e>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ctrlPr>
                      <w:rPr>
                        <w:rFonts w:ascii="Cambria Math" w:hAnsi="Cambria Math"/>
                        <w:i/>
                        <w:color w:val="auto"/>
                      </w:rPr>
                    </m:ctrlPr>
                  </m:e>
                  <m:sup>
                    <m:r>
                      <m:rPr/>
                      <w:rPr>
                        <w:rFonts w:ascii="Cambria Math" w:hAnsi="Cambria Math"/>
                        <w:color w:val="auto"/>
                      </w:rPr>
                      <m:t>2</m:t>
                    </m:r>
                    <m:ctrlPr>
                      <w:rPr>
                        <w:rFonts w:ascii="Cambria Math" w:hAnsi="Cambria Math"/>
                        <w:i/>
                        <w:color w:val="auto"/>
                      </w:rPr>
                    </m:ctrlPr>
                  </m:sup>
                </m:sSup>
                <m:ctrlPr>
                  <w:rPr>
                    <w:rFonts w:ascii="Cambria Math" w:hAnsi="Cambria Math"/>
                    <w:i/>
                    <w:color w:val="auto"/>
                  </w:rPr>
                </m:ctrlPr>
              </m:e>
            </m:nary>
            <m:ctrlPr>
              <w:rPr>
                <w:rFonts w:ascii="Cambria Math" w:hAnsi="Cambria Math"/>
                <w:i/>
                <w:color w:val="auto"/>
              </w:rPr>
            </m:ctrlPr>
          </m:num>
          <m:den>
            <m:r>
              <m:rPr/>
              <w:rPr>
                <w:rFonts w:ascii="Cambria Math" w:hAnsi="Cambria Math"/>
                <w:color w:val="auto"/>
              </w:rPr>
              <m:t>n</m:t>
            </m:r>
            <m:ctrlPr>
              <w:rPr>
                <w:rFonts w:ascii="Cambria Math" w:hAnsi="Cambria Math"/>
                <w:i/>
                <w:color w:val="auto"/>
              </w:rPr>
            </m:ctrlPr>
          </m:den>
        </m:f>
      </m:oMath>
      <w:r>
        <w:rPr>
          <w:color w:val="auto"/>
        </w:rPr>
        <w:tab/>
      </w:r>
      <w:r>
        <w:rPr>
          <w:color w:val="auto"/>
        </w:rPr>
        <w:t>(3)</w:t>
      </w:r>
    </w:p>
    <w:p>
      <w:pPr>
        <w:tabs>
          <w:tab w:val="left" w:pos="4536"/>
        </w:tabs>
        <w:ind w:firstLine="567"/>
        <w:rPr>
          <w:color w:val="auto"/>
        </w:rPr>
      </w:pPr>
    </w:p>
    <w:p>
      <w:pPr>
        <w:tabs>
          <w:tab w:val="left" w:pos="4536"/>
        </w:tabs>
        <w:rPr>
          <w:color w:val="auto"/>
        </w:rPr>
      </w:pPr>
      <w:r>
        <w:rPr>
          <w:color w:val="auto"/>
        </w:rPr>
        <w:t>Dengan,</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A</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permintaan aktual pada periode t</w:t>
      </w:r>
    </w:p>
    <w:p>
      <w:pPr>
        <w:tabs>
          <w:tab w:val="left" w:pos="426"/>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peramalan permintaan (forecast) pada periode t</w:t>
      </w:r>
    </w:p>
    <w:p>
      <w:pPr>
        <w:tabs>
          <w:tab w:val="left" w:pos="426"/>
        </w:tabs>
        <w:rPr>
          <w:color w:val="auto"/>
        </w:rPr>
      </w:pPr>
      <m:oMath>
        <m:r>
          <m:rPr>
            <m:sty m:val="p"/>
          </m:rPr>
          <w:rPr>
            <w:rFonts w:ascii="Cambria Math" w:hAnsi="Cambria Math"/>
            <w:color w:val="auto"/>
          </w:rPr>
          <m:t>n</m:t>
        </m:r>
      </m:oMath>
      <w:r>
        <w:rPr>
          <w:color w:val="auto"/>
        </w:rPr>
        <w:t xml:space="preserve"> </w:t>
      </w:r>
      <w:r>
        <w:rPr>
          <w:color w:val="auto"/>
        </w:rPr>
        <w:tab/>
      </w:r>
      <w:r>
        <w:rPr>
          <w:color w:val="auto"/>
        </w:rPr>
        <w:t>: jumlah periode peramalan yang terlibat</w:t>
      </w:r>
    </w:p>
    <w:p>
      <w:pPr>
        <w:tabs>
          <w:tab w:val="left" w:pos="426"/>
        </w:tabs>
        <w:rPr>
          <w:color w:val="auto"/>
        </w:rPr>
      </w:pPr>
    </w:p>
    <w:p>
      <w:pPr>
        <w:pStyle w:val="4"/>
        <w:numPr>
          <w:ilvl w:val="2"/>
          <w:numId w:val="1"/>
        </w:numPr>
        <w:rPr>
          <w:color w:val="auto"/>
          <w:lang w:val="id-ID"/>
        </w:rPr>
      </w:pPr>
      <w:r>
        <w:rPr>
          <w:color w:val="auto"/>
        </w:rPr>
        <w:t>Mean absolute percentage error (MAPE)</w:t>
      </w:r>
    </w:p>
    <w:p>
      <w:pPr>
        <w:ind w:firstLine="567"/>
        <w:rPr>
          <w:color w:val="auto"/>
        </w:rPr>
      </w:pPr>
      <w:r>
        <w:rPr>
          <w:i/>
          <w:color w:val="auto"/>
        </w:rPr>
        <w:t>Mean absolute percentage error</w:t>
      </w:r>
      <w:r>
        <w:rPr>
          <w:color w:val="auto"/>
        </w:rPr>
        <w:t xml:space="preserve"> merupakan penjumlahan dari setiap kesalahan absolut pada tiap periode setelah mengurangkan nilai peramalan dan nilai aktual pada setiap periode tersebut [15]. MAPE digunakan untuk mengevaluasi hasil peramalan sehingga akan diketahui tingkat akurasi antara peramalan dan aktual. MAPE dirumuskan sebagai berikut [15]:</w:t>
      </w:r>
    </w:p>
    <w:p>
      <w:pPr>
        <w:ind w:firstLine="567"/>
        <w:rPr>
          <w:color w:val="auto"/>
        </w:rPr>
      </w:pPr>
    </w:p>
    <w:p>
      <w:pPr>
        <w:tabs>
          <w:tab w:val="left" w:pos="4536"/>
        </w:tabs>
        <w:ind w:firstLine="567"/>
        <w:rPr>
          <w:color w:val="auto"/>
        </w:rPr>
      </w:pPr>
      <m:oMath>
        <m:r>
          <m:rPr/>
          <w:rPr>
            <w:rFonts w:ascii="Cambria Math" w:hAnsi="Cambria Math"/>
            <w:color w:val="auto"/>
          </w:rPr>
          <m:t>MAPE=</m:t>
        </m:r>
        <m:d>
          <m:dPr>
            <m:ctrlPr>
              <w:rPr>
                <w:rFonts w:ascii="Cambria Math" w:hAnsi="Cambria Math"/>
                <w:i/>
                <w:color w:val="auto"/>
              </w:rPr>
            </m:ctrlPr>
          </m:dPr>
          <m:e>
            <m:f>
              <m:fPr>
                <m:ctrlPr>
                  <w:rPr>
                    <w:rFonts w:ascii="Cambria Math" w:hAnsi="Cambria Math"/>
                    <w:i/>
                    <w:color w:val="auto"/>
                  </w:rPr>
                </m:ctrlPr>
              </m:fPr>
              <m:num>
                <m:r>
                  <m:rPr/>
                  <w:rPr>
                    <w:rFonts w:ascii="Cambria Math" w:hAnsi="Cambria Math"/>
                    <w:color w:val="auto"/>
                  </w:rPr>
                  <m:t>100</m:t>
                </m:r>
                <m:ctrlPr>
                  <w:rPr>
                    <w:rFonts w:ascii="Cambria Math" w:hAnsi="Cambria Math"/>
                    <w:i/>
                    <w:color w:val="auto"/>
                  </w:rPr>
                </m:ctrlPr>
              </m:num>
              <m:den>
                <m:r>
                  <m:rPr/>
                  <w:rPr>
                    <w:rFonts w:ascii="Cambria Math" w:hAnsi="Cambria Math"/>
                    <w:color w:val="auto"/>
                  </w:rPr>
                  <m:t>n</m:t>
                </m:r>
                <m:ctrlPr>
                  <w:rPr>
                    <w:rFonts w:ascii="Cambria Math" w:hAnsi="Cambria Math"/>
                    <w:i/>
                    <w:color w:val="auto"/>
                  </w:rPr>
                </m:ctrlPr>
              </m:den>
            </m:f>
            <m:ctrlPr>
              <w:rPr>
                <w:rFonts w:ascii="Cambria Math" w:hAnsi="Cambria Math"/>
                <w:i/>
                <w:color w:val="auto"/>
              </w:rPr>
            </m:ctrlPr>
          </m:e>
        </m:d>
        <m:nary>
          <m:naryPr>
            <m:chr m:val="∑"/>
            <m:limLoc m:val="undOvr"/>
            <m:subHide m:val="1"/>
            <m:supHide m:val="1"/>
            <m:ctrlPr>
              <w:rPr>
                <w:rFonts w:ascii="Cambria Math" w:hAnsi="Cambria Math"/>
                <w:i/>
                <w:color w:val="auto"/>
              </w:rPr>
            </m:ctrlPr>
          </m:naryPr>
          <m:sub>
            <m:ctrlPr>
              <w:rPr>
                <w:rFonts w:ascii="Cambria Math" w:hAnsi="Cambria Math"/>
                <w:i/>
                <w:color w:val="auto"/>
              </w:rPr>
            </m:ctrlPr>
          </m:sub>
          <m:sup>
            <m:ctrlPr>
              <w:rPr>
                <w:rFonts w:ascii="Cambria Math" w:hAnsi="Cambria Math"/>
                <w:i/>
                <w:color w:val="auto"/>
              </w:rPr>
            </m:ctrlPr>
          </m:sup>
          <m:e>
            <m:d>
              <m:dPr>
                <m:begChr m:val="|"/>
                <m:endChr m:val="|"/>
                <m:ctrlPr>
                  <w:rPr>
                    <w:rFonts w:ascii="Cambria Math" w:hAnsi="Cambria Math"/>
                    <w:i/>
                    <w:color w:val="auto"/>
                  </w:rPr>
                </m:ctrlPr>
              </m:dPr>
              <m:e>
                <m:f>
                  <m:fPr>
                    <m:ctrlPr>
                      <w:rPr>
                        <w:rFonts w:ascii="Cambria Math" w:hAnsi="Cambria Math"/>
                        <w:i/>
                        <w:color w:val="auto"/>
                      </w:rPr>
                    </m:ctrlPr>
                  </m:fPr>
                  <m:num>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r>
                      <m:rPr/>
                      <w:rPr>
                        <w:rFonts w:ascii="Cambria Math" w:hAnsi="Cambria Math"/>
                        <w:color w:val="auto"/>
                      </w:rPr>
                      <m:t>−</m:t>
                    </m:r>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ctrlPr>
                      <w:rPr>
                        <w:rFonts w:ascii="Cambria Math" w:hAnsi="Cambria Math"/>
                        <w:i/>
                        <w:color w:val="auto"/>
                      </w:rPr>
                    </m:ctrlPr>
                  </m:num>
                  <m:den>
                    <m:sSub>
                      <m:sSubPr>
                        <m:ctrlPr>
                          <w:rPr>
                            <w:rFonts w:ascii="Cambria Math" w:hAnsi="Cambria Math"/>
                            <w:i/>
                            <w:color w:val="auto"/>
                          </w:rPr>
                        </m:ctrlPr>
                      </m:sSubPr>
                      <m:e>
                        <m:r>
                          <m:rPr/>
                          <w:rPr>
                            <w:rFonts w:ascii="Cambria Math" w:hAnsi="Cambria Math"/>
                            <w:color w:val="auto"/>
                          </w:rPr>
                          <m:t>A</m:t>
                        </m:r>
                        <m:ctrlPr>
                          <w:rPr>
                            <w:rFonts w:ascii="Cambria Math" w:hAnsi="Cambria Math"/>
                            <w:i/>
                            <w:color w:val="auto"/>
                          </w:rPr>
                        </m:ctrlPr>
                      </m:e>
                      <m:sub>
                        <m:r>
                          <m:rPr/>
                          <w:rPr>
                            <w:rFonts w:ascii="Cambria Math" w:hAnsi="Cambria Math"/>
                            <w:color w:val="auto"/>
                          </w:rPr>
                          <m:t>t</m:t>
                        </m:r>
                        <m:ctrlPr>
                          <w:rPr>
                            <w:rFonts w:ascii="Cambria Math" w:hAnsi="Cambria Math"/>
                            <w:i/>
                            <w:color w:val="auto"/>
                          </w:rPr>
                        </m:ctrlPr>
                      </m:sub>
                    </m:sSub>
                    <m:ctrlPr>
                      <w:rPr>
                        <w:rFonts w:ascii="Cambria Math" w:hAnsi="Cambria Math"/>
                        <w:i/>
                        <w:color w:val="auto"/>
                      </w:rPr>
                    </m:ctrlPr>
                  </m:den>
                </m:f>
                <m:ctrlPr>
                  <w:rPr>
                    <w:rFonts w:ascii="Cambria Math" w:hAnsi="Cambria Math"/>
                    <w:i/>
                    <w:color w:val="auto"/>
                  </w:rPr>
                </m:ctrlPr>
              </m:e>
            </m:d>
            <m:ctrlPr>
              <w:rPr>
                <w:rFonts w:ascii="Cambria Math" w:hAnsi="Cambria Math"/>
                <w:i/>
                <w:color w:val="auto"/>
              </w:rPr>
            </m:ctrlPr>
          </m:e>
        </m:nary>
      </m:oMath>
      <w:r>
        <w:rPr>
          <w:color w:val="auto"/>
        </w:rPr>
        <w:tab/>
      </w:r>
      <w:r>
        <w:rPr>
          <w:color w:val="auto"/>
        </w:rPr>
        <w:t>(4)</w:t>
      </w:r>
    </w:p>
    <w:p>
      <w:pPr>
        <w:tabs>
          <w:tab w:val="left" w:pos="4536"/>
        </w:tabs>
        <w:ind w:firstLine="567"/>
        <w:rPr>
          <w:color w:val="auto"/>
        </w:rPr>
      </w:pPr>
    </w:p>
    <w:p>
      <w:pPr>
        <w:tabs>
          <w:tab w:val="left" w:pos="4536"/>
        </w:tabs>
        <w:rPr>
          <w:color w:val="auto"/>
        </w:rPr>
      </w:pPr>
      <w:r>
        <w:rPr>
          <w:color w:val="auto"/>
        </w:rPr>
        <w:t>dengan,</w:t>
      </w:r>
    </w:p>
    <w:p>
      <w:pPr>
        <w:tabs>
          <w:tab w:val="left" w:pos="567"/>
          <w:tab w:val="left" w:pos="4536"/>
        </w:tabs>
        <w:rPr>
          <w:color w:val="auto"/>
        </w:rPr>
      </w:pPr>
      <m:oMath>
        <m:sSub>
          <m:sSubPr>
            <m:ctrlPr>
              <w:rPr>
                <w:rFonts w:ascii="Cambria Math" w:hAnsi="Cambria Math"/>
                <w:color w:val="auto"/>
              </w:rPr>
            </m:ctrlPr>
          </m:sSubPr>
          <m:e>
            <m:r>
              <m:rPr>
                <m:sty m:val="p"/>
              </m:rPr>
              <w:rPr>
                <w:rFonts w:ascii="Cambria Math" w:hAnsi="Cambria Math"/>
                <w:color w:val="auto"/>
              </w:rPr>
              <m:t>A</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ab/>
      </w:r>
      <w:r>
        <w:rPr>
          <w:color w:val="auto"/>
        </w:rPr>
        <w:t>: permintaan aktual pada periode t</w:t>
      </w:r>
    </w:p>
    <w:p>
      <w:pPr>
        <w:tabs>
          <w:tab w:val="left" w:pos="567"/>
        </w:tabs>
        <w:rPr>
          <w:color w:val="auto"/>
        </w:rPr>
      </w:pPr>
      <m:oMath>
        <m:sSub>
          <m:sSubPr>
            <m:ctrlPr>
              <w:rPr>
                <w:rFonts w:ascii="Cambria Math" w:hAnsi="Cambria Math"/>
                <w:color w:val="auto"/>
              </w:rPr>
            </m:ctrlPr>
          </m:sSubPr>
          <m:e>
            <m:r>
              <m:rPr>
                <m:sty m:val="p"/>
              </m:rPr>
              <w:rPr>
                <w:rFonts w:ascii="Cambria Math" w:hAnsi="Cambria Math"/>
                <w:color w:val="auto"/>
              </w:rPr>
              <m:t>F</m:t>
            </m:r>
            <m:ctrlPr>
              <w:rPr>
                <w:rFonts w:ascii="Cambria Math" w:hAnsi="Cambria Math"/>
                <w:color w:val="auto"/>
              </w:rPr>
            </m:ctrlPr>
          </m:e>
          <m:sub>
            <m:r>
              <m:rPr>
                <m:sty m:val="p"/>
              </m:rPr>
              <w:rPr>
                <w:rFonts w:ascii="Cambria Math" w:hAnsi="Cambria Math"/>
                <w:color w:val="auto"/>
              </w:rPr>
              <m:t>t</m:t>
            </m:r>
            <m:ctrlPr>
              <w:rPr>
                <w:rFonts w:ascii="Cambria Math" w:hAnsi="Cambria Math"/>
                <w:color w:val="auto"/>
              </w:rPr>
            </m:ctrlPr>
          </m:sub>
        </m:sSub>
      </m:oMath>
      <w:r>
        <w:rPr>
          <w:color w:val="auto"/>
        </w:rPr>
        <w:t xml:space="preserve"> </w:t>
      </w:r>
      <w:r>
        <w:rPr>
          <w:color w:val="auto"/>
        </w:rPr>
        <w:tab/>
      </w:r>
      <w:r>
        <w:rPr>
          <w:color w:val="auto"/>
        </w:rPr>
        <w:t>: peramalan permintaan pada periode t</w:t>
      </w:r>
    </w:p>
    <w:p>
      <w:pPr>
        <w:tabs>
          <w:tab w:val="left" w:pos="567"/>
        </w:tabs>
        <w:rPr>
          <w:color w:val="auto"/>
          <w:sz w:val="16"/>
        </w:rPr>
      </w:pPr>
      <m:oMath>
        <m:r>
          <m:rPr>
            <m:sty m:val="p"/>
          </m:rPr>
          <w:rPr>
            <w:rFonts w:ascii="Cambria Math" w:hAnsi="Cambria Math"/>
            <w:color w:val="auto"/>
          </w:rPr>
          <m:t>n</m:t>
        </m:r>
      </m:oMath>
      <w:r>
        <w:rPr>
          <w:color w:val="auto"/>
        </w:rPr>
        <w:t xml:space="preserve">  </w:t>
      </w:r>
      <w:r>
        <w:rPr>
          <w:color w:val="auto"/>
        </w:rPr>
        <w:tab/>
      </w:r>
      <w:r>
        <w:rPr>
          <w:color w:val="auto"/>
        </w:rPr>
        <w:t>: jumlah periode peramalan yang terlibat</w:t>
      </w:r>
    </w:p>
    <w:p>
      <w:pPr>
        <w:spacing w:line="360" w:lineRule="auto"/>
        <w:ind w:left="851"/>
        <w:rPr>
          <w:color w:val="auto"/>
          <w:sz w:val="16"/>
        </w:rPr>
      </w:pPr>
    </w:p>
    <w:p>
      <w:pPr>
        <w:spacing w:line="360" w:lineRule="auto"/>
        <w:ind w:left="851"/>
        <w:rPr>
          <w:color w:val="auto"/>
          <w:sz w:val="16"/>
        </w:rPr>
      </w:pPr>
      <w:r>
        <w:rPr>
          <w:color w:val="auto"/>
          <w:sz w:val="16"/>
        </w:rPr>
        <w:t>Tabel 1. Skala Performa Peramalan</w:t>
      </w:r>
    </w:p>
    <w:tbl>
      <w:tblPr>
        <w:tblStyle w:val="26"/>
        <w:tblW w:w="0" w:type="auto"/>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471"/>
        <w:gridCol w:w="1931"/>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b/>
                <w:color w:val="auto"/>
                <w:sz w:val="16"/>
                <w:szCs w:val="16"/>
              </w:rPr>
            </w:pPr>
            <w:r>
              <w:rPr>
                <w:rFonts w:eastAsia="Calibri" w:cs="Arial"/>
                <w:b/>
                <w:color w:val="auto"/>
                <w:sz w:val="16"/>
                <w:szCs w:val="16"/>
              </w:rPr>
              <w:t>MAPE</w:t>
            </w:r>
          </w:p>
        </w:tc>
        <w:tc>
          <w:tcPr>
            <w:tcW w:w="1931" w:type="dxa"/>
            <w:vAlign w:val="center"/>
          </w:tcPr>
          <w:p>
            <w:pPr>
              <w:ind w:left="179"/>
              <w:jc w:val="center"/>
              <w:rPr>
                <w:rFonts w:eastAsia="Calibri" w:cs="Arial"/>
                <w:b/>
                <w:color w:val="auto"/>
                <w:sz w:val="16"/>
                <w:szCs w:val="16"/>
              </w:rPr>
            </w:pPr>
            <w:r>
              <w:rPr>
                <w:rFonts w:eastAsia="Calibri" w:cs="Arial"/>
                <w:b/>
                <w:color w:val="auto"/>
                <w:sz w:val="16"/>
                <w:szCs w:val="16"/>
              </w:rPr>
              <w:t>Hasil Peramalan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&lt;10%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Sangat Baik</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10-20%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Baik</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20-50%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Layak/Cukup</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70" w:hRule="atLeast"/>
          <w:jc w:val="center"/>
        </w:trPr>
        <w:tc>
          <w:tcPr>
            <w:tcW w:w="1471" w:type="dxa"/>
            <w:vAlign w:val="center"/>
          </w:tcPr>
          <w:p>
            <w:pPr>
              <w:jc w:val="center"/>
              <w:rPr>
                <w:rFonts w:eastAsia="Calibri" w:cs="Arial"/>
                <w:color w:val="auto"/>
                <w:sz w:val="16"/>
                <w:szCs w:val="16"/>
              </w:rPr>
            </w:pPr>
            <w:r>
              <w:rPr>
                <w:rFonts w:eastAsia="Calibri" w:cs="Arial"/>
                <w:color w:val="auto"/>
                <w:sz w:val="16"/>
                <w:szCs w:val="16"/>
              </w:rPr>
              <w:t>&gt;50%</w:t>
            </w:r>
          </w:p>
        </w:tc>
        <w:tc>
          <w:tcPr>
            <w:tcW w:w="1931" w:type="dxa"/>
            <w:vAlign w:val="center"/>
          </w:tcPr>
          <w:p>
            <w:pPr>
              <w:ind w:left="179"/>
              <w:jc w:val="center"/>
              <w:rPr>
                <w:rFonts w:eastAsia="Calibri" w:cs="Arial"/>
                <w:color w:val="auto"/>
                <w:sz w:val="16"/>
                <w:szCs w:val="16"/>
              </w:rPr>
            </w:pPr>
            <w:r>
              <w:rPr>
                <w:rFonts w:eastAsia="Calibri" w:cs="Arial"/>
                <w:color w:val="auto"/>
                <w:sz w:val="16"/>
                <w:szCs w:val="16"/>
              </w:rPr>
              <w:t>Buruk</w:t>
            </w:r>
          </w:p>
        </w:tc>
      </w:tr>
    </w:tbl>
    <w:p>
      <w:pPr>
        <w:ind w:firstLine="432"/>
        <w:rPr>
          <w:color w:val="auto"/>
        </w:rPr>
      </w:pPr>
    </w:p>
    <w:p>
      <w:pPr>
        <w:pStyle w:val="2"/>
        <w:rPr>
          <w:color w:val="auto"/>
        </w:rPr>
      </w:pPr>
      <w:r>
        <w:rPr>
          <w:color w:val="auto"/>
        </w:rPr>
        <w:t>Hasil dan Pembahasan</w:t>
      </w:r>
    </w:p>
    <w:p>
      <w:pPr>
        <w:ind w:firstLine="720" w:firstLineChars="0"/>
        <w:rPr>
          <w:color w:val="auto"/>
        </w:rPr>
      </w:pPr>
      <w:r>
        <w:rPr>
          <w:color w:val="auto"/>
        </w:rPr>
        <w:t>Jumlah pendapatan komoditas yang menjadi produk usaha terminal konvensional pada tahun 2020 di PT. Pelabuhan Indonesia II Cabang Palembang dibagi menjadi dua periode setiap tahunnya, yaitu periode pertama yang dimulai dari bulan Januari hingga Juni serta periode kedua yang dimulai dari bulan Juli hingga Desember. Data komoditas produk produk di Pelabuhan Palembang pada tahun 2020 disajikan pada Tabel 2 dan 3 di bawah ini</w:t>
      </w:r>
    </w:p>
    <w:p>
      <w:pPr>
        <w:rPr>
          <w:color w:val="auto"/>
          <w:sz w:val="20"/>
          <w:szCs w:val="20"/>
        </w:rPr>
        <w:sectPr>
          <w:type w:val="continuous"/>
          <w:pgSz w:w="11909" w:h="16834"/>
          <w:pgMar w:top="1152" w:right="806" w:bottom="1728" w:left="806" w:header="720" w:footer="1008" w:gutter="0"/>
          <w:pgNumType w:fmt="decimal"/>
          <w:cols w:space="245" w:num="2"/>
          <w:titlePg/>
          <w:docGrid w:linePitch="360" w:charSpace="0"/>
        </w:sectPr>
      </w:pPr>
    </w:p>
    <w:p>
      <w:pPr>
        <w:rPr>
          <w:color w:val="auto"/>
          <w:sz w:val="20"/>
          <w:szCs w:val="20"/>
        </w:rPr>
      </w:pPr>
    </w:p>
    <w:p>
      <w:pPr>
        <w:rPr>
          <w:color w:val="auto"/>
          <w:sz w:val="20"/>
          <w:szCs w:val="20"/>
        </w:rPr>
      </w:pPr>
      <w:r>
        <w:rPr>
          <w:color w:val="auto"/>
          <w:sz w:val="20"/>
          <w:szCs w:val="20"/>
        </w:rPr>
        <w:t>Tabel 2. Data komoditas produk di PT. Pelabuhan Indonesia II Cabang Palembang periode Januari-Juni 2020</w:t>
      </w:r>
    </w:p>
    <w:p>
      <w:pPr>
        <w:rPr>
          <w:color w:val="auto"/>
          <w:sz w:val="16"/>
          <w:szCs w:val="16"/>
        </w:rPr>
      </w:pPr>
    </w:p>
    <w:tbl>
      <w:tblPr>
        <w:tblStyle w:val="26"/>
        <w:tblW w:w="10344"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540"/>
        <w:gridCol w:w="1668"/>
        <w:gridCol w:w="1130"/>
        <w:gridCol w:w="1275"/>
        <w:gridCol w:w="1088"/>
        <w:gridCol w:w="1088"/>
        <w:gridCol w:w="1088"/>
        <w:gridCol w:w="1235"/>
        <w:gridCol w:w="1232"/>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22" w:hRule="atLeast"/>
        </w:trPr>
        <w:tc>
          <w:tcPr>
            <w:tcW w:w="540" w:type="dxa"/>
            <w:vMerge w:val="restart"/>
            <w:vAlign w:val="center"/>
          </w:tcPr>
          <w:p>
            <w:pPr>
              <w:jc w:val="center"/>
              <w:rPr>
                <w:rFonts w:eastAsia="Calibri" w:cs="Arial"/>
                <w:b/>
                <w:color w:val="auto"/>
                <w:sz w:val="16"/>
                <w:szCs w:val="16"/>
              </w:rPr>
            </w:pPr>
            <w:r>
              <w:rPr>
                <w:rFonts w:eastAsia="Calibri" w:cs="Arial"/>
                <w:b/>
                <w:color w:val="auto"/>
                <w:sz w:val="16"/>
                <w:szCs w:val="16"/>
              </w:rPr>
              <w:t>No</w:t>
            </w:r>
          </w:p>
        </w:tc>
        <w:tc>
          <w:tcPr>
            <w:tcW w:w="1668" w:type="dxa"/>
            <w:vMerge w:val="restart"/>
            <w:vAlign w:val="center"/>
          </w:tcPr>
          <w:p>
            <w:pPr>
              <w:jc w:val="center"/>
              <w:rPr>
                <w:rFonts w:eastAsia="Calibri" w:cs="Arial"/>
                <w:b/>
                <w:color w:val="auto"/>
                <w:sz w:val="16"/>
                <w:szCs w:val="16"/>
              </w:rPr>
            </w:pPr>
            <w:r>
              <w:rPr>
                <w:rFonts w:eastAsia="Calibri" w:cs="Arial"/>
                <w:b/>
                <w:color w:val="auto"/>
                <w:sz w:val="16"/>
                <w:szCs w:val="16"/>
              </w:rPr>
              <w:t>Komoditas</w:t>
            </w:r>
          </w:p>
        </w:tc>
        <w:tc>
          <w:tcPr>
            <w:tcW w:w="6904" w:type="dxa"/>
            <w:gridSpan w:val="6"/>
            <w:vAlign w:val="center"/>
          </w:tcPr>
          <w:p>
            <w:pPr>
              <w:jc w:val="center"/>
              <w:rPr>
                <w:rFonts w:eastAsia="Calibri" w:cs="Arial"/>
                <w:b/>
                <w:color w:val="auto"/>
                <w:sz w:val="16"/>
                <w:szCs w:val="16"/>
              </w:rPr>
            </w:pPr>
            <w:r>
              <w:rPr>
                <w:rFonts w:eastAsia="Calibri" w:cs="Arial"/>
                <w:b/>
                <w:color w:val="auto"/>
                <w:sz w:val="16"/>
                <w:szCs w:val="16"/>
              </w:rPr>
              <w:t>Jumlah (Ton)</w:t>
            </w:r>
          </w:p>
        </w:tc>
        <w:tc>
          <w:tcPr>
            <w:tcW w:w="1232" w:type="dxa"/>
            <w:vMerge w:val="restart"/>
            <w:vAlign w:val="center"/>
          </w:tcPr>
          <w:p>
            <w:pPr>
              <w:jc w:val="center"/>
              <w:rPr>
                <w:rFonts w:eastAsia="Calibri" w:cs="Arial"/>
                <w:b/>
                <w:color w:val="auto"/>
                <w:sz w:val="16"/>
                <w:szCs w:val="16"/>
              </w:rPr>
            </w:pPr>
            <w:r>
              <w:rPr>
                <w:rFonts w:eastAsia="Calibri" w:cs="Arial"/>
                <w:b/>
                <w:color w:val="auto"/>
                <w:sz w:val="16"/>
                <w:szCs w:val="16"/>
              </w:rPr>
              <w:t>Total</w:t>
            </w:r>
          </w:p>
          <w:p>
            <w:pPr>
              <w:jc w:val="center"/>
              <w:rPr>
                <w:rFonts w:eastAsia="Calibri" w:cs="Arial"/>
                <w:b/>
                <w:color w:val="auto"/>
                <w:sz w:val="16"/>
                <w:szCs w:val="16"/>
              </w:rPr>
            </w:pPr>
            <w:r>
              <w:rPr>
                <w:rFonts w:eastAsia="Calibri" w:cs="Arial"/>
                <w:b/>
                <w:color w:val="auto"/>
                <w:sz w:val="16"/>
                <w:szCs w:val="16"/>
              </w:rPr>
              <w:t>(Ton)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Merge w:val="continue"/>
            <w:vAlign w:val="center"/>
          </w:tcPr>
          <w:p>
            <w:pPr>
              <w:jc w:val="center"/>
              <w:rPr>
                <w:rFonts w:eastAsia="Calibri" w:cs="Arial"/>
                <w:b/>
                <w:color w:val="auto"/>
                <w:sz w:val="16"/>
                <w:szCs w:val="16"/>
              </w:rPr>
            </w:pPr>
          </w:p>
        </w:tc>
        <w:tc>
          <w:tcPr>
            <w:tcW w:w="1668" w:type="dxa"/>
            <w:vMerge w:val="continue"/>
            <w:vAlign w:val="center"/>
          </w:tcPr>
          <w:p>
            <w:pPr>
              <w:jc w:val="center"/>
              <w:rPr>
                <w:rFonts w:eastAsia="Calibri" w:cs="Arial"/>
                <w:b/>
                <w:color w:val="auto"/>
                <w:sz w:val="16"/>
                <w:szCs w:val="16"/>
              </w:rPr>
            </w:pPr>
          </w:p>
        </w:tc>
        <w:tc>
          <w:tcPr>
            <w:tcW w:w="1130" w:type="dxa"/>
            <w:vAlign w:val="center"/>
          </w:tcPr>
          <w:p>
            <w:pPr>
              <w:jc w:val="center"/>
              <w:rPr>
                <w:rFonts w:eastAsia="Calibri" w:cs="Arial"/>
                <w:b/>
                <w:color w:val="auto"/>
                <w:sz w:val="16"/>
                <w:szCs w:val="16"/>
              </w:rPr>
            </w:pPr>
            <w:r>
              <w:rPr>
                <w:rFonts w:eastAsia="Calibri" w:cs="Arial"/>
                <w:b/>
                <w:color w:val="auto"/>
                <w:sz w:val="16"/>
                <w:szCs w:val="16"/>
              </w:rPr>
              <w:t>Januari</w:t>
            </w:r>
          </w:p>
        </w:tc>
        <w:tc>
          <w:tcPr>
            <w:tcW w:w="1275" w:type="dxa"/>
            <w:vAlign w:val="center"/>
          </w:tcPr>
          <w:p>
            <w:pPr>
              <w:jc w:val="center"/>
              <w:rPr>
                <w:rFonts w:eastAsia="Calibri" w:cs="Arial"/>
                <w:b/>
                <w:color w:val="auto"/>
                <w:sz w:val="16"/>
                <w:szCs w:val="16"/>
              </w:rPr>
            </w:pPr>
            <w:r>
              <w:rPr>
                <w:rFonts w:eastAsia="Calibri" w:cs="Arial"/>
                <w:b/>
                <w:color w:val="auto"/>
                <w:sz w:val="16"/>
                <w:szCs w:val="16"/>
              </w:rPr>
              <w:t>Februari</w:t>
            </w:r>
          </w:p>
        </w:tc>
        <w:tc>
          <w:tcPr>
            <w:tcW w:w="1088" w:type="dxa"/>
            <w:vAlign w:val="center"/>
          </w:tcPr>
          <w:p>
            <w:pPr>
              <w:jc w:val="center"/>
              <w:rPr>
                <w:rFonts w:eastAsia="Calibri" w:cs="Arial"/>
                <w:b/>
                <w:color w:val="auto"/>
                <w:sz w:val="16"/>
                <w:szCs w:val="16"/>
              </w:rPr>
            </w:pPr>
            <w:r>
              <w:rPr>
                <w:rFonts w:eastAsia="Calibri" w:cs="Arial"/>
                <w:b/>
                <w:color w:val="auto"/>
                <w:sz w:val="16"/>
                <w:szCs w:val="16"/>
              </w:rPr>
              <w:t>Maret</w:t>
            </w:r>
          </w:p>
        </w:tc>
        <w:tc>
          <w:tcPr>
            <w:tcW w:w="1088" w:type="dxa"/>
            <w:vAlign w:val="center"/>
          </w:tcPr>
          <w:p>
            <w:pPr>
              <w:jc w:val="center"/>
              <w:rPr>
                <w:rFonts w:eastAsia="Calibri" w:cs="Arial"/>
                <w:b/>
                <w:color w:val="auto"/>
                <w:sz w:val="16"/>
                <w:szCs w:val="16"/>
              </w:rPr>
            </w:pPr>
            <w:r>
              <w:rPr>
                <w:rFonts w:eastAsia="Calibri" w:cs="Arial"/>
                <w:b/>
                <w:color w:val="auto"/>
                <w:sz w:val="16"/>
                <w:szCs w:val="16"/>
              </w:rPr>
              <w:t>April</w:t>
            </w:r>
          </w:p>
        </w:tc>
        <w:tc>
          <w:tcPr>
            <w:tcW w:w="1088" w:type="dxa"/>
            <w:vAlign w:val="center"/>
          </w:tcPr>
          <w:p>
            <w:pPr>
              <w:jc w:val="center"/>
              <w:rPr>
                <w:rFonts w:eastAsia="Calibri" w:cs="Arial"/>
                <w:b/>
                <w:color w:val="auto"/>
                <w:sz w:val="16"/>
                <w:szCs w:val="16"/>
              </w:rPr>
            </w:pPr>
            <w:r>
              <w:rPr>
                <w:rFonts w:eastAsia="Calibri" w:cs="Arial"/>
                <w:b/>
                <w:color w:val="auto"/>
                <w:sz w:val="16"/>
                <w:szCs w:val="16"/>
              </w:rPr>
              <w:t>Mei</w:t>
            </w:r>
          </w:p>
        </w:tc>
        <w:tc>
          <w:tcPr>
            <w:tcW w:w="1235" w:type="dxa"/>
            <w:vAlign w:val="center"/>
          </w:tcPr>
          <w:p>
            <w:pPr>
              <w:jc w:val="center"/>
              <w:rPr>
                <w:rFonts w:eastAsia="Calibri" w:cs="Arial"/>
                <w:b/>
                <w:color w:val="auto"/>
                <w:sz w:val="16"/>
                <w:szCs w:val="16"/>
              </w:rPr>
            </w:pPr>
            <w:r>
              <w:rPr>
                <w:rFonts w:eastAsia="Calibri" w:cs="Arial"/>
                <w:b/>
                <w:color w:val="auto"/>
                <w:sz w:val="16"/>
                <w:szCs w:val="16"/>
              </w:rPr>
              <w:t>Juni</w:t>
            </w:r>
          </w:p>
        </w:tc>
        <w:tc>
          <w:tcPr>
            <w:tcW w:w="1232" w:type="dxa"/>
            <w:vMerge w:val="continue"/>
            <w:vAlign w:val="center"/>
          </w:tcPr>
          <w:p>
            <w:pPr>
              <w:jc w:val="center"/>
              <w:rPr>
                <w:rFonts w:eastAsia="Calibri" w:cs="Arial"/>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1.</w:t>
            </w:r>
          </w:p>
        </w:tc>
        <w:tc>
          <w:tcPr>
            <w:tcW w:w="1668" w:type="dxa"/>
            <w:vAlign w:val="center"/>
          </w:tcPr>
          <w:p>
            <w:pPr>
              <w:jc w:val="center"/>
              <w:rPr>
                <w:rFonts w:eastAsia="Calibri" w:cs="Arial"/>
                <w:color w:val="auto"/>
                <w:sz w:val="16"/>
                <w:szCs w:val="16"/>
              </w:rPr>
            </w:pPr>
            <w:r>
              <w:rPr>
                <w:rFonts w:eastAsia="Calibri" w:cs="Arial"/>
                <w:color w:val="auto"/>
                <w:sz w:val="16"/>
                <w:szCs w:val="16"/>
              </w:rPr>
              <w:t>CPO</w:t>
            </w:r>
          </w:p>
        </w:tc>
        <w:tc>
          <w:tcPr>
            <w:tcW w:w="1130" w:type="dxa"/>
            <w:vAlign w:val="center"/>
          </w:tcPr>
          <w:p>
            <w:pPr>
              <w:jc w:val="center"/>
              <w:rPr>
                <w:rFonts w:eastAsia="Calibri" w:cs="Arial"/>
                <w:color w:val="auto"/>
                <w:sz w:val="16"/>
                <w:szCs w:val="16"/>
              </w:rPr>
            </w:pPr>
            <w:r>
              <w:rPr>
                <w:rFonts w:eastAsia="Calibri" w:cs="Arial"/>
                <w:color w:val="auto"/>
                <w:sz w:val="16"/>
                <w:szCs w:val="16"/>
              </w:rPr>
              <w:t>69.513</w:t>
            </w:r>
          </w:p>
        </w:tc>
        <w:tc>
          <w:tcPr>
            <w:tcW w:w="1275" w:type="dxa"/>
            <w:vAlign w:val="center"/>
          </w:tcPr>
          <w:p>
            <w:pPr>
              <w:jc w:val="center"/>
              <w:rPr>
                <w:rFonts w:eastAsia="Calibri" w:cs="Arial"/>
                <w:color w:val="auto"/>
                <w:sz w:val="16"/>
                <w:szCs w:val="16"/>
              </w:rPr>
            </w:pPr>
            <w:r>
              <w:rPr>
                <w:rFonts w:eastAsia="Calibri" w:cs="Arial"/>
                <w:color w:val="auto"/>
                <w:sz w:val="16"/>
                <w:szCs w:val="16"/>
              </w:rPr>
              <w:t>85.647</w:t>
            </w:r>
          </w:p>
        </w:tc>
        <w:tc>
          <w:tcPr>
            <w:tcW w:w="1088" w:type="dxa"/>
            <w:vAlign w:val="center"/>
          </w:tcPr>
          <w:p>
            <w:pPr>
              <w:jc w:val="center"/>
              <w:rPr>
                <w:rFonts w:eastAsia="Calibri" w:cs="Arial"/>
                <w:color w:val="auto"/>
                <w:sz w:val="16"/>
                <w:szCs w:val="16"/>
              </w:rPr>
            </w:pPr>
            <w:r>
              <w:rPr>
                <w:rFonts w:eastAsia="Calibri" w:cs="Arial"/>
                <w:color w:val="auto"/>
                <w:sz w:val="16"/>
                <w:szCs w:val="16"/>
              </w:rPr>
              <w:t>67.116</w:t>
            </w:r>
          </w:p>
        </w:tc>
        <w:tc>
          <w:tcPr>
            <w:tcW w:w="1088" w:type="dxa"/>
            <w:vAlign w:val="center"/>
          </w:tcPr>
          <w:p>
            <w:pPr>
              <w:jc w:val="center"/>
              <w:rPr>
                <w:rFonts w:eastAsia="Calibri" w:cs="Arial"/>
                <w:color w:val="auto"/>
                <w:sz w:val="16"/>
                <w:szCs w:val="16"/>
              </w:rPr>
            </w:pPr>
            <w:r>
              <w:rPr>
                <w:rFonts w:eastAsia="Calibri" w:cs="Arial"/>
                <w:color w:val="auto"/>
                <w:sz w:val="16"/>
                <w:szCs w:val="16"/>
              </w:rPr>
              <w:t>39.213</w:t>
            </w:r>
          </w:p>
        </w:tc>
        <w:tc>
          <w:tcPr>
            <w:tcW w:w="1088" w:type="dxa"/>
            <w:vAlign w:val="center"/>
          </w:tcPr>
          <w:p>
            <w:pPr>
              <w:jc w:val="center"/>
              <w:rPr>
                <w:rFonts w:eastAsia="Calibri" w:cs="Arial"/>
                <w:color w:val="auto"/>
                <w:sz w:val="16"/>
                <w:szCs w:val="16"/>
              </w:rPr>
            </w:pPr>
            <w:r>
              <w:rPr>
                <w:rFonts w:eastAsia="Calibri" w:cs="Arial"/>
                <w:color w:val="auto"/>
                <w:sz w:val="16"/>
                <w:szCs w:val="16"/>
              </w:rPr>
              <w:t>17.339</w:t>
            </w:r>
          </w:p>
        </w:tc>
        <w:tc>
          <w:tcPr>
            <w:tcW w:w="1235" w:type="dxa"/>
            <w:vAlign w:val="center"/>
          </w:tcPr>
          <w:p>
            <w:pPr>
              <w:jc w:val="center"/>
              <w:rPr>
                <w:rFonts w:eastAsia="Calibri" w:cs="Arial"/>
                <w:color w:val="auto"/>
                <w:sz w:val="16"/>
                <w:szCs w:val="16"/>
              </w:rPr>
            </w:pPr>
            <w:r>
              <w:rPr>
                <w:rFonts w:eastAsia="Calibri" w:cs="Arial"/>
                <w:color w:val="auto"/>
                <w:sz w:val="16"/>
                <w:szCs w:val="16"/>
              </w:rPr>
              <w:t>157.882</w:t>
            </w:r>
          </w:p>
        </w:tc>
        <w:tc>
          <w:tcPr>
            <w:tcW w:w="1232" w:type="dxa"/>
            <w:vAlign w:val="center"/>
          </w:tcPr>
          <w:p>
            <w:pPr>
              <w:jc w:val="center"/>
              <w:rPr>
                <w:rFonts w:eastAsia="Calibri" w:cs="Arial"/>
                <w:color w:val="auto"/>
                <w:sz w:val="16"/>
                <w:szCs w:val="16"/>
              </w:rPr>
            </w:pPr>
            <w:r>
              <w:rPr>
                <w:rFonts w:eastAsia="Calibri" w:cs="Arial"/>
                <w:color w:val="auto"/>
                <w:sz w:val="16"/>
                <w:szCs w:val="16"/>
              </w:rPr>
              <w:t>436.710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2.</w:t>
            </w:r>
          </w:p>
        </w:tc>
        <w:tc>
          <w:tcPr>
            <w:tcW w:w="1668" w:type="dxa"/>
            <w:vAlign w:val="center"/>
          </w:tcPr>
          <w:p>
            <w:pPr>
              <w:jc w:val="center"/>
              <w:rPr>
                <w:rFonts w:eastAsia="Calibri" w:cs="Arial"/>
                <w:color w:val="auto"/>
                <w:sz w:val="16"/>
                <w:szCs w:val="16"/>
              </w:rPr>
            </w:pPr>
            <w:r>
              <w:rPr>
                <w:rFonts w:eastAsia="Calibri" w:cs="Arial"/>
                <w:color w:val="auto"/>
                <w:sz w:val="16"/>
                <w:szCs w:val="16"/>
              </w:rPr>
              <w:t>Aspal</w:t>
            </w:r>
          </w:p>
        </w:tc>
        <w:tc>
          <w:tcPr>
            <w:tcW w:w="1130" w:type="dxa"/>
            <w:vAlign w:val="center"/>
          </w:tcPr>
          <w:p>
            <w:pPr>
              <w:jc w:val="center"/>
              <w:rPr>
                <w:rFonts w:eastAsia="Calibri" w:cs="Arial"/>
                <w:color w:val="auto"/>
                <w:sz w:val="16"/>
                <w:szCs w:val="16"/>
              </w:rPr>
            </w:pPr>
            <w:r>
              <w:rPr>
                <w:rFonts w:eastAsia="Calibri" w:cs="Arial"/>
                <w:color w:val="auto"/>
                <w:sz w:val="16"/>
                <w:szCs w:val="16"/>
              </w:rPr>
              <w:t>4.313</w:t>
            </w:r>
          </w:p>
        </w:tc>
        <w:tc>
          <w:tcPr>
            <w:tcW w:w="1275" w:type="dxa"/>
            <w:vAlign w:val="center"/>
          </w:tcPr>
          <w:p>
            <w:pPr>
              <w:jc w:val="center"/>
              <w:rPr>
                <w:rFonts w:eastAsia="Calibri" w:cs="Arial"/>
                <w:color w:val="auto"/>
                <w:sz w:val="16"/>
                <w:szCs w:val="16"/>
              </w:rPr>
            </w:pPr>
            <w:r>
              <w:rPr>
                <w:rFonts w:eastAsia="Calibri" w:cs="Arial"/>
                <w:color w:val="auto"/>
                <w:sz w:val="16"/>
                <w:szCs w:val="16"/>
              </w:rPr>
              <w:t>1.517</w:t>
            </w:r>
          </w:p>
        </w:tc>
        <w:tc>
          <w:tcPr>
            <w:tcW w:w="1088" w:type="dxa"/>
            <w:vAlign w:val="center"/>
          </w:tcPr>
          <w:p>
            <w:pPr>
              <w:jc w:val="center"/>
              <w:rPr>
                <w:rFonts w:eastAsia="Calibri" w:cs="Arial"/>
                <w:color w:val="auto"/>
                <w:sz w:val="16"/>
                <w:szCs w:val="16"/>
              </w:rPr>
            </w:pPr>
            <w:r>
              <w:rPr>
                <w:rFonts w:eastAsia="Calibri" w:cs="Arial"/>
                <w:color w:val="auto"/>
                <w:sz w:val="16"/>
                <w:szCs w:val="16"/>
              </w:rPr>
              <w:t>2.000</w:t>
            </w:r>
          </w:p>
        </w:tc>
        <w:tc>
          <w:tcPr>
            <w:tcW w:w="1088" w:type="dxa"/>
            <w:vAlign w:val="center"/>
          </w:tcPr>
          <w:p>
            <w:pPr>
              <w:jc w:val="center"/>
              <w:rPr>
                <w:rFonts w:eastAsia="Calibri" w:cs="Arial"/>
                <w:color w:val="auto"/>
                <w:sz w:val="16"/>
                <w:szCs w:val="16"/>
              </w:rPr>
            </w:pPr>
            <w:r>
              <w:rPr>
                <w:rFonts w:eastAsia="Calibri" w:cs="Arial"/>
                <w:color w:val="auto"/>
                <w:sz w:val="16"/>
                <w:szCs w:val="16"/>
              </w:rPr>
              <w:t>3.830</w:t>
            </w:r>
          </w:p>
        </w:tc>
        <w:tc>
          <w:tcPr>
            <w:tcW w:w="1088" w:type="dxa"/>
            <w:vAlign w:val="center"/>
          </w:tcPr>
          <w:p>
            <w:pPr>
              <w:jc w:val="center"/>
              <w:rPr>
                <w:rFonts w:eastAsia="Calibri" w:cs="Arial"/>
                <w:color w:val="auto"/>
                <w:sz w:val="16"/>
                <w:szCs w:val="16"/>
              </w:rPr>
            </w:pPr>
            <w:r>
              <w:rPr>
                <w:rFonts w:eastAsia="Calibri" w:cs="Arial"/>
                <w:color w:val="auto"/>
                <w:sz w:val="16"/>
                <w:szCs w:val="16"/>
              </w:rPr>
              <w:t>3.941</w:t>
            </w:r>
          </w:p>
        </w:tc>
        <w:tc>
          <w:tcPr>
            <w:tcW w:w="1235" w:type="dxa"/>
            <w:vAlign w:val="center"/>
          </w:tcPr>
          <w:p>
            <w:pPr>
              <w:jc w:val="center"/>
              <w:rPr>
                <w:rFonts w:eastAsia="Calibri" w:cs="Arial"/>
                <w:color w:val="auto"/>
                <w:sz w:val="16"/>
                <w:szCs w:val="16"/>
              </w:rPr>
            </w:pPr>
            <w:r>
              <w:rPr>
                <w:rFonts w:eastAsia="Calibri" w:cs="Arial"/>
                <w:color w:val="auto"/>
                <w:sz w:val="16"/>
                <w:szCs w:val="16"/>
              </w:rPr>
              <w:t>1.500</w:t>
            </w:r>
          </w:p>
        </w:tc>
        <w:tc>
          <w:tcPr>
            <w:tcW w:w="1232" w:type="dxa"/>
            <w:vAlign w:val="center"/>
          </w:tcPr>
          <w:p>
            <w:pPr>
              <w:jc w:val="center"/>
              <w:rPr>
                <w:rFonts w:eastAsia="Calibri" w:cs="Arial"/>
                <w:color w:val="auto"/>
                <w:sz w:val="16"/>
                <w:szCs w:val="16"/>
              </w:rPr>
            </w:pPr>
            <w:r>
              <w:rPr>
                <w:rFonts w:eastAsia="Calibri" w:cs="Arial"/>
                <w:color w:val="auto"/>
                <w:sz w:val="16"/>
                <w:szCs w:val="16"/>
              </w:rPr>
              <w:t>17.101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3.</w:t>
            </w:r>
          </w:p>
        </w:tc>
        <w:tc>
          <w:tcPr>
            <w:tcW w:w="1668" w:type="dxa"/>
            <w:vAlign w:val="center"/>
          </w:tcPr>
          <w:p>
            <w:pPr>
              <w:jc w:val="center"/>
              <w:rPr>
                <w:rFonts w:eastAsia="Calibri" w:cs="Arial"/>
                <w:color w:val="auto"/>
                <w:sz w:val="16"/>
                <w:szCs w:val="16"/>
              </w:rPr>
            </w:pPr>
            <w:r>
              <w:rPr>
                <w:rFonts w:eastAsia="Calibri" w:cs="Arial"/>
                <w:color w:val="auto"/>
                <w:sz w:val="16"/>
                <w:szCs w:val="16"/>
              </w:rPr>
              <w:t>PKE</w:t>
            </w:r>
          </w:p>
        </w:tc>
        <w:tc>
          <w:tcPr>
            <w:tcW w:w="1130" w:type="dxa"/>
            <w:vAlign w:val="center"/>
          </w:tcPr>
          <w:p>
            <w:pPr>
              <w:jc w:val="center"/>
              <w:rPr>
                <w:rFonts w:eastAsia="Calibri" w:cs="Arial"/>
                <w:color w:val="auto"/>
                <w:sz w:val="16"/>
                <w:szCs w:val="16"/>
              </w:rPr>
            </w:pPr>
            <w:r>
              <w:rPr>
                <w:rFonts w:eastAsia="Calibri" w:cs="Arial"/>
                <w:color w:val="auto"/>
                <w:sz w:val="16"/>
                <w:szCs w:val="16"/>
              </w:rPr>
              <w:t>3.000</w:t>
            </w:r>
          </w:p>
        </w:tc>
        <w:tc>
          <w:tcPr>
            <w:tcW w:w="1275" w:type="dxa"/>
            <w:vAlign w:val="center"/>
          </w:tcPr>
          <w:p>
            <w:pPr>
              <w:jc w:val="center"/>
              <w:rPr>
                <w:rFonts w:eastAsia="Calibri" w:cs="Arial"/>
                <w:color w:val="auto"/>
                <w:sz w:val="16"/>
                <w:szCs w:val="16"/>
              </w:rPr>
            </w:pPr>
            <w:r>
              <w:rPr>
                <w:rFonts w:eastAsia="Calibri" w:cs="Arial"/>
                <w:color w:val="auto"/>
                <w:sz w:val="16"/>
                <w:szCs w:val="16"/>
              </w:rPr>
              <w:t>5.000</w:t>
            </w:r>
          </w:p>
        </w:tc>
        <w:tc>
          <w:tcPr>
            <w:tcW w:w="1088" w:type="dxa"/>
            <w:vAlign w:val="center"/>
          </w:tcPr>
          <w:p>
            <w:pPr>
              <w:jc w:val="center"/>
              <w:rPr>
                <w:rFonts w:eastAsia="Calibri" w:cs="Arial"/>
                <w:color w:val="auto"/>
                <w:sz w:val="16"/>
                <w:szCs w:val="16"/>
              </w:rPr>
            </w:pPr>
            <w:r>
              <w:rPr>
                <w:rFonts w:eastAsia="Calibri" w:cs="Arial"/>
                <w:color w:val="auto"/>
                <w:sz w:val="16"/>
                <w:szCs w:val="16"/>
              </w:rPr>
              <w:t>16.199</w:t>
            </w:r>
          </w:p>
        </w:tc>
        <w:tc>
          <w:tcPr>
            <w:tcW w:w="1088" w:type="dxa"/>
            <w:vAlign w:val="center"/>
          </w:tcPr>
          <w:p>
            <w:pPr>
              <w:jc w:val="center"/>
              <w:rPr>
                <w:rFonts w:eastAsia="Calibri" w:cs="Arial"/>
                <w:color w:val="auto"/>
                <w:sz w:val="16"/>
                <w:szCs w:val="16"/>
              </w:rPr>
            </w:pPr>
            <w:r>
              <w:rPr>
                <w:rFonts w:eastAsia="Calibri" w:cs="Arial"/>
                <w:color w:val="auto"/>
                <w:sz w:val="16"/>
                <w:szCs w:val="16"/>
              </w:rPr>
              <w:t>4.000</w:t>
            </w:r>
          </w:p>
        </w:tc>
        <w:tc>
          <w:tcPr>
            <w:tcW w:w="1088" w:type="dxa"/>
            <w:vAlign w:val="center"/>
          </w:tcPr>
          <w:p>
            <w:pPr>
              <w:jc w:val="center"/>
              <w:rPr>
                <w:rFonts w:eastAsia="Calibri" w:cs="Arial"/>
                <w:color w:val="auto"/>
                <w:sz w:val="16"/>
                <w:szCs w:val="16"/>
              </w:rPr>
            </w:pPr>
            <w:r>
              <w:rPr>
                <w:rFonts w:eastAsia="Calibri" w:cs="Arial"/>
                <w:color w:val="auto"/>
                <w:sz w:val="16"/>
                <w:szCs w:val="16"/>
              </w:rPr>
              <w:t>6.000</w:t>
            </w:r>
          </w:p>
        </w:tc>
        <w:tc>
          <w:tcPr>
            <w:tcW w:w="1235" w:type="dxa"/>
            <w:vAlign w:val="center"/>
          </w:tcPr>
          <w:p>
            <w:pPr>
              <w:jc w:val="center"/>
              <w:rPr>
                <w:rFonts w:eastAsia="Calibri" w:cs="Arial"/>
                <w:color w:val="auto"/>
                <w:sz w:val="16"/>
                <w:szCs w:val="16"/>
              </w:rPr>
            </w:pPr>
            <w:r>
              <w:rPr>
                <w:rFonts w:eastAsia="Calibri" w:cs="Arial"/>
                <w:color w:val="auto"/>
                <w:sz w:val="16"/>
                <w:szCs w:val="16"/>
              </w:rPr>
              <w:t>2.700</w:t>
            </w:r>
          </w:p>
        </w:tc>
        <w:tc>
          <w:tcPr>
            <w:tcW w:w="1232" w:type="dxa"/>
            <w:vAlign w:val="center"/>
          </w:tcPr>
          <w:p>
            <w:pPr>
              <w:jc w:val="center"/>
              <w:rPr>
                <w:rFonts w:eastAsia="Calibri" w:cs="Arial"/>
                <w:color w:val="auto"/>
                <w:sz w:val="16"/>
                <w:szCs w:val="16"/>
              </w:rPr>
            </w:pPr>
            <w:r>
              <w:rPr>
                <w:rFonts w:eastAsia="Calibri" w:cs="Arial"/>
                <w:color w:val="auto"/>
                <w:sz w:val="16"/>
                <w:szCs w:val="16"/>
              </w:rPr>
              <w:t>36.899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540" w:type="dxa"/>
            <w:vAlign w:val="center"/>
          </w:tcPr>
          <w:p>
            <w:pPr>
              <w:jc w:val="center"/>
              <w:rPr>
                <w:rFonts w:eastAsia="Calibri" w:cs="Arial"/>
                <w:color w:val="auto"/>
                <w:sz w:val="16"/>
                <w:szCs w:val="16"/>
              </w:rPr>
            </w:pPr>
            <w:r>
              <w:rPr>
                <w:rFonts w:eastAsia="Calibri" w:cs="Arial"/>
                <w:color w:val="auto"/>
                <w:sz w:val="16"/>
                <w:szCs w:val="16"/>
              </w:rPr>
              <w:t>4.</w:t>
            </w:r>
          </w:p>
        </w:tc>
        <w:tc>
          <w:tcPr>
            <w:tcW w:w="1668" w:type="dxa"/>
            <w:vAlign w:val="center"/>
          </w:tcPr>
          <w:p>
            <w:pPr>
              <w:jc w:val="center"/>
              <w:rPr>
                <w:rFonts w:eastAsia="Calibri" w:cs="Arial"/>
                <w:color w:val="auto"/>
                <w:sz w:val="16"/>
                <w:szCs w:val="16"/>
              </w:rPr>
            </w:pPr>
            <w:r>
              <w:rPr>
                <w:rFonts w:eastAsia="Calibri" w:cs="Arial"/>
                <w:color w:val="auto"/>
                <w:sz w:val="16"/>
                <w:szCs w:val="16"/>
              </w:rPr>
              <w:t>Kopra</w:t>
            </w:r>
          </w:p>
        </w:tc>
        <w:tc>
          <w:tcPr>
            <w:tcW w:w="1130" w:type="dxa"/>
            <w:vAlign w:val="center"/>
          </w:tcPr>
          <w:p>
            <w:pPr>
              <w:jc w:val="center"/>
              <w:rPr>
                <w:rFonts w:eastAsia="Calibri" w:cs="Arial"/>
                <w:color w:val="auto"/>
                <w:sz w:val="16"/>
                <w:szCs w:val="16"/>
              </w:rPr>
            </w:pPr>
            <w:r>
              <w:rPr>
                <w:rFonts w:eastAsia="Calibri" w:cs="Arial"/>
                <w:color w:val="auto"/>
                <w:sz w:val="16"/>
                <w:szCs w:val="16"/>
              </w:rPr>
              <w:t>1.905</w:t>
            </w:r>
          </w:p>
        </w:tc>
        <w:tc>
          <w:tcPr>
            <w:tcW w:w="1275" w:type="dxa"/>
            <w:vAlign w:val="center"/>
          </w:tcPr>
          <w:p>
            <w:pPr>
              <w:jc w:val="center"/>
              <w:rPr>
                <w:rFonts w:eastAsia="Calibri" w:cs="Arial"/>
                <w:color w:val="auto"/>
                <w:sz w:val="16"/>
                <w:szCs w:val="16"/>
              </w:rPr>
            </w:pPr>
            <w:r>
              <w:rPr>
                <w:rFonts w:eastAsia="Calibri" w:cs="Arial"/>
                <w:color w:val="auto"/>
                <w:sz w:val="16"/>
                <w:szCs w:val="16"/>
              </w:rPr>
              <w:t>1.500</w:t>
            </w:r>
          </w:p>
        </w:tc>
        <w:tc>
          <w:tcPr>
            <w:tcW w:w="1088" w:type="dxa"/>
            <w:vAlign w:val="center"/>
          </w:tcPr>
          <w:p>
            <w:pPr>
              <w:jc w:val="center"/>
              <w:rPr>
                <w:rFonts w:eastAsia="Calibri" w:cs="Arial"/>
                <w:color w:val="auto"/>
                <w:sz w:val="16"/>
                <w:szCs w:val="16"/>
              </w:rPr>
            </w:pPr>
            <w:r>
              <w:rPr>
                <w:rFonts w:eastAsia="Calibri" w:cs="Arial"/>
                <w:color w:val="auto"/>
                <w:sz w:val="16"/>
                <w:szCs w:val="16"/>
              </w:rPr>
              <w:t>2.000</w:t>
            </w:r>
          </w:p>
        </w:tc>
        <w:tc>
          <w:tcPr>
            <w:tcW w:w="1088" w:type="dxa"/>
            <w:vAlign w:val="center"/>
          </w:tcPr>
          <w:p>
            <w:pPr>
              <w:jc w:val="center"/>
              <w:rPr>
                <w:rFonts w:eastAsia="Calibri" w:cs="Arial"/>
                <w:color w:val="auto"/>
                <w:sz w:val="16"/>
                <w:szCs w:val="16"/>
              </w:rPr>
            </w:pPr>
            <w:r>
              <w:rPr>
                <w:rFonts w:eastAsia="Calibri" w:cs="Arial"/>
                <w:color w:val="auto"/>
                <w:sz w:val="16"/>
                <w:szCs w:val="16"/>
              </w:rPr>
              <w:t>1.500</w:t>
            </w:r>
          </w:p>
        </w:tc>
        <w:tc>
          <w:tcPr>
            <w:tcW w:w="1088" w:type="dxa"/>
            <w:vAlign w:val="center"/>
          </w:tcPr>
          <w:p>
            <w:pPr>
              <w:jc w:val="center"/>
              <w:rPr>
                <w:rFonts w:eastAsia="Calibri" w:cs="Arial"/>
                <w:color w:val="auto"/>
                <w:sz w:val="16"/>
                <w:szCs w:val="16"/>
              </w:rPr>
            </w:pPr>
            <w:r>
              <w:rPr>
                <w:rFonts w:eastAsia="Calibri" w:cs="Arial"/>
                <w:color w:val="auto"/>
                <w:sz w:val="16"/>
                <w:szCs w:val="16"/>
              </w:rPr>
              <w:t>2.000</w:t>
            </w:r>
          </w:p>
        </w:tc>
        <w:tc>
          <w:tcPr>
            <w:tcW w:w="1235" w:type="dxa"/>
            <w:vAlign w:val="center"/>
          </w:tcPr>
          <w:p>
            <w:pPr>
              <w:jc w:val="center"/>
              <w:rPr>
                <w:rFonts w:eastAsia="Calibri" w:cs="Arial"/>
                <w:color w:val="auto"/>
                <w:sz w:val="16"/>
                <w:szCs w:val="16"/>
              </w:rPr>
            </w:pPr>
            <w:r>
              <w:rPr>
                <w:rFonts w:eastAsia="Calibri" w:cs="Arial"/>
                <w:color w:val="auto"/>
                <w:sz w:val="16"/>
                <w:szCs w:val="16"/>
              </w:rPr>
              <w:t>1.500</w:t>
            </w:r>
          </w:p>
        </w:tc>
        <w:tc>
          <w:tcPr>
            <w:tcW w:w="1232" w:type="dxa"/>
            <w:vAlign w:val="center"/>
          </w:tcPr>
          <w:p>
            <w:pPr>
              <w:jc w:val="center"/>
              <w:rPr>
                <w:rFonts w:eastAsia="Calibri" w:cs="Arial"/>
                <w:color w:val="auto"/>
                <w:sz w:val="16"/>
                <w:szCs w:val="16"/>
              </w:rPr>
            </w:pPr>
            <w:r>
              <w:rPr>
                <w:rFonts w:eastAsia="Calibri" w:cs="Arial"/>
                <w:color w:val="auto"/>
                <w:sz w:val="16"/>
                <w:szCs w:val="16"/>
              </w:rPr>
              <w:t>10.405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96" w:hRule="atLeast"/>
        </w:trPr>
        <w:tc>
          <w:tcPr>
            <w:tcW w:w="540" w:type="dxa"/>
            <w:vAlign w:val="center"/>
          </w:tcPr>
          <w:p>
            <w:pPr>
              <w:jc w:val="center"/>
              <w:rPr>
                <w:rFonts w:eastAsia="Calibri" w:cs="Arial"/>
                <w:color w:val="auto"/>
                <w:sz w:val="16"/>
                <w:szCs w:val="16"/>
              </w:rPr>
            </w:pPr>
          </w:p>
        </w:tc>
        <w:tc>
          <w:tcPr>
            <w:tcW w:w="1668" w:type="dxa"/>
            <w:vAlign w:val="center"/>
          </w:tcPr>
          <w:p>
            <w:pPr>
              <w:jc w:val="center"/>
              <w:rPr>
                <w:rFonts w:eastAsia="Calibri" w:cs="Arial"/>
                <w:color w:val="auto"/>
                <w:sz w:val="16"/>
                <w:szCs w:val="16"/>
              </w:rPr>
            </w:pPr>
            <w:r>
              <w:rPr>
                <w:rFonts w:eastAsia="Calibri" w:cs="Arial"/>
                <w:b/>
                <w:color w:val="auto"/>
                <w:sz w:val="16"/>
                <w:szCs w:val="16"/>
              </w:rPr>
              <w:t xml:space="preserve"> Jumlah</w:t>
            </w:r>
          </w:p>
        </w:tc>
        <w:tc>
          <w:tcPr>
            <w:tcW w:w="1130" w:type="dxa"/>
            <w:vAlign w:val="center"/>
          </w:tcPr>
          <w:p>
            <w:pPr>
              <w:jc w:val="center"/>
              <w:rPr>
                <w:rFonts w:eastAsia="Calibri" w:cs="Arial"/>
                <w:b/>
                <w:color w:val="auto"/>
                <w:sz w:val="16"/>
                <w:szCs w:val="16"/>
              </w:rPr>
            </w:pPr>
            <w:r>
              <w:rPr>
                <w:rFonts w:eastAsia="Calibri" w:cs="Arial"/>
                <w:b/>
                <w:color w:val="auto"/>
                <w:sz w:val="16"/>
                <w:szCs w:val="16"/>
              </w:rPr>
              <w:t>78.731</w:t>
            </w:r>
          </w:p>
        </w:tc>
        <w:tc>
          <w:tcPr>
            <w:tcW w:w="1275" w:type="dxa"/>
            <w:vAlign w:val="center"/>
          </w:tcPr>
          <w:p>
            <w:pPr>
              <w:jc w:val="center"/>
              <w:rPr>
                <w:rFonts w:eastAsia="Calibri" w:cs="Arial"/>
                <w:b/>
                <w:color w:val="auto"/>
                <w:sz w:val="16"/>
                <w:szCs w:val="16"/>
              </w:rPr>
            </w:pPr>
            <w:r>
              <w:rPr>
                <w:rFonts w:eastAsia="Calibri" w:cs="Arial"/>
                <w:b/>
                <w:color w:val="auto"/>
                <w:sz w:val="16"/>
                <w:szCs w:val="16"/>
              </w:rPr>
              <w:t>93.664</w:t>
            </w:r>
          </w:p>
        </w:tc>
        <w:tc>
          <w:tcPr>
            <w:tcW w:w="1088" w:type="dxa"/>
            <w:vAlign w:val="center"/>
          </w:tcPr>
          <w:p>
            <w:pPr>
              <w:jc w:val="center"/>
              <w:rPr>
                <w:rFonts w:eastAsia="Calibri" w:cs="Arial"/>
                <w:b/>
                <w:color w:val="auto"/>
                <w:sz w:val="16"/>
                <w:szCs w:val="16"/>
              </w:rPr>
            </w:pPr>
            <w:r>
              <w:rPr>
                <w:rFonts w:eastAsia="Calibri" w:cs="Arial"/>
                <w:b/>
                <w:color w:val="auto"/>
                <w:sz w:val="16"/>
                <w:szCs w:val="16"/>
              </w:rPr>
              <w:t>87.315</w:t>
            </w:r>
          </w:p>
        </w:tc>
        <w:tc>
          <w:tcPr>
            <w:tcW w:w="1088" w:type="dxa"/>
            <w:vAlign w:val="center"/>
          </w:tcPr>
          <w:p>
            <w:pPr>
              <w:jc w:val="center"/>
              <w:rPr>
                <w:rFonts w:eastAsia="Calibri" w:cs="Arial"/>
                <w:b/>
                <w:color w:val="auto"/>
                <w:sz w:val="16"/>
                <w:szCs w:val="16"/>
              </w:rPr>
            </w:pPr>
            <w:r>
              <w:rPr>
                <w:rFonts w:eastAsia="Calibri" w:cs="Arial"/>
                <w:b/>
                <w:color w:val="auto"/>
                <w:sz w:val="16"/>
                <w:szCs w:val="16"/>
              </w:rPr>
              <w:t>48.543</w:t>
            </w:r>
          </w:p>
        </w:tc>
        <w:tc>
          <w:tcPr>
            <w:tcW w:w="1088" w:type="dxa"/>
            <w:vAlign w:val="center"/>
          </w:tcPr>
          <w:p>
            <w:pPr>
              <w:jc w:val="center"/>
              <w:rPr>
                <w:rFonts w:eastAsia="Calibri" w:cs="Arial"/>
                <w:b/>
                <w:color w:val="auto"/>
                <w:sz w:val="16"/>
                <w:szCs w:val="16"/>
              </w:rPr>
            </w:pPr>
            <w:r>
              <w:rPr>
                <w:rFonts w:eastAsia="Calibri" w:cs="Arial"/>
                <w:b/>
                <w:color w:val="auto"/>
                <w:sz w:val="16"/>
                <w:szCs w:val="16"/>
              </w:rPr>
              <w:t>29.280</w:t>
            </w:r>
          </w:p>
        </w:tc>
        <w:tc>
          <w:tcPr>
            <w:tcW w:w="1235" w:type="dxa"/>
            <w:vAlign w:val="center"/>
          </w:tcPr>
          <w:p>
            <w:pPr>
              <w:jc w:val="center"/>
              <w:rPr>
                <w:rFonts w:eastAsia="Calibri" w:cs="Arial"/>
                <w:b/>
                <w:color w:val="auto"/>
                <w:sz w:val="16"/>
                <w:szCs w:val="16"/>
              </w:rPr>
            </w:pPr>
            <w:r>
              <w:rPr>
                <w:rFonts w:eastAsia="Calibri" w:cs="Arial"/>
                <w:b/>
                <w:color w:val="auto"/>
                <w:sz w:val="16"/>
                <w:szCs w:val="16"/>
              </w:rPr>
              <w:t>163.582</w:t>
            </w:r>
          </w:p>
        </w:tc>
        <w:tc>
          <w:tcPr>
            <w:tcW w:w="1232" w:type="dxa"/>
            <w:vAlign w:val="center"/>
          </w:tcPr>
          <w:p>
            <w:pPr>
              <w:jc w:val="center"/>
              <w:rPr>
                <w:rFonts w:eastAsia="Calibri" w:cs="Arial"/>
                <w:color w:val="auto"/>
                <w:sz w:val="16"/>
                <w:szCs w:val="16"/>
              </w:rPr>
            </w:pPr>
            <w:r>
              <w:rPr>
                <w:rFonts w:eastAsia="Calibri" w:cs="Arial"/>
                <w:b/>
                <w:color w:val="auto"/>
                <w:sz w:val="16"/>
                <w:szCs w:val="16"/>
              </w:rPr>
              <w:t>501.115</w:t>
            </w:r>
          </w:p>
        </w:tc>
      </w:tr>
    </w:tbl>
    <w:p>
      <w:pPr>
        <w:rPr>
          <w:color w:val="auto"/>
          <w:sz w:val="16"/>
          <w:szCs w:val="16"/>
        </w:rPr>
      </w:pPr>
    </w:p>
    <w:p>
      <w:pPr>
        <w:rPr>
          <w:color w:val="auto"/>
          <w:sz w:val="20"/>
          <w:szCs w:val="20"/>
        </w:rPr>
      </w:pPr>
      <w:r>
        <w:rPr>
          <w:color w:val="auto"/>
          <w:sz w:val="20"/>
          <w:szCs w:val="20"/>
        </w:rPr>
        <w:t>Tabel 3. Data komoditas produk di PT. Pelabuhan Indonesia II Cabang Palembang periode Juli-Desember 2020</w:t>
      </w:r>
    </w:p>
    <w:p>
      <w:pPr>
        <w:rPr>
          <w:color w:val="auto"/>
          <w:sz w:val="20"/>
          <w:szCs w:val="20"/>
        </w:rPr>
      </w:pPr>
    </w:p>
    <w:tbl>
      <w:tblPr>
        <w:tblStyle w:val="26"/>
        <w:tblW w:w="10329"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539"/>
        <w:gridCol w:w="1665"/>
        <w:gridCol w:w="1128"/>
        <w:gridCol w:w="1274"/>
        <w:gridCol w:w="1087"/>
        <w:gridCol w:w="1087"/>
        <w:gridCol w:w="1087"/>
        <w:gridCol w:w="1232"/>
        <w:gridCol w:w="1230"/>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126" w:hRule="atLeast"/>
        </w:trPr>
        <w:tc>
          <w:tcPr>
            <w:tcW w:w="539" w:type="dxa"/>
            <w:vMerge w:val="restart"/>
            <w:vAlign w:val="center"/>
          </w:tcPr>
          <w:p>
            <w:pPr>
              <w:jc w:val="center"/>
              <w:rPr>
                <w:rFonts w:eastAsia="Calibri" w:cs="Arial"/>
                <w:b/>
                <w:color w:val="auto"/>
                <w:sz w:val="16"/>
                <w:szCs w:val="16"/>
              </w:rPr>
            </w:pPr>
            <w:r>
              <w:rPr>
                <w:rFonts w:eastAsia="Calibri" w:cs="Arial"/>
                <w:b/>
                <w:color w:val="auto"/>
                <w:sz w:val="16"/>
                <w:szCs w:val="16"/>
              </w:rPr>
              <w:t>No</w:t>
            </w:r>
          </w:p>
        </w:tc>
        <w:tc>
          <w:tcPr>
            <w:tcW w:w="1665" w:type="dxa"/>
            <w:vMerge w:val="restart"/>
            <w:vAlign w:val="center"/>
          </w:tcPr>
          <w:p>
            <w:pPr>
              <w:jc w:val="center"/>
              <w:rPr>
                <w:rFonts w:eastAsia="Calibri" w:cs="Arial"/>
                <w:b/>
                <w:color w:val="auto"/>
                <w:sz w:val="16"/>
                <w:szCs w:val="16"/>
              </w:rPr>
            </w:pPr>
            <w:r>
              <w:rPr>
                <w:rFonts w:eastAsia="Calibri" w:cs="Arial"/>
                <w:b/>
                <w:color w:val="auto"/>
                <w:sz w:val="16"/>
                <w:szCs w:val="16"/>
              </w:rPr>
              <w:t>Komoditas</w:t>
            </w:r>
          </w:p>
        </w:tc>
        <w:tc>
          <w:tcPr>
            <w:tcW w:w="6895" w:type="dxa"/>
            <w:gridSpan w:val="6"/>
            <w:vAlign w:val="center"/>
          </w:tcPr>
          <w:p>
            <w:pPr>
              <w:jc w:val="center"/>
              <w:rPr>
                <w:rFonts w:eastAsia="Calibri" w:cs="Arial"/>
                <w:b/>
                <w:color w:val="auto"/>
                <w:sz w:val="16"/>
                <w:szCs w:val="16"/>
              </w:rPr>
            </w:pPr>
            <w:r>
              <w:rPr>
                <w:rFonts w:eastAsia="Calibri" w:cs="Arial"/>
                <w:b/>
                <w:color w:val="auto"/>
                <w:sz w:val="16"/>
                <w:szCs w:val="16"/>
              </w:rPr>
              <w:t>Jumlah (Ton)</w:t>
            </w:r>
          </w:p>
        </w:tc>
        <w:tc>
          <w:tcPr>
            <w:tcW w:w="1230" w:type="dxa"/>
            <w:vMerge w:val="restart"/>
            <w:vAlign w:val="center"/>
          </w:tcPr>
          <w:p>
            <w:pPr>
              <w:jc w:val="center"/>
              <w:rPr>
                <w:rFonts w:eastAsia="Calibri" w:cs="Arial"/>
                <w:b/>
                <w:color w:val="auto"/>
                <w:sz w:val="16"/>
                <w:szCs w:val="16"/>
              </w:rPr>
            </w:pPr>
            <w:r>
              <w:rPr>
                <w:rFonts w:eastAsia="Calibri" w:cs="Arial"/>
                <w:b/>
                <w:color w:val="auto"/>
                <w:sz w:val="16"/>
                <w:szCs w:val="16"/>
              </w:rPr>
              <w:t>Total</w:t>
            </w:r>
          </w:p>
          <w:p>
            <w:pPr>
              <w:jc w:val="center"/>
              <w:rPr>
                <w:rFonts w:eastAsia="Calibri" w:cs="Arial"/>
                <w:color w:val="auto"/>
                <w:sz w:val="16"/>
                <w:szCs w:val="16"/>
              </w:rPr>
            </w:pPr>
            <w:r>
              <w:rPr>
                <w:rFonts w:eastAsia="Calibri" w:cs="Arial"/>
                <w:b/>
                <w:color w:val="auto"/>
                <w:sz w:val="16"/>
                <w:szCs w:val="16"/>
              </w:rPr>
              <w:t>(Ton)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15" w:hRule="atLeast"/>
        </w:trPr>
        <w:tc>
          <w:tcPr>
            <w:tcW w:w="539" w:type="dxa"/>
            <w:vMerge w:val="continue"/>
            <w:vAlign w:val="center"/>
          </w:tcPr>
          <w:p>
            <w:pPr>
              <w:jc w:val="center"/>
              <w:rPr>
                <w:rFonts w:eastAsia="Calibri" w:cs="Arial"/>
                <w:b/>
                <w:color w:val="auto"/>
                <w:sz w:val="16"/>
                <w:szCs w:val="16"/>
              </w:rPr>
            </w:pPr>
          </w:p>
        </w:tc>
        <w:tc>
          <w:tcPr>
            <w:tcW w:w="1665" w:type="dxa"/>
            <w:vMerge w:val="continue"/>
            <w:vAlign w:val="center"/>
          </w:tcPr>
          <w:p>
            <w:pPr>
              <w:jc w:val="center"/>
              <w:rPr>
                <w:rFonts w:eastAsia="Calibri" w:cs="Arial"/>
                <w:b/>
                <w:color w:val="auto"/>
                <w:sz w:val="16"/>
                <w:szCs w:val="16"/>
              </w:rPr>
            </w:pPr>
          </w:p>
        </w:tc>
        <w:tc>
          <w:tcPr>
            <w:tcW w:w="1128" w:type="dxa"/>
            <w:vAlign w:val="center"/>
          </w:tcPr>
          <w:p>
            <w:pPr>
              <w:jc w:val="center"/>
              <w:rPr>
                <w:rFonts w:eastAsia="Calibri" w:cs="Arial"/>
                <w:b/>
                <w:color w:val="auto"/>
                <w:sz w:val="16"/>
                <w:szCs w:val="16"/>
              </w:rPr>
            </w:pPr>
            <w:r>
              <w:rPr>
                <w:rFonts w:eastAsia="Calibri" w:cs="Arial"/>
                <w:b/>
                <w:color w:val="auto"/>
                <w:sz w:val="16"/>
                <w:szCs w:val="16"/>
              </w:rPr>
              <w:t>Juli</w:t>
            </w:r>
          </w:p>
        </w:tc>
        <w:tc>
          <w:tcPr>
            <w:tcW w:w="1274" w:type="dxa"/>
            <w:vAlign w:val="center"/>
          </w:tcPr>
          <w:p>
            <w:pPr>
              <w:jc w:val="center"/>
              <w:rPr>
                <w:rFonts w:eastAsia="Calibri" w:cs="Arial"/>
                <w:b/>
                <w:color w:val="auto"/>
                <w:sz w:val="16"/>
                <w:szCs w:val="16"/>
              </w:rPr>
            </w:pPr>
            <w:r>
              <w:rPr>
                <w:rFonts w:eastAsia="Calibri" w:cs="Arial"/>
                <w:b/>
                <w:color w:val="auto"/>
                <w:sz w:val="16"/>
                <w:szCs w:val="16"/>
              </w:rPr>
              <w:t>Agustus</w:t>
            </w:r>
          </w:p>
        </w:tc>
        <w:tc>
          <w:tcPr>
            <w:tcW w:w="1087" w:type="dxa"/>
            <w:vAlign w:val="center"/>
          </w:tcPr>
          <w:p>
            <w:pPr>
              <w:jc w:val="center"/>
              <w:rPr>
                <w:rFonts w:eastAsia="Calibri" w:cs="Arial"/>
                <w:b/>
                <w:color w:val="auto"/>
                <w:sz w:val="16"/>
                <w:szCs w:val="16"/>
              </w:rPr>
            </w:pPr>
            <w:r>
              <w:rPr>
                <w:rFonts w:eastAsia="Calibri" w:cs="Arial"/>
                <w:b/>
                <w:color w:val="auto"/>
                <w:sz w:val="16"/>
                <w:szCs w:val="16"/>
              </w:rPr>
              <w:t>September</w:t>
            </w:r>
          </w:p>
        </w:tc>
        <w:tc>
          <w:tcPr>
            <w:tcW w:w="1087" w:type="dxa"/>
            <w:vAlign w:val="center"/>
          </w:tcPr>
          <w:p>
            <w:pPr>
              <w:jc w:val="center"/>
              <w:rPr>
                <w:rFonts w:eastAsia="Calibri" w:cs="Arial"/>
                <w:b/>
                <w:color w:val="auto"/>
                <w:sz w:val="16"/>
                <w:szCs w:val="16"/>
              </w:rPr>
            </w:pPr>
            <w:r>
              <w:rPr>
                <w:rFonts w:eastAsia="Calibri" w:cs="Arial"/>
                <w:b/>
                <w:color w:val="auto"/>
                <w:sz w:val="16"/>
                <w:szCs w:val="16"/>
              </w:rPr>
              <w:t>Oktober</w:t>
            </w:r>
          </w:p>
        </w:tc>
        <w:tc>
          <w:tcPr>
            <w:tcW w:w="1087" w:type="dxa"/>
            <w:vAlign w:val="center"/>
          </w:tcPr>
          <w:p>
            <w:pPr>
              <w:jc w:val="center"/>
              <w:rPr>
                <w:rFonts w:eastAsia="Calibri" w:cs="Arial"/>
                <w:b/>
                <w:color w:val="auto"/>
                <w:sz w:val="16"/>
                <w:szCs w:val="16"/>
              </w:rPr>
            </w:pPr>
            <w:r>
              <w:rPr>
                <w:rFonts w:eastAsia="Calibri" w:cs="Arial"/>
                <w:b/>
                <w:color w:val="auto"/>
                <w:sz w:val="16"/>
                <w:szCs w:val="16"/>
              </w:rPr>
              <w:t>November</w:t>
            </w:r>
          </w:p>
        </w:tc>
        <w:tc>
          <w:tcPr>
            <w:tcW w:w="1232" w:type="dxa"/>
            <w:vAlign w:val="center"/>
          </w:tcPr>
          <w:p>
            <w:pPr>
              <w:jc w:val="center"/>
              <w:rPr>
                <w:rFonts w:eastAsia="Calibri" w:cs="Arial"/>
                <w:b/>
                <w:color w:val="auto"/>
                <w:sz w:val="16"/>
                <w:szCs w:val="16"/>
              </w:rPr>
            </w:pPr>
            <w:r>
              <w:rPr>
                <w:rFonts w:eastAsia="Calibri" w:cs="Arial"/>
                <w:b/>
                <w:color w:val="auto"/>
                <w:sz w:val="16"/>
                <w:szCs w:val="16"/>
              </w:rPr>
              <w:t>Desember</w:t>
            </w:r>
          </w:p>
        </w:tc>
        <w:tc>
          <w:tcPr>
            <w:tcW w:w="1230" w:type="dxa"/>
            <w:vMerge w:val="continue"/>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1.</w:t>
            </w:r>
          </w:p>
        </w:tc>
        <w:tc>
          <w:tcPr>
            <w:tcW w:w="1665" w:type="dxa"/>
            <w:vAlign w:val="center"/>
          </w:tcPr>
          <w:p>
            <w:pPr>
              <w:jc w:val="center"/>
              <w:rPr>
                <w:rFonts w:eastAsia="Calibri" w:cs="Arial"/>
                <w:color w:val="auto"/>
                <w:sz w:val="16"/>
                <w:szCs w:val="16"/>
              </w:rPr>
            </w:pPr>
            <w:r>
              <w:rPr>
                <w:rFonts w:eastAsia="Calibri" w:cs="Arial"/>
                <w:color w:val="auto"/>
                <w:sz w:val="16"/>
                <w:szCs w:val="16"/>
              </w:rPr>
              <w:t>CPO</w:t>
            </w:r>
          </w:p>
        </w:tc>
        <w:tc>
          <w:tcPr>
            <w:tcW w:w="1128" w:type="dxa"/>
            <w:vAlign w:val="center"/>
          </w:tcPr>
          <w:p>
            <w:pPr>
              <w:jc w:val="center"/>
              <w:rPr>
                <w:rFonts w:eastAsia="Calibri" w:cs="Arial"/>
                <w:color w:val="auto"/>
                <w:sz w:val="16"/>
                <w:szCs w:val="16"/>
              </w:rPr>
            </w:pPr>
            <w:r>
              <w:rPr>
                <w:rFonts w:eastAsia="Calibri" w:cs="Arial"/>
                <w:color w:val="auto"/>
                <w:sz w:val="16"/>
                <w:szCs w:val="16"/>
              </w:rPr>
              <w:t>29.859</w:t>
            </w:r>
          </w:p>
        </w:tc>
        <w:tc>
          <w:tcPr>
            <w:tcW w:w="1274" w:type="dxa"/>
            <w:vAlign w:val="center"/>
          </w:tcPr>
          <w:p>
            <w:pPr>
              <w:jc w:val="center"/>
              <w:rPr>
                <w:rFonts w:eastAsia="Calibri" w:cs="Arial"/>
                <w:color w:val="auto"/>
                <w:sz w:val="16"/>
                <w:szCs w:val="16"/>
              </w:rPr>
            </w:pPr>
            <w:r>
              <w:rPr>
                <w:rFonts w:eastAsia="Calibri" w:cs="Arial"/>
                <w:color w:val="auto"/>
                <w:sz w:val="16"/>
                <w:szCs w:val="16"/>
              </w:rPr>
              <w:t>37.250</w:t>
            </w:r>
          </w:p>
        </w:tc>
        <w:tc>
          <w:tcPr>
            <w:tcW w:w="1087" w:type="dxa"/>
            <w:vAlign w:val="center"/>
          </w:tcPr>
          <w:p>
            <w:pPr>
              <w:jc w:val="center"/>
              <w:rPr>
                <w:rFonts w:eastAsia="Calibri" w:cs="Arial"/>
                <w:color w:val="auto"/>
                <w:sz w:val="16"/>
                <w:szCs w:val="16"/>
              </w:rPr>
            </w:pPr>
            <w:r>
              <w:rPr>
                <w:rFonts w:eastAsia="Calibri" w:cs="Arial"/>
                <w:color w:val="auto"/>
                <w:sz w:val="16"/>
                <w:szCs w:val="16"/>
              </w:rPr>
              <w:t>26.687</w:t>
            </w:r>
          </w:p>
        </w:tc>
        <w:tc>
          <w:tcPr>
            <w:tcW w:w="1087" w:type="dxa"/>
            <w:vAlign w:val="center"/>
          </w:tcPr>
          <w:p>
            <w:pPr>
              <w:jc w:val="center"/>
              <w:rPr>
                <w:rFonts w:eastAsia="Calibri" w:cs="Arial"/>
                <w:color w:val="auto"/>
                <w:sz w:val="16"/>
                <w:szCs w:val="16"/>
              </w:rPr>
            </w:pPr>
            <w:r>
              <w:rPr>
                <w:rFonts w:eastAsia="Calibri" w:cs="Arial"/>
                <w:color w:val="auto"/>
                <w:sz w:val="16"/>
                <w:szCs w:val="16"/>
              </w:rPr>
              <w:t>149.076</w:t>
            </w:r>
          </w:p>
        </w:tc>
        <w:tc>
          <w:tcPr>
            <w:tcW w:w="1087" w:type="dxa"/>
            <w:vAlign w:val="center"/>
          </w:tcPr>
          <w:p>
            <w:pPr>
              <w:jc w:val="center"/>
              <w:rPr>
                <w:rFonts w:eastAsia="Calibri" w:cs="Arial"/>
                <w:color w:val="auto"/>
                <w:sz w:val="16"/>
                <w:szCs w:val="16"/>
              </w:rPr>
            </w:pPr>
            <w:r>
              <w:rPr>
                <w:rFonts w:eastAsia="Calibri" w:cs="Arial"/>
                <w:color w:val="auto"/>
                <w:sz w:val="16"/>
                <w:szCs w:val="16"/>
              </w:rPr>
              <w:t>80.632</w:t>
            </w:r>
          </w:p>
        </w:tc>
        <w:tc>
          <w:tcPr>
            <w:tcW w:w="1232" w:type="dxa"/>
            <w:vAlign w:val="center"/>
          </w:tcPr>
          <w:p>
            <w:pPr>
              <w:jc w:val="center"/>
              <w:rPr>
                <w:rFonts w:eastAsia="Calibri" w:cs="Arial"/>
                <w:color w:val="auto"/>
                <w:sz w:val="16"/>
                <w:szCs w:val="16"/>
              </w:rPr>
            </w:pPr>
            <w:r>
              <w:rPr>
                <w:rFonts w:eastAsia="Calibri" w:cs="Arial"/>
                <w:color w:val="auto"/>
                <w:sz w:val="16"/>
                <w:szCs w:val="16"/>
              </w:rPr>
              <w:t>136.664</w:t>
            </w:r>
          </w:p>
        </w:tc>
        <w:tc>
          <w:tcPr>
            <w:tcW w:w="1230" w:type="dxa"/>
            <w:vAlign w:val="center"/>
          </w:tcPr>
          <w:p>
            <w:pPr>
              <w:jc w:val="center"/>
              <w:rPr>
                <w:rFonts w:eastAsia="Calibri" w:cs="Arial"/>
                <w:color w:val="auto"/>
                <w:sz w:val="16"/>
                <w:szCs w:val="16"/>
              </w:rPr>
            </w:pPr>
            <w:r>
              <w:rPr>
                <w:rFonts w:eastAsia="Calibri" w:cs="Arial"/>
                <w:color w:val="auto"/>
                <w:sz w:val="16"/>
                <w:szCs w:val="16"/>
              </w:rPr>
              <w:t>460.168</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2.</w:t>
            </w:r>
          </w:p>
        </w:tc>
        <w:tc>
          <w:tcPr>
            <w:tcW w:w="1665" w:type="dxa"/>
            <w:vAlign w:val="center"/>
          </w:tcPr>
          <w:p>
            <w:pPr>
              <w:jc w:val="center"/>
              <w:rPr>
                <w:rFonts w:eastAsia="Calibri" w:cs="Arial"/>
                <w:color w:val="auto"/>
                <w:sz w:val="16"/>
                <w:szCs w:val="16"/>
              </w:rPr>
            </w:pPr>
            <w:r>
              <w:rPr>
                <w:rFonts w:eastAsia="Calibri" w:cs="Arial"/>
                <w:color w:val="auto"/>
                <w:sz w:val="16"/>
                <w:szCs w:val="16"/>
              </w:rPr>
              <w:t>Aspal</w:t>
            </w:r>
          </w:p>
        </w:tc>
        <w:tc>
          <w:tcPr>
            <w:tcW w:w="1128" w:type="dxa"/>
            <w:vAlign w:val="center"/>
          </w:tcPr>
          <w:p>
            <w:pPr>
              <w:jc w:val="center"/>
              <w:rPr>
                <w:rFonts w:eastAsia="Calibri" w:cs="Arial"/>
                <w:color w:val="auto"/>
                <w:sz w:val="16"/>
                <w:szCs w:val="16"/>
              </w:rPr>
            </w:pPr>
            <w:r>
              <w:rPr>
                <w:rFonts w:eastAsia="Calibri" w:cs="Arial"/>
                <w:color w:val="auto"/>
                <w:sz w:val="16"/>
                <w:szCs w:val="16"/>
              </w:rPr>
              <w:t>5.441</w:t>
            </w:r>
          </w:p>
        </w:tc>
        <w:tc>
          <w:tcPr>
            <w:tcW w:w="1274" w:type="dxa"/>
            <w:vAlign w:val="center"/>
          </w:tcPr>
          <w:p>
            <w:pPr>
              <w:jc w:val="center"/>
              <w:rPr>
                <w:rFonts w:eastAsia="Calibri" w:cs="Arial"/>
                <w:color w:val="auto"/>
                <w:sz w:val="16"/>
                <w:szCs w:val="16"/>
              </w:rPr>
            </w:pPr>
            <w:r>
              <w:rPr>
                <w:rFonts w:eastAsia="Calibri" w:cs="Arial"/>
                <w:color w:val="auto"/>
                <w:sz w:val="16"/>
                <w:szCs w:val="16"/>
              </w:rPr>
              <w:t>3.942</w:t>
            </w:r>
          </w:p>
        </w:tc>
        <w:tc>
          <w:tcPr>
            <w:tcW w:w="1087" w:type="dxa"/>
            <w:vAlign w:val="center"/>
          </w:tcPr>
          <w:p>
            <w:pPr>
              <w:jc w:val="center"/>
              <w:rPr>
                <w:rFonts w:eastAsia="Calibri" w:cs="Arial"/>
                <w:color w:val="auto"/>
                <w:sz w:val="16"/>
                <w:szCs w:val="16"/>
              </w:rPr>
            </w:pPr>
            <w:r>
              <w:rPr>
                <w:rFonts w:eastAsia="Calibri" w:cs="Arial"/>
                <w:color w:val="auto"/>
                <w:sz w:val="16"/>
                <w:szCs w:val="16"/>
              </w:rPr>
              <w:t>5.000</w:t>
            </w:r>
          </w:p>
        </w:tc>
        <w:tc>
          <w:tcPr>
            <w:tcW w:w="1087" w:type="dxa"/>
            <w:vAlign w:val="center"/>
          </w:tcPr>
          <w:p>
            <w:pPr>
              <w:jc w:val="center"/>
              <w:rPr>
                <w:rFonts w:eastAsia="Calibri" w:cs="Arial"/>
                <w:color w:val="auto"/>
                <w:sz w:val="16"/>
                <w:szCs w:val="16"/>
              </w:rPr>
            </w:pPr>
            <w:r>
              <w:rPr>
                <w:rFonts w:eastAsia="Calibri" w:cs="Arial"/>
                <w:color w:val="auto"/>
                <w:sz w:val="16"/>
                <w:szCs w:val="16"/>
              </w:rPr>
              <w:t>4.000</w:t>
            </w:r>
          </w:p>
        </w:tc>
        <w:tc>
          <w:tcPr>
            <w:tcW w:w="1087" w:type="dxa"/>
            <w:vAlign w:val="center"/>
          </w:tcPr>
          <w:p>
            <w:pPr>
              <w:jc w:val="center"/>
              <w:rPr>
                <w:rFonts w:eastAsia="Calibri" w:cs="Arial"/>
                <w:color w:val="auto"/>
                <w:sz w:val="16"/>
                <w:szCs w:val="16"/>
              </w:rPr>
            </w:pPr>
            <w:r>
              <w:rPr>
                <w:rFonts w:eastAsia="Calibri" w:cs="Arial"/>
                <w:color w:val="auto"/>
                <w:sz w:val="16"/>
                <w:szCs w:val="16"/>
              </w:rPr>
              <w:t>7.000</w:t>
            </w:r>
          </w:p>
        </w:tc>
        <w:tc>
          <w:tcPr>
            <w:tcW w:w="1232" w:type="dxa"/>
            <w:vAlign w:val="center"/>
          </w:tcPr>
          <w:p>
            <w:pPr>
              <w:jc w:val="center"/>
              <w:rPr>
                <w:rFonts w:eastAsia="Calibri" w:cs="Arial"/>
                <w:color w:val="auto"/>
                <w:sz w:val="16"/>
                <w:szCs w:val="16"/>
              </w:rPr>
            </w:pPr>
            <w:r>
              <w:rPr>
                <w:rFonts w:eastAsia="Calibri" w:cs="Arial"/>
                <w:color w:val="auto"/>
                <w:sz w:val="16"/>
                <w:szCs w:val="16"/>
              </w:rPr>
              <w:t>3.736</w:t>
            </w:r>
          </w:p>
        </w:tc>
        <w:tc>
          <w:tcPr>
            <w:tcW w:w="1230" w:type="dxa"/>
            <w:vAlign w:val="center"/>
          </w:tcPr>
          <w:p>
            <w:pPr>
              <w:jc w:val="center"/>
              <w:rPr>
                <w:rFonts w:eastAsia="Calibri" w:cs="Arial"/>
                <w:color w:val="auto"/>
                <w:sz w:val="16"/>
                <w:szCs w:val="16"/>
              </w:rPr>
            </w:pPr>
            <w:r>
              <w:rPr>
                <w:rFonts w:eastAsia="Calibri" w:cs="Arial"/>
                <w:color w:val="auto"/>
                <w:sz w:val="16"/>
                <w:szCs w:val="16"/>
              </w:rPr>
              <w:t>29.119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3.</w:t>
            </w:r>
          </w:p>
        </w:tc>
        <w:tc>
          <w:tcPr>
            <w:tcW w:w="1665" w:type="dxa"/>
            <w:vAlign w:val="center"/>
          </w:tcPr>
          <w:p>
            <w:pPr>
              <w:jc w:val="center"/>
              <w:rPr>
                <w:rFonts w:eastAsia="Calibri" w:cs="Arial"/>
                <w:color w:val="auto"/>
                <w:sz w:val="16"/>
                <w:szCs w:val="16"/>
              </w:rPr>
            </w:pPr>
            <w:r>
              <w:rPr>
                <w:rFonts w:eastAsia="Calibri" w:cs="Arial"/>
                <w:color w:val="auto"/>
                <w:sz w:val="16"/>
                <w:szCs w:val="16"/>
              </w:rPr>
              <w:t>PKE</w:t>
            </w:r>
          </w:p>
        </w:tc>
        <w:tc>
          <w:tcPr>
            <w:tcW w:w="1128" w:type="dxa"/>
            <w:vAlign w:val="center"/>
          </w:tcPr>
          <w:p>
            <w:pPr>
              <w:jc w:val="center"/>
              <w:rPr>
                <w:rFonts w:eastAsia="Calibri" w:cs="Arial"/>
                <w:color w:val="auto"/>
                <w:sz w:val="16"/>
                <w:szCs w:val="16"/>
              </w:rPr>
            </w:pPr>
            <w:r>
              <w:rPr>
                <w:rFonts w:eastAsia="Calibri" w:cs="Arial"/>
                <w:color w:val="auto"/>
                <w:sz w:val="16"/>
                <w:szCs w:val="16"/>
              </w:rPr>
              <w:t>3.800</w:t>
            </w:r>
          </w:p>
        </w:tc>
        <w:tc>
          <w:tcPr>
            <w:tcW w:w="1274" w:type="dxa"/>
            <w:vAlign w:val="center"/>
          </w:tcPr>
          <w:p>
            <w:pPr>
              <w:jc w:val="center"/>
              <w:rPr>
                <w:rFonts w:eastAsia="Calibri" w:cs="Arial"/>
                <w:color w:val="auto"/>
                <w:sz w:val="16"/>
                <w:szCs w:val="16"/>
              </w:rPr>
            </w:pPr>
            <w:r>
              <w:rPr>
                <w:rFonts w:eastAsia="Calibri" w:cs="Arial"/>
                <w:color w:val="auto"/>
                <w:sz w:val="16"/>
                <w:szCs w:val="16"/>
              </w:rPr>
              <w:t>1.500</w:t>
            </w:r>
          </w:p>
        </w:tc>
        <w:tc>
          <w:tcPr>
            <w:tcW w:w="1087" w:type="dxa"/>
            <w:vAlign w:val="center"/>
          </w:tcPr>
          <w:p>
            <w:pPr>
              <w:jc w:val="center"/>
              <w:rPr>
                <w:rFonts w:eastAsia="Calibri" w:cs="Arial"/>
                <w:color w:val="auto"/>
                <w:sz w:val="16"/>
                <w:szCs w:val="16"/>
              </w:rPr>
            </w:pPr>
            <w:r>
              <w:rPr>
                <w:rFonts w:eastAsia="Calibri" w:cs="Arial"/>
                <w:color w:val="auto"/>
                <w:sz w:val="16"/>
                <w:szCs w:val="16"/>
              </w:rPr>
              <w:t>3.300</w:t>
            </w:r>
          </w:p>
        </w:tc>
        <w:tc>
          <w:tcPr>
            <w:tcW w:w="1087" w:type="dxa"/>
            <w:vAlign w:val="center"/>
          </w:tcPr>
          <w:p>
            <w:pPr>
              <w:jc w:val="center"/>
              <w:rPr>
                <w:rFonts w:eastAsia="Calibri" w:cs="Arial"/>
                <w:color w:val="auto"/>
                <w:sz w:val="16"/>
                <w:szCs w:val="16"/>
              </w:rPr>
            </w:pPr>
            <w:r>
              <w:rPr>
                <w:rFonts w:eastAsia="Calibri" w:cs="Arial"/>
                <w:color w:val="auto"/>
                <w:sz w:val="16"/>
                <w:szCs w:val="16"/>
              </w:rPr>
              <w:t>2.700</w:t>
            </w:r>
          </w:p>
        </w:tc>
        <w:tc>
          <w:tcPr>
            <w:tcW w:w="1087" w:type="dxa"/>
            <w:vAlign w:val="center"/>
          </w:tcPr>
          <w:p>
            <w:pPr>
              <w:jc w:val="center"/>
              <w:rPr>
                <w:rFonts w:eastAsia="Calibri" w:cs="Arial"/>
                <w:color w:val="auto"/>
                <w:sz w:val="16"/>
                <w:szCs w:val="16"/>
              </w:rPr>
            </w:pPr>
            <w:r>
              <w:rPr>
                <w:rFonts w:eastAsia="Calibri" w:cs="Arial"/>
                <w:color w:val="auto"/>
                <w:sz w:val="16"/>
                <w:szCs w:val="16"/>
              </w:rPr>
              <w:t>6.145</w:t>
            </w:r>
          </w:p>
        </w:tc>
        <w:tc>
          <w:tcPr>
            <w:tcW w:w="1232" w:type="dxa"/>
            <w:vAlign w:val="center"/>
          </w:tcPr>
          <w:p>
            <w:pPr>
              <w:jc w:val="center"/>
              <w:rPr>
                <w:rFonts w:eastAsia="Calibri" w:cs="Arial"/>
                <w:color w:val="auto"/>
                <w:sz w:val="16"/>
                <w:szCs w:val="16"/>
              </w:rPr>
            </w:pPr>
            <w:r>
              <w:rPr>
                <w:rFonts w:eastAsia="Calibri" w:cs="Arial"/>
                <w:color w:val="auto"/>
                <w:sz w:val="16"/>
                <w:szCs w:val="16"/>
              </w:rPr>
              <w:t>16.584</w:t>
            </w:r>
          </w:p>
        </w:tc>
        <w:tc>
          <w:tcPr>
            <w:tcW w:w="1230" w:type="dxa"/>
            <w:vAlign w:val="center"/>
          </w:tcPr>
          <w:p>
            <w:pPr>
              <w:jc w:val="center"/>
              <w:rPr>
                <w:rFonts w:eastAsia="Calibri" w:cs="Arial"/>
                <w:color w:val="auto"/>
                <w:sz w:val="16"/>
                <w:szCs w:val="16"/>
              </w:rPr>
            </w:pPr>
            <w:r>
              <w:rPr>
                <w:rFonts w:eastAsia="Calibri" w:cs="Arial"/>
                <w:color w:val="auto"/>
                <w:sz w:val="16"/>
                <w:szCs w:val="16"/>
              </w:rPr>
              <w:t>34.029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r>
              <w:rPr>
                <w:rFonts w:eastAsia="Calibri" w:cs="Arial"/>
                <w:color w:val="auto"/>
                <w:sz w:val="16"/>
                <w:szCs w:val="16"/>
              </w:rPr>
              <w:t>4.</w:t>
            </w:r>
          </w:p>
        </w:tc>
        <w:tc>
          <w:tcPr>
            <w:tcW w:w="1665" w:type="dxa"/>
            <w:vAlign w:val="center"/>
          </w:tcPr>
          <w:p>
            <w:pPr>
              <w:jc w:val="center"/>
              <w:rPr>
                <w:rFonts w:eastAsia="Calibri" w:cs="Arial"/>
                <w:color w:val="auto"/>
                <w:sz w:val="16"/>
                <w:szCs w:val="16"/>
              </w:rPr>
            </w:pPr>
            <w:r>
              <w:rPr>
                <w:rFonts w:eastAsia="Calibri" w:cs="Arial"/>
                <w:color w:val="auto"/>
                <w:sz w:val="16"/>
                <w:szCs w:val="16"/>
              </w:rPr>
              <w:t>Kopra</w:t>
            </w:r>
          </w:p>
        </w:tc>
        <w:tc>
          <w:tcPr>
            <w:tcW w:w="1128" w:type="dxa"/>
            <w:vAlign w:val="center"/>
          </w:tcPr>
          <w:p>
            <w:pPr>
              <w:jc w:val="center"/>
              <w:rPr>
                <w:rFonts w:eastAsia="Calibri" w:cs="Arial"/>
                <w:color w:val="auto"/>
                <w:sz w:val="16"/>
                <w:szCs w:val="16"/>
              </w:rPr>
            </w:pPr>
            <w:r>
              <w:rPr>
                <w:rFonts w:eastAsia="Calibri" w:cs="Arial"/>
                <w:color w:val="auto"/>
                <w:sz w:val="16"/>
                <w:szCs w:val="16"/>
              </w:rPr>
              <w:t>1.500</w:t>
            </w:r>
          </w:p>
        </w:tc>
        <w:tc>
          <w:tcPr>
            <w:tcW w:w="1274" w:type="dxa"/>
            <w:vAlign w:val="center"/>
          </w:tcPr>
          <w:p>
            <w:pPr>
              <w:jc w:val="center"/>
              <w:rPr>
                <w:rFonts w:eastAsia="Calibri" w:cs="Arial"/>
                <w:color w:val="auto"/>
                <w:sz w:val="16"/>
                <w:szCs w:val="16"/>
              </w:rPr>
            </w:pPr>
            <w:r>
              <w:rPr>
                <w:rFonts w:eastAsia="Calibri" w:cs="Arial"/>
                <w:color w:val="auto"/>
                <w:sz w:val="16"/>
                <w:szCs w:val="16"/>
              </w:rPr>
              <w:t>2.000</w:t>
            </w:r>
          </w:p>
        </w:tc>
        <w:tc>
          <w:tcPr>
            <w:tcW w:w="1087" w:type="dxa"/>
            <w:vAlign w:val="center"/>
          </w:tcPr>
          <w:p>
            <w:pPr>
              <w:jc w:val="center"/>
              <w:rPr>
                <w:rFonts w:eastAsia="Calibri" w:cs="Arial"/>
                <w:color w:val="auto"/>
                <w:sz w:val="16"/>
                <w:szCs w:val="16"/>
              </w:rPr>
            </w:pPr>
            <w:r>
              <w:rPr>
                <w:rFonts w:eastAsia="Calibri" w:cs="Arial"/>
                <w:color w:val="auto"/>
                <w:sz w:val="16"/>
                <w:szCs w:val="16"/>
              </w:rPr>
              <w:t>1.500</w:t>
            </w:r>
          </w:p>
        </w:tc>
        <w:tc>
          <w:tcPr>
            <w:tcW w:w="1087" w:type="dxa"/>
            <w:vAlign w:val="center"/>
          </w:tcPr>
          <w:p>
            <w:pPr>
              <w:jc w:val="center"/>
              <w:rPr>
                <w:rFonts w:eastAsia="Calibri" w:cs="Arial"/>
                <w:color w:val="auto"/>
                <w:sz w:val="16"/>
                <w:szCs w:val="16"/>
              </w:rPr>
            </w:pPr>
            <w:r>
              <w:rPr>
                <w:rFonts w:eastAsia="Calibri" w:cs="Arial"/>
                <w:color w:val="auto"/>
                <w:sz w:val="16"/>
                <w:szCs w:val="16"/>
              </w:rPr>
              <w:t>2.000</w:t>
            </w:r>
          </w:p>
        </w:tc>
        <w:tc>
          <w:tcPr>
            <w:tcW w:w="1087" w:type="dxa"/>
            <w:vAlign w:val="center"/>
          </w:tcPr>
          <w:p>
            <w:pPr>
              <w:jc w:val="center"/>
              <w:rPr>
                <w:rFonts w:eastAsia="Calibri" w:cs="Arial"/>
                <w:color w:val="auto"/>
                <w:sz w:val="16"/>
                <w:szCs w:val="16"/>
              </w:rPr>
            </w:pPr>
            <w:r>
              <w:rPr>
                <w:rFonts w:eastAsia="Calibri" w:cs="Arial"/>
                <w:color w:val="auto"/>
                <w:sz w:val="16"/>
                <w:szCs w:val="16"/>
              </w:rPr>
              <w:t>1.700</w:t>
            </w:r>
          </w:p>
        </w:tc>
        <w:tc>
          <w:tcPr>
            <w:tcW w:w="1232" w:type="dxa"/>
            <w:vAlign w:val="center"/>
          </w:tcPr>
          <w:p>
            <w:pPr>
              <w:jc w:val="center"/>
              <w:rPr>
                <w:rFonts w:eastAsia="Calibri" w:cs="Arial"/>
                <w:color w:val="auto"/>
                <w:sz w:val="16"/>
                <w:szCs w:val="16"/>
              </w:rPr>
            </w:pPr>
            <w:r>
              <w:rPr>
                <w:rFonts w:eastAsia="Calibri" w:cs="Arial"/>
                <w:color w:val="auto"/>
                <w:sz w:val="16"/>
                <w:szCs w:val="16"/>
              </w:rPr>
              <w:t>2.000</w:t>
            </w:r>
          </w:p>
        </w:tc>
        <w:tc>
          <w:tcPr>
            <w:tcW w:w="1230" w:type="dxa"/>
            <w:vAlign w:val="center"/>
          </w:tcPr>
          <w:p>
            <w:pPr>
              <w:jc w:val="center"/>
              <w:rPr>
                <w:rFonts w:eastAsia="Calibri" w:cs="Arial"/>
                <w:color w:val="auto"/>
                <w:sz w:val="16"/>
                <w:szCs w:val="16"/>
              </w:rPr>
            </w:pPr>
            <w:r>
              <w:rPr>
                <w:rFonts w:eastAsia="Calibri" w:cs="Arial"/>
                <w:color w:val="auto"/>
                <w:sz w:val="16"/>
                <w:szCs w:val="16"/>
              </w:rPr>
              <w:t>10.700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539" w:type="dxa"/>
            <w:vAlign w:val="center"/>
          </w:tcPr>
          <w:p>
            <w:pPr>
              <w:jc w:val="center"/>
              <w:rPr>
                <w:rFonts w:eastAsia="Calibri" w:cs="Arial"/>
                <w:color w:val="auto"/>
                <w:sz w:val="16"/>
                <w:szCs w:val="16"/>
              </w:rPr>
            </w:pPr>
          </w:p>
        </w:tc>
        <w:tc>
          <w:tcPr>
            <w:tcW w:w="1665" w:type="dxa"/>
            <w:vAlign w:val="center"/>
          </w:tcPr>
          <w:p>
            <w:pPr>
              <w:jc w:val="center"/>
              <w:rPr>
                <w:rFonts w:eastAsia="Calibri" w:cs="Arial"/>
                <w:color w:val="auto"/>
                <w:sz w:val="16"/>
                <w:szCs w:val="16"/>
              </w:rPr>
            </w:pPr>
            <w:r>
              <w:rPr>
                <w:rFonts w:eastAsia="Calibri" w:cs="Arial"/>
                <w:b/>
                <w:color w:val="auto"/>
                <w:sz w:val="16"/>
                <w:szCs w:val="16"/>
              </w:rPr>
              <w:t>Jumlah</w:t>
            </w:r>
          </w:p>
        </w:tc>
        <w:tc>
          <w:tcPr>
            <w:tcW w:w="1128" w:type="dxa"/>
            <w:vAlign w:val="center"/>
          </w:tcPr>
          <w:p>
            <w:pPr>
              <w:jc w:val="center"/>
              <w:rPr>
                <w:rFonts w:eastAsia="Calibri" w:cs="Arial"/>
                <w:b/>
                <w:color w:val="auto"/>
                <w:sz w:val="16"/>
                <w:szCs w:val="16"/>
              </w:rPr>
            </w:pPr>
            <w:r>
              <w:rPr>
                <w:rFonts w:eastAsia="Calibri" w:cs="Arial"/>
                <w:b/>
                <w:color w:val="auto"/>
                <w:sz w:val="16"/>
                <w:szCs w:val="16"/>
              </w:rPr>
              <w:t>40.600</w:t>
            </w:r>
          </w:p>
        </w:tc>
        <w:tc>
          <w:tcPr>
            <w:tcW w:w="1274" w:type="dxa"/>
            <w:vAlign w:val="center"/>
          </w:tcPr>
          <w:p>
            <w:pPr>
              <w:jc w:val="center"/>
              <w:rPr>
                <w:rFonts w:eastAsia="Calibri" w:cs="Arial"/>
                <w:b/>
                <w:color w:val="auto"/>
                <w:sz w:val="16"/>
                <w:szCs w:val="16"/>
              </w:rPr>
            </w:pPr>
            <w:r>
              <w:rPr>
                <w:rFonts w:eastAsia="Calibri" w:cs="Arial"/>
                <w:b/>
                <w:color w:val="auto"/>
                <w:sz w:val="16"/>
                <w:szCs w:val="16"/>
              </w:rPr>
              <w:t>44.692</w:t>
            </w:r>
          </w:p>
        </w:tc>
        <w:tc>
          <w:tcPr>
            <w:tcW w:w="1087" w:type="dxa"/>
            <w:vAlign w:val="center"/>
          </w:tcPr>
          <w:p>
            <w:pPr>
              <w:jc w:val="center"/>
              <w:rPr>
                <w:rFonts w:eastAsia="Calibri" w:cs="Arial"/>
                <w:b/>
                <w:color w:val="auto"/>
                <w:sz w:val="16"/>
                <w:szCs w:val="16"/>
              </w:rPr>
            </w:pPr>
            <w:r>
              <w:rPr>
                <w:rFonts w:eastAsia="Calibri" w:cs="Arial"/>
                <w:b/>
                <w:color w:val="auto"/>
                <w:sz w:val="16"/>
                <w:szCs w:val="16"/>
              </w:rPr>
              <w:t>36.487</w:t>
            </w:r>
          </w:p>
        </w:tc>
        <w:tc>
          <w:tcPr>
            <w:tcW w:w="1087" w:type="dxa"/>
            <w:vAlign w:val="center"/>
          </w:tcPr>
          <w:p>
            <w:pPr>
              <w:jc w:val="center"/>
              <w:rPr>
                <w:rFonts w:eastAsia="Calibri" w:cs="Arial"/>
                <w:b/>
                <w:color w:val="auto"/>
                <w:sz w:val="16"/>
                <w:szCs w:val="16"/>
              </w:rPr>
            </w:pPr>
            <w:r>
              <w:rPr>
                <w:rFonts w:eastAsia="Calibri" w:cs="Arial"/>
                <w:b/>
                <w:color w:val="auto"/>
                <w:sz w:val="16"/>
                <w:szCs w:val="16"/>
              </w:rPr>
              <w:t>157.776</w:t>
            </w:r>
          </w:p>
        </w:tc>
        <w:tc>
          <w:tcPr>
            <w:tcW w:w="1087" w:type="dxa"/>
            <w:vAlign w:val="center"/>
          </w:tcPr>
          <w:p>
            <w:pPr>
              <w:jc w:val="center"/>
              <w:rPr>
                <w:rFonts w:eastAsia="Calibri" w:cs="Arial"/>
                <w:b/>
                <w:color w:val="auto"/>
                <w:sz w:val="16"/>
                <w:szCs w:val="16"/>
              </w:rPr>
            </w:pPr>
            <w:r>
              <w:rPr>
                <w:rFonts w:eastAsia="Calibri" w:cs="Arial"/>
                <w:b/>
                <w:color w:val="auto"/>
                <w:sz w:val="16"/>
                <w:szCs w:val="16"/>
              </w:rPr>
              <w:t>95.477</w:t>
            </w:r>
          </w:p>
        </w:tc>
        <w:tc>
          <w:tcPr>
            <w:tcW w:w="1232" w:type="dxa"/>
            <w:vAlign w:val="center"/>
          </w:tcPr>
          <w:p>
            <w:pPr>
              <w:jc w:val="center"/>
              <w:rPr>
                <w:rFonts w:eastAsia="Calibri" w:cs="Arial"/>
                <w:b/>
                <w:color w:val="auto"/>
                <w:sz w:val="16"/>
                <w:szCs w:val="16"/>
              </w:rPr>
            </w:pPr>
            <w:r>
              <w:rPr>
                <w:rFonts w:eastAsia="Calibri" w:cs="Arial"/>
                <w:b/>
                <w:color w:val="auto"/>
                <w:sz w:val="16"/>
                <w:szCs w:val="16"/>
              </w:rPr>
              <w:t>158.984</w:t>
            </w:r>
          </w:p>
        </w:tc>
        <w:tc>
          <w:tcPr>
            <w:tcW w:w="1230" w:type="dxa"/>
            <w:vAlign w:val="center"/>
          </w:tcPr>
          <w:p>
            <w:pPr>
              <w:jc w:val="center"/>
              <w:rPr>
                <w:rFonts w:eastAsia="Calibri" w:cs="Arial"/>
                <w:color w:val="auto"/>
                <w:sz w:val="16"/>
                <w:szCs w:val="16"/>
              </w:rPr>
            </w:pPr>
            <w:r>
              <w:rPr>
                <w:rFonts w:eastAsia="Calibri" w:cs="Arial"/>
                <w:b/>
                <w:color w:val="auto"/>
                <w:sz w:val="16"/>
                <w:szCs w:val="16"/>
              </w:rPr>
              <w:t>534.016</w:t>
            </w:r>
          </w:p>
        </w:tc>
      </w:tr>
    </w:tbl>
    <w:p>
      <w:pPr>
        <w:rPr>
          <w:color w:val="auto"/>
          <w:sz w:val="20"/>
          <w:szCs w:val="20"/>
        </w:rPr>
      </w:pPr>
    </w:p>
    <w:p>
      <w:pPr>
        <w:rPr>
          <w:color w:val="auto"/>
          <w:sz w:val="20"/>
          <w:szCs w:val="20"/>
        </w:rPr>
        <w:sectPr>
          <w:type w:val="continuous"/>
          <w:pgSz w:w="11909" w:h="16834"/>
          <w:pgMar w:top="1152" w:right="806" w:bottom="1728" w:left="806" w:header="720" w:footer="1008" w:gutter="0"/>
          <w:pgNumType w:fmt="decimal"/>
          <w:cols w:space="425" w:num="1"/>
          <w:titlePg/>
          <w:docGrid w:linePitch="360" w:charSpace="0"/>
        </w:sectPr>
      </w:pPr>
    </w:p>
    <w:p>
      <w:pPr>
        <w:ind w:firstLine="426"/>
        <w:rPr>
          <w:rFonts w:eastAsia="MS Mincho"/>
          <w:color w:val="auto"/>
        </w:rPr>
      </w:pPr>
      <w:r>
        <w:rPr>
          <w:rFonts w:eastAsia="MS Mincho"/>
          <w:color w:val="auto"/>
        </w:rPr>
        <w:t xml:space="preserve">Jumlah komoditas produk yang melakukan bongkar muat di Pelabuhan Palembang pada tahun 2020 adalah sebanyak 1.035.131 ton dimana didominasi oleh </w:t>
      </w:r>
      <w:r>
        <w:rPr>
          <w:rFonts w:eastAsia="MS Mincho"/>
          <w:i/>
          <w:color w:val="auto"/>
        </w:rPr>
        <w:t>Crude Palm Oil</w:t>
      </w:r>
      <w:r>
        <w:rPr>
          <w:rFonts w:eastAsia="MS Mincho"/>
          <w:color w:val="auto"/>
        </w:rPr>
        <w:t xml:space="preserve"> (CPO) yaitu sebanyak 896.878 ton sedangkan untuk komoditas yang paling rendah adalah kopra dengan jumlah sebanyak 21.105 ton. Jika dilihat dari data komoditas produk tahun 2020, maka komoditas paling banyak dilakukan bongkar muat pada bulan Juni yaitu 163.582 ton sedangkan yang paling sedikit terjadi pada bulan Mei yaitu 29.280 ton. Penelitian ini meramalkan jumlah komoditas di PT. Pelabuhan Indonesia II Cabang Palembang menggunakan dua metode, yaitu </w:t>
      </w:r>
      <w:r>
        <w:rPr>
          <w:rFonts w:eastAsia="MS Mincho"/>
          <w:i/>
          <w:color w:val="auto"/>
        </w:rPr>
        <w:t>moving average</w:t>
      </w:r>
      <w:r>
        <w:rPr>
          <w:rFonts w:eastAsia="MS Mincho"/>
          <w:color w:val="auto"/>
        </w:rPr>
        <w:t xml:space="preserve"> dengan nilai pergerakan n = 3, 5, dan 7 sedangkan </w:t>
      </w:r>
      <w:r>
        <w:rPr>
          <w:rFonts w:eastAsia="MS Mincho"/>
          <w:i/>
          <w:color w:val="auto"/>
        </w:rPr>
        <w:t>exponential smoothing</w:t>
      </w:r>
      <w:r>
        <w:rPr>
          <w:rFonts w:eastAsia="MS Mincho"/>
          <w:color w:val="auto"/>
        </w:rPr>
        <w:t xml:space="preserve"> dengan nilai α = 0,1; 0,3; dan 0,5. Hasil peramalan akan memprediksi jumlah komoditas yang akan dilakukan bongkar muat pada bulan Januari tahun 2021 dan selanjutnya hasil ini akan dibandingkan untuk mengetahui metode yang paling efektif dalam meramalkan jumlah persediaan komoditas di PT. Pelabuhan Indonesia II Cabang Palembang.</w:t>
      </w:r>
    </w:p>
    <w:p>
      <w:pPr>
        <w:pStyle w:val="3"/>
        <w:rPr>
          <w:color w:val="auto"/>
        </w:rPr>
      </w:pPr>
      <w:r>
        <w:rPr>
          <w:color w:val="auto"/>
        </w:rPr>
        <w:t>Peramalan metode moving average</w:t>
      </w:r>
    </w:p>
    <w:p>
      <w:pPr>
        <w:rPr>
          <w:rFonts w:eastAsia="MS Mincho"/>
          <w:color w:val="auto"/>
        </w:rPr>
      </w:pPr>
      <w:r>
        <w:rPr>
          <w:rFonts w:eastAsia="MS Mincho"/>
          <w:color w:val="auto"/>
        </w:rPr>
        <w:t xml:space="preserve">Peramalan persediaan komoditas menggunakan metode </w:t>
      </w:r>
      <w:r>
        <w:rPr>
          <w:rFonts w:eastAsia="MS Mincho"/>
          <w:i/>
          <w:color w:val="auto"/>
        </w:rPr>
        <w:t>moving average</w:t>
      </w:r>
      <w:r>
        <w:rPr>
          <w:rFonts w:eastAsia="MS Mincho"/>
          <w:color w:val="auto"/>
        </w:rPr>
        <w:t xml:space="preserve"> dengan nilai pergerakan 3 bulanan dilakukan mulai dari bulan April, 5 bulanan dilakukan mulai dari bulan Juni, dan 7 bulanan dilakukan mulai dari bulan Agustus 2020. Peramalan persediaan komoditas CPO yang akan dilakukan bongkar muat pada bulan Januari 2021 dengan menggunakan metode </w:t>
      </w:r>
      <w:r>
        <w:rPr>
          <w:rFonts w:eastAsia="MS Mincho"/>
          <w:i/>
          <w:color w:val="auto"/>
        </w:rPr>
        <w:t>moving average</w:t>
      </w:r>
      <w:r>
        <w:rPr>
          <w:rFonts w:eastAsia="MS Mincho"/>
          <w:color w:val="auto"/>
        </w:rPr>
        <w:t xml:space="preserve"> 3, 5, dan 7 bulanan adalah sebagai berikut.</w:t>
      </w:r>
    </w:p>
    <w:p>
      <w:pPr>
        <w:rPr>
          <w:rFonts w:eastAsia="MS Mincho"/>
          <w:color w:val="auto"/>
        </w:rPr>
      </w:pPr>
    </w:p>
    <w:p>
      <w:pPr>
        <w:spacing w:line="360" w:lineRule="auto"/>
        <w:ind w:firstLine="432"/>
        <w:rPr>
          <w:rFonts w:eastAsia="MS Mincho"/>
          <w:i/>
          <w:color w:val="auto"/>
          <w:spacing w:val="-8"/>
        </w:rPr>
      </w:pPr>
      <m:oMathPara>
        <m:oMathParaPr>
          <m:jc m:val="left"/>
        </m:oMathParaPr>
        <m:oMath>
          <m:sSub>
            <m:sSubPr>
              <m:ctrlPr>
                <w:rPr>
                  <w:rFonts w:ascii="Cambria Math" w:hAnsi="Cambria Math"/>
                  <w:color w:val="auto"/>
                  <w:spacing w:val="-8"/>
                  <w:lang w:val="id-ID"/>
                </w:rPr>
              </m:ctrlPr>
            </m:sSubPr>
            <m:e>
              <m:r>
                <m:rPr>
                  <m:sty m:val="p"/>
                </m:rPr>
                <w:rPr>
                  <w:rFonts w:ascii="Cambria Math" w:hAnsi="Cambria Math"/>
                  <w:color w:val="auto"/>
                  <w:spacing w:val="-8"/>
                  <w:lang w:val="id-ID"/>
                </w:rPr>
                <m:t>F</m:t>
              </m:r>
              <m:ctrlPr>
                <w:rPr>
                  <w:rFonts w:ascii="Cambria Math" w:hAnsi="Cambria Math"/>
                  <w:color w:val="auto"/>
                  <w:spacing w:val="-8"/>
                  <w:lang w:val="id-ID"/>
                </w:rPr>
              </m:ctrlPr>
            </m:e>
            <m:sub>
              <m:r>
                <m:rPr>
                  <m:sty m:val="p"/>
                </m:rPr>
                <w:rPr>
                  <w:rFonts w:ascii="Cambria Math" w:hAnsi="Cambria Math"/>
                  <w:color w:val="auto"/>
                  <w:spacing w:val="-8"/>
                  <w:lang w:val="id-ID"/>
                </w:rPr>
                <m:t>April</m:t>
              </m:r>
              <m:ctrlPr>
                <w:rPr>
                  <w:rFonts w:ascii="Cambria Math" w:hAnsi="Cambria Math"/>
                  <w:color w:val="auto"/>
                  <w:spacing w:val="-8"/>
                  <w:lang w:val="id-ID"/>
                </w:rPr>
              </m:ctrlPr>
            </m:sub>
          </m:sSub>
          <m:r>
            <m:rPr/>
            <w:rPr>
              <w:rFonts w:ascii="Cambria Math" w:hAnsi="Cambria Math"/>
              <w:color w:val="auto"/>
              <w:spacing w:val="-8"/>
              <w:lang w:val="id-ID"/>
            </w:rPr>
            <m:t>=</m:t>
          </m:r>
          <m:f>
            <m:fPr>
              <m:ctrlPr>
                <w:rPr>
                  <w:rFonts w:ascii="Cambria Math" w:hAnsi="Cambria Math"/>
                  <w:color w:val="auto"/>
                  <w:spacing w:val="-8"/>
                  <w:lang w:val="id-ID"/>
                </w:rPr>
              </m:ctrlPr>
            </m:fPr>
            <m:num>
              <m:r>
                <m:rPr>
                  <m:sty m:val="p"/>
                </m:rPr>
                <w:rPr>
                  <w:rFonts w:ascii="Cambria Math" w:hAnsi="Cambria Math"/>
                  <w:color w:val="auto"/>
                  <w:spacing w:val="-8"/>
                  <w:lang w:val="id-ID"/>
                </w:rPr>
                <m:t>69.513+85.647+67.116</m:t>
              </m:r>
              <m:ctrlPr>
                <w:rPr>
                  <w:rFonts w:ascii="Cambria Math" w:hAnsi="Cambria Math"/>
                  <w:color w:val="auto"/>
                  <w:spacing w:val="-8"/>
                  <w:lang w:val="id-ID"/>
                </w:rPr>
              </m:ctrlPr>
            </m:num>
            <m:den>
              <m:r>
                <m:rPr>
                  <m:sty m:val="p"/>
                </m:rPr>
                <w:rPr>
                  <w:rFonts w:ascii="Cambria Math" w:hAnsi="Cambria Math"/>
                  <w:color w:val="auto"/>
                  <w:spacing w:val="-8"/>
                  <w:lang w:val="id-ID"/>
                </w:rPr>
                <m:t>3</m:t>
              </m:r>
              <m:ctrlPr>
                <w:rPr>
                  <w:rFonts w:ascii="Cambria Math" w:hAnsi="Cambria Math"/>
                  <w:color w:val="auto"/>
                  <w:spacing w:val="-8"/>
                  <w:lang w:val="id-ID"/>
                </w:rPr>
              </m:ctrlPr>
            </m:den>
          </m:f>
        </m:oMath>
      </m:oMathPara>
    </w:p>
    <w:p>
      <w:pPr>
        <w:ind w:left="426" w:firstLine="6"/>
        <w:rPr>
          <w:rFonts w:eastAsia="MS Mincho"/>
          <w:color w:val="auto"/>
          <w:spacing w:val="-8"/>
        </w:rPr>
      </w:pPr>
      <m:oMathPara>
        <m:oMathParaPr>
          <m:jc m:val="left"/>
        </m:oMathParaPr>
        <m:oMath>
          <m:r>
            <m:rPr>
              <m:sty m:val="p"/>
            </m:rPr>
            <w:rPr>
              <w:rFonts w:ascii="Cambria Math" w:hAnsi="Cambria Math" w:eastAsia="MS Mincho"/>
              <w:color w:val="auto"/>
            </w:rPr>
            <m:t xml:space="preserve">  =</m:t>
          </m:r>
          <m:f>
            <m:fPr>
              <m:ctrlPr>
                <w:rPr>
                  <w:rFonts w:ascii="Cambria Math" w:hAnsi="Cambria Math" w:eastAsia="MS Mincho"/>
                  <w:color w:val="auto"/>
                </w:rPr>
              </m:ctrlPr>
            </m:fPr>
            <m:num>
              <m:r>
                <m:rPr>
                  <m:sty m:val="p"/>
                </m:rPr>
                <w:rPr>
                  <w:rFonts w:ascii="Cambria Math" w:hAnsi="Cambria Math" w:eastAsia="MS Mincho"/>
                  <w:color w:val="auto"/>
                </w:rPr>
                <m:t>222.276</m:t>
              </m:r>
              <m:ctrlPr>
                <w:rPr>
                  <w:rFonts w:ascii="Cambria Math" w:hAnsi="Cambria Math" w:eastAsia="MS Mincho"/>
                  <w:color w:val="auto"/>
                </w:rPr>
              </m:ctrlPr>
            </m:num>
            <m:den>
              <m:r>
                <m:rPr>
                  <m:sty m:val="p"/>
                </m:rPr>
                <w:rPr>
                  <w:rFonts w:ascii="Cambria Math" w:hAnsi="Cambria Math" w:eastAsia="MS Mincho"/>
                  <w:color w:val="auto"/>
                </w:rPr>
                <m:t>3</m:t>
              </m:r>
              <m:ctrlPr>
                <w:rPr>
                  <w:rFonts w:ascii="Cambria Math" w:hAnsi="Cambria Math" w:eastAsia="MS Mincho"/>
                  <w:color w:val="auto"/>
                </w:rPr>
              </m:ctrlPr>
            </m:den>
          </m:f>
        </m:oMath>
      </m:oMathPara>
    </w:p>
    <w:p>
      <w:pPr>
        <w:ind w:left="426"/>
        <w:rPr>
          <w:rFonts w:eastAsia="MS Mincho"/>
          <w:color w:val="auto"/>
        </w:rPr>
      </w:pPr>
      <m:oMathPara>
        <m:oMathParaPr>
          <m:jc m:val="left"/>
        </m:oMathParaPr>
        <m:oMath>
          <m:r>
            <m:rPr>
              <m:sty m:val="p"/>
            </m:rPr>
            <w:rPr>
              <w:rFonts w:ascii="Cambria Math" w:hAnsi="Cambria Math" w:eastAsia="MS Mincho"/>
              <w:color w:val="auto"/>
            </w:rPr>
            <m:t xml:space="preserve">  =74.092</m:t>
          </m:r>
        </m:oMath>
      </m:oMathPara>
    </w:p>
    <w:p>
      <w:pPr>
        <w:ind w:left="851"/>
        <w:rPr>
          <w:rFonts w:eastAsia="MS Mincho"/>
          <w:color w:val="auto"/>
          <w:sz w:val="16"/>
        </w:rPr>
      </w:pPr>
    </w:p>
    <w:p>
      <w:pPr>
        <w:rPr>
          <w:rFonts w:eastAsia="MS Mincho"/>
          <w:color w:val="auto"/>
        </w:rPr>
      </w:pPr>
      <w:r>
        <w:rPr>
          <w:rFonts w:eastAsia="MS Mincho"/>
          <w:color w:val="auto"/>
        </w:rPr>
        <w:t xml:space="preserve">Hasil perhitungan peramalan komoditas CPO, aspal, PKE, dan kopra disajikan pada Tabel 4, 5, 6, dan 7.   </w:t>
      </w:r>
    </w:p>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4. Peramalan menggunakan metode </w:t>
      </w:r>
      <w:r>
        <w:rPr>
          <w:rFonts w:eastAsia="MS Mincho"/>
          <w:i/>
          <w:color w:val="auto"/>
          <w:sz w:val="16"/>
          <w:szCs w:val="16"/>
        </w:rPr>
        <w:t>moving average</w:t>
      </w:r>
      <w:r>
        <w:rPr>
          <w:rFonts w:eastAsia="MS Mincho"/>
          <w:color w:val="auto"/>
          <w:sz w:val="16"/>
          <w:szCs w:val="16"/>
        </w:rPr>
        <w:t xml:space="preserve"> untuk komoditas CPO bulan Januari 2021</w:t>
      </w:r>
    </w:p>
    <w:tbl>
      <w:tblPr>
        <w:tblStyle w:val="26"/>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141"/>
        <w:gridCol w:w="986"/>
        <w:gridCol w:w="992"/>
        <w:gridCol w:w="992"/>
        <w:gridCol w:w="915"/>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blHeader/>
        </w:trPr>
        <w:tc>
          <w:tcPr>
            <w:tcW w:w="1141"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6"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blHeader/>
        </w:trPr>
        <w:tc>
          <w:tcPr>
            <w:tcW w:w="1141" w:type="dxa"/>
            <w:vMerge w:val="continue"/>
            <w:vAlign w:val="center"/>
          </w:tcPr>
          <w:p>
            <w:pPr>
              <w:ind w:firstLine="142"/>
              <w:jc w:val="left"/>
              <w:rPr>
                <w:rFonts w:eastAsia="Calibri" w:cs="Arial"/>
                <w:b/>
                <w:bCs/>
                <w:color w:val="auto"/>
                <w:sz w:val="16"/>
                <w:szCs w:val="16"/>
              </w:rPr>
            </w:pPr>
          </w:p>
        </w:tc>
        <w:tc>
          <w:tcPr>
            <w:tcW w:w="986" w:type="dxa"/>
            <w:vMerge w:val="continue"/>
            <w:vAlign w:val="center"/>
          </w:tcPr>
          <w:p>
            <w:pPr>
              <w:jc w:val="center"/>
              <w:rPr>
                <w:rFonts w:eastAsia="Calibri" w:cs="Arial"/>
                <w:b/>
                <w:bCs/>
                <w:color w:val="auto"/>
                <w:sz w:val="16"/>
                <w:szCs w:val="16"/>
              </w:rPr>
            </w:pP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3 bulanan</w:t>
            </w: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5 bulanan</w:t>
            </w:r>
          </w:p>
        </w:tc>
        <w:tc>
          <w:tcPr>
            <w:tcW w:w="915" w:type="dxa"/>
            <w:vAlign w:val="center"/>
          </w:tcPr>
          <w:p>
            <w:pPr>
              <w:jc w:val="center"/>
              <w:rPr>
                <w:rFonts w:eastAsia="Calibri" w:cs="Arial"/>
                <w:b/>
                <w:bCs/>
                <w:iCs/>
                <w:color w:val="auto"/>
                <w:sz w:val="16"/>
                <w:szCs w:val="16"/>
              </w:rPr>
            </w:pPr>
            <w:r>
              <w:rPr>
                <w:rFonts w:eastAsia="Calibri" w:cs="Arial"/>
                <w:b/>
                <w:bCs/>
                <w:iCs/>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69.513</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85.647</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67.116</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39.213</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74.092</w:t>
            </w: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17.339</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63.992</w:t>
            </w:r>
          </w:p>
        </w:tc>
        <w:tc>
          <w:tcPr>
            <w:tcW w:w="992" w:type="dxa"/>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157.882</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41.223</w:t>
            </w:r>
          </w:p>
        </w:tc>
        <w:tc>
          <w:tcPr>
            <w:tcW w:w="992" w:type="dxa"/>
            <w:vAlign w:val="center"/>
          </w:tcPr>
          <w:p>
            <w:pPr>
              <w:jc w:val="center"/>
              <w:rPr>
                <w:rFonts w:eastAsia="Calibri" w:cs="Arial"/>
                <w:color w:val="auto"/>
                <w:sz w:val="16"/>
                <w:szCs w:val="16"/>
              </w:rPr>
            </w:pPr>
            <w:r>
              <w:rPr>
                <w:rFonts w:eastAsia="Calibri" w:cs="Arial"/>
                <w:color w:val="auto"/>
                <w:sz w:val="16"/>
                <w:szCs w:val="16"/>
              </w:rPr>
              <w:t>55.766</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29.859</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71.478</w:t>
            </w:r>
          </w:p>
        </w:tc>
        <w:tc>
          <w:tcPr>
            <w:tcW w:w="992" w:type="dxa"/>
            <w:vAlign w:val="center"/>
          </w:tcPr>
          <w:p>
            <w:pPr>
              <w:jc w:val="center"/>
              <w:rPr>
                <w:rFonts w:eastAsia="Calibri" w:cs="Arial"/>
                <w:color w:val="auto"/>
                <w:sz w:val="16"/>
                <w:szCs w:val="16"/>
              </w:rPr>
            </w:pPr>
            <w:r>
              <w:rPr>
                <w:rFonts w:eastAsia="Calibri" w:cs="Arial"/>
                <w:color w:val="auto"/>
                <w:sz w:val="16"/>
                <w:szCs w:val="16"/>
              </w:rPr>
              <w:t>73.439</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37.250</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68.360</w:t>
            </w:r>
          </w:p>
        </w:tc>
        <w:tc>
          <w:tcPr>
            <w:tcW w:w="992" w:type="dxa"/>
            <w:vAlign w:val="center"/>
          </w:tcPr>
          <w:p>
            <w:pPr>
              <w:jc w:val="center"/>
              <w:rPr>
                <w:rFonts w:eastAsia="Calibri" w:cs="Arial"/>
                <w:color w:val="auto"/>
                <w:sz w:val="16"/>
                <w:szCs w:val="16"/>
              </w:rPr>
            </w:pPr>
            <w:r>
              <w:rPr>
                <w:rFonts w:eastAsia="Calibri" w:cs="Arial"/>
                <w:color w:val="auto"/>
                <w:sz w:val="16"/>
                <w:szCs w:val="16"/>
              </w:rPr>
              <w:t>62.282</w:t>
            </w:r>
          </w:p>
        </w:tc>
        <w:tc>
          <w:tcPr>
            <w:tcW w:w="915" w:type="dxa"/>
            <w:vAlign w:val="center"/>
          </w:tcPr>
          <w:p>
            <w:pPr>
              <w:jc w:val="center"/>
              <w:rPr>
                <w:rFonts w:eastAsia="Calibri" w:cs="Arial"/>
                <w:color w:val="auto"/>
                <w:sz w:val="16"/>
                <w:szCs w:val="16"/>
              </w:rPr>
            </w:pPr>
            <w:r>
              <w:rPr>
                <w:rFonts w:eastAsia="Calibri" w:cs="Arial"/>
                <w:color w:val="auto"/>
                <w:sz w:val="16"/>
              </w:rPr>
              <w:t>66.653</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26.687</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74.997</w:t>
            </w:r>
          </w:p>
        </w:tc>
        <w:tc>
          <w:tcPr>
            <w:tcW w:w="992" w:type="dxa"/>
            <w:vAlign w:val="center"/>
          </w:tcPr>
          <w:p>
            <w:pPr>
              <w:jc w:val="center"/>
              <w:rPr>
                <w:rFonts w:eastAsia="Calibri" w:cs="Arial"/>
                <w:color w:val="auto"/>
                <w:sz w:val="16"/>
                <w:szCs w:val="16"/>
              </w:rPr>
            </w:pPr>
            <w:r>
              <w:rPr>
                <w:rFonts w:eastAsia="Calibri" w:cs="Arial"/>
                <w:color w:val="auto"/>
                <w:sz w:val="16"/>
                <w:szCs w:val="16"/>
              </w:rPr>
              <w:t>56.309</w:t>
            </w:r>
          </w:p>
        </w:tc>
        <w:tc>
          <w:tcPr>
            <w:tcW w:w="915" w:type="dxa"/>
            <w:vAlign w:val="center"/>
          </w:tcPr>
          <w:p>
            <w:pPr>
              <w:jc w:val="center"/>
              <w:rPr>
                <w:rFonts w:eastAsia="Calibri" w:cs="Arial"/>
                <w:color w:val="auto"/>
                <w:sz w:val="16"/>
                <w:szCs w:val="16"/>
              </w:rPr>
            </w:pPr>
            <w:r>
              <w:rPr>
                <w:rFonts w:eastAsia="Calibri" w:cs="Arial"/>
                <w:color w:val="auto"/>
                <w:sz w:val="16"/>
              </w:rPr>
              <w:t>62.044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149.076</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31.265</w:t>
            </w:r>
          </w:p>
        </w:tc>
        <w:tc>
          <w:tcPr>
            <w:tcW w:w="992" w:type="dxa"/>
            <w:vAlign w:val="center"/>
          </w:tcPr>
          <w:p>
            <w:pPr>
              <w:jc w:val="center"/>
              <w:rPr>
                <w:rFonts w:eastAsia="Calibri" w:cs="Arial"/>
                <w:color w:val="auto"/>
                <w:sz w:val="16"/>
                <w:szCs w:val="16"/>
              </w:rPr>
            </w:pPr>
            <w:r>
              <w:rPr>
                <w:rFonts w:eastAsia="Calibri" w:cs="Arial"/>
                <w:color w:val="auto"/>
                <w:sz w:val="16"/>
                <w:szCs w:val="16"/>
              </w:rPr>
              <w:t>53.803</w:t>
            </w:r>
          </w:p>
        </w:tc>
        <w:tc>
          <w:tcPr>
            <w:tcW w:w="915" w:type="dxa"/>
            <w:vAlign w:val="center"/>
          </w:tcPr>
          <w:p>
            <w:pPr>
              <w:jc w:val="center"/>
              <w:rPr>
                <w:rFonts w:eastAsia="Calibri" w:cs="Arial"/>
                <w:color w:val="auto"/>
                <w:sz w:val="16"/>
                <w:szCs w:val="16"/>
              </w:rPr>
            </w:pPr>
            <w:r>
              <w:rPr>
                <w:rFonts w:eastAsia="Calibri" w:cs="Arial"/>
                <w:color w:val="auto"/>
                <w:sz w:val="16"/>
              </w:rPr>
              <w:t>53.621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80.632</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71.004</w:t>
            </w:r>
          </w:p>
        </w:tc>
        <w:tc>
          <w:tcPr>
            <w:tcW w:w="992" w:type="dxa"/>
            <w:vAlign w:val="center"/>
          </w:tcPr>
          <w:p>
            <w:pPr>
              <w:jc w:val="center"/>
              <w:rPr>
                <w:rFonts w:eastAsia="Calibri" w:cs="Arial"/>
                <w:color w:val="auto"/>
                <w:sz w:val="16"/>
                <w:szCs w:val="16"/>
              </w:rPr>
            </w:pPr>
            <w:r>
              <w:rPr>
                <w:rFonts w:eastAsia="Calibri" w:cs="Arial"/>
                <w:color w:val="auto"/>
                <w:sz w:val="16"/>
                <w:szCs w:val="16"/>
              </w:rPr>
              <w:t>80.151</w:t>
            </w:r>
          </w:p>
        </w:tc>
        <w:tc>
          <w:tcPr>
            <w:tcW w:w="915" w:type="dxa"/>
            <w:vAlign w:val="center"/>
          </w:tcPr>
          <w:p>
            <w:pPr>
              <w:jc w:val="center"/>
              <w:rPr>
                <w:rFonts w:eastAsia="Calibri" w:cs="Arial"/>
                <w:color w:val="auto"/>
                <w:sz w:val="16"/>
                <w:szCs w:val="16"/>
              </w:rPr>
            </w:pPr>
            <w:r>
              <w:rPr>
                <w:rFonts w:eastAsia="Calibri" w:cs="Arial"/>
                <w:color w:val="auto"/>
                <w:sz w:val="16"/>
              </w:rPr>
              <w:t>65.329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40"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6" w:type="dxa"/>
            <w:vAlign w:val="center"/>
          </w:tcPr>
          <w:p>
            <w:pPr>
              <w:jc w:val="center"/>
              <w:rPr>
                <w:rFonts w:eastAsia="Calibri" w:cs="Times New Roman"/>
                <w:color w:val="auto"/>
                <w:sz w:val="16"/>
                <w:szCs w:val="16"/>
              </w:rPr>
            </w:pPr>
            <w:r>
              <w:rPr>
                <w:rFonts w:eastAsia="Calibri" w:cs="Times New Roman"/>
                <w:color w:val="auto"/>
                <w:sz w:val="16"/>
                <w:szCs w:val="16"/>
              </w:rPr>
              <w:t>136.664</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85.465</w:t>
            </w:r>
          </w:p>
        </w:tc>
        <w:tc>
          <w:tcPr>
            <w:tcW w:w="992" w:type="dxa"/>
            <w:vAlign w:val="center"/>
          </w:tcPr>
          <w:p>
            <w:pPr>
              <w:jc w:val="center"/>
              <w:rPr>
                <w:rFonts w:eastAsia="Calibri" w:cs="Arial"/>
                <w:color w:val="auto"/>
                <w:sz w:val="16"/>
                <w:szCs w:val="16"/>
              </w:rPr>
            </w:pPr>
            <w:r>
              <w:rPr>
                <w:rFonts w:eastAsia="Calibri" w:cs="Arial"/>
                <w:color w:val="auto"/>
                <w:sz w:val="16"/>
                <w:szCs w:val="16"/>
              </w:rPr>
              <w:t>64.701</w:t>
            </w:r>
          </w:p>
        </w:tc>
        <w:tc>
          <w:tcPr>
            <w:tcW w:w="915" w:type="dxa"/>
            <w:vAlign w:val="center"/>
          </w:tcPr>
          <w:p>
            <w:pPr>
              <w:jc w:val="center"/>
              <w:rPr>
                <w:rFonts w:eastAsia="Calibri" w:cs="Arial"/>
                <w:color w:val="auto"/>
                <w:sz w:val="16"/>
                <w:szCs w:val="16"/>
              </w:rPr>
            </w:pPr>
            <w:r>
              <w:rPr>
                <w:rFonts w:eastAsia="Calibri" w:cs="Arial"/>
                <w:color w:val="auto"/>
                <w:sz w:val="16"/>
              </w:rPr>
              <w:t>71.246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86" w:hRule="atLeast"/>
        </w:trPr>
        <w:tc>
          <w:tcPr>
            <w:tcW w:w="1141"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6" w:type="dxa"/>
            <w:vAlign w:val="center"/>
          </w:tcPr>
          <w:p>
            <w:pPr>
              <w:jc w:val="center"/>
              <w:rPr>
                <w:rFonts w:eastAsia="Calibri" w:cs="Times New Roman"/>
                <w:color w:val="auto"/>
                <w:sz w:val="16"/>
                <w:szCs w:val="16"/>
              </w:rPr>
            </w:pP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122.124</w:t>
            </w:r>
          </w:p>
        </w:tc>
        <w:tc>
          <w:tcPr>
            <w:tcW w:w="992" w:type="dxa"/>
            <w:vAlign w:val="center"/>
          </w:tcPr>
          <w:p>
            <w:pPr>
              <w:jc w:val="center"/>
              <w:rPr>
                <w:rFonts w:eastAsia="Calibri" w:cs="Arial"/>
                <w:color w:val="auto"/>
                <w:sz w:val="16"/>
                <w:szCs w:val="16"/>
              </w:rPr>
            </w:pPr>
            <w:r>
              <w:rPr>
                <w:rFonts w:eastAsia="Calibri" w:cs="Arial"/>
                <w:color w:val="auto"/>
                <w:sz w:val="16"/>
                <w:szCs w:val="16"/>
              </w:rPr>
              <w:t>86.062</w:t>
            </w:r>
          </w:p>
        </w:tc>
        <w:tc>
          <w:tcPr>
            <w:tcW w:w="915" w:type="dxa"/>
            <w:vAlign w:val="center"/>
          </w:tcPr>
          <w:p>
            <w:pPr>
              <w:jc w:val="center"/>
              <w:rPr>
                <w:rFonts w:eastAsia="Calibri" w:cs="Arial"/>
                <w:color w:val="auto"/>
                <w:sz w:val="16"/>
                <w:szCs w:val="16"/>
              </w:rPr>
            </w:pPr>
            <w:r>
              <w:rPr>
                <w:rFonts w:eastAsia="Calibri" w:cs="Arial"/>
                <w:bCs/>
                <w:color w:val="auto"/>
                <w:sz w:val="16"/>
              </w:rPr>
              <w:t>88.293</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5. Peramalan menggunakan metode </w:t>
      </w:r>
      <w:r>
        <w:rPr>
          <w:rFonts w:eastAsia="MS Mincho"/>
          <w:i/>
          <w:color w:val="auto"/>
          <w:sz w:val="16"/>
          <w:szCs w:val="16"/>
        </w:rPr>
        <w:t>moving average</w:t>
      </w:r>
      <w:r>
        <w:rPr>
          <w:rFonts w:eastAsia="MS Mincho"/>
          <w:color w:val="auto"/>
          <w:sz w:val="16"/>
          <w:szCs w:val="16"/>
        </w:rPr>
        <w:t xml:space="preserve"> untuk komoditas aspal bulan Januari 2021</w:t>
      </w:r>
    </w:p>
    <w:tbl>
      <w:tblPr>
        <w:tblStyle w:val="26"/>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137"/>
        <w:gridCol w:w="998"/>
        <w:gridCol w:w="984"/>
        <w:gridCol w:w="992"/>
        <w:gridCol w:w="915"/>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82" w:hRule="atLeast"/>
          <w:tblHeader/>
        </w:trPr>
        <w:tc>
          <w:tcPr>
            <w:tcW w:w="1137" w:type="dxa"/>
            <w:vMerge w:val="restart"/>
            <w:vAlign w:val="center"/>
          </w:tcPr>
          <w:p>
            <w:pPr>
              <w:ind w:firstLine="284"/>
              <w:jc w:val="left"/>
              <w:rPr>
                <w:rFonts w:eastAsia="Calibri" w:cs="Times New Roman"/>
                <w:b/>
                <w:bCs/>
                <w:color w:val="auto"/>
                <w:sz w:val="16"/>
                <w:szCs w:val="16"/>
              </w:rPr>
            </w:pPr>
            <w:r>
              <w:rPr>
                <w:rFonts w:eastAsia="Calibri" w:cs="Times New Roman"/>
                <w:b/>
                <w:bCs/>
                <w:color w:val="auto"/>
                <w:sz w:val="16"/>
                <w:szCs w:val="16"/>
              </w:rPr>
              <w:t>Bulan</w:t>
            </w:r>
          </w:p>
        </w:tc>
        <w:tc>
          <w:tcPr>
            <w:tcW w:w="998"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1"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blHeader/>
        </w:trPr>
        <w:tc>
          <w:tcPr>
            <w:tcW w:w="1137" w:type="dxa"/>
            <w:vMerge w:val="continue"/>
            <w:vAlign w:val="center"/>
          </w:tcPr>
          <w:p>
            <w:pPr>
              <w:ind w:firstLine="284"/>
              <w:jc w:val="left"/>
              <w:rPr>
                <w:rFonts w:eastAsia="Calibri" w:cs="Arial"/>
                <w:color w:val="auto"/>
                <w:sz w:val="16"/>
                <w:szCs w:val="16"/>
              </w:rPr>
            </w:pPr>
          </w:p>
        </w:tc>
        <w:tc>
          <w:tcPr>
            <w:tcW w:w="998" w:type="dxa"/>
            <w:vMerge w:val="continue"/>
            <w:vAlign w:val="center"/>
          </w:tcPr>
          <w:p>
            <w:pPr>
              <w:jc w:val="center"/>
              <w:rPr>
                <w:rFonts w:eastAsia="Calibri" w:cs="Arial"/>
                <w:color w:val="auto"/>
                <w:sz w:val="16"/>
                <w:szCs w:val="16"/>
              </w:rPr>
            </w:pPr>
          </w:p>
        </w:tc>
        <w:tc>
          <w:tcPr>
            <w:tcW w:w="984" w:type="dxa"/>
            <w:vAlign w:val="center"/>
          </w:tcPr>
          <w:p>
            <w:pPr>
              <w:jc w:val="center"/>
              <w:rPr>
                <w:rFonts w:eastAsia="Calibri" w:cs="Arial"/>
                <w:b/>
                <w:color w:val="auto"/>
                <w:sz w:val="16"/>
                <w:szCs w:val="16"/>
              </w:rPr>
            </w:pPr>
            <w:r>
              <w:rPr>
                <w:rFonts w:eastAsia="Calibri" w:cs="Arial"/>
                <w:b/>
                <w:color w:val="auto"/>
                <w:sz w:val="16"/>
                <w:szCs w:val="16"/>
              </w:rPr>
              <w:t>3 bulanan</w:t>
            </w:r>
          </w:p>
        </w:tc>
        <w:tc>
          <w:tcPr>
            <w:tcW w:w="992" w:type="dxa"/>
            <w:vAlign w:val="center"/>
          </w:tcPr>
          <w:p>
            <w:pPr>
              <w:jc w:val="center"/>
              <w:rPr>
                <w:rFonts w:eastAsia="Calibri" w:cs="Arial"/>
                <w:b/>
                <w:color w:val="auto"/>
                <w:sz w:val="16"/>
                <w:szCs w:val="16"/>
              </w:rPr>
            </w:pPr>
            <w:r>
              <w:rPr>
                <w:rFonts w:eastAsia="Calibri" w:cs="Arial"/>
                <w:b/>
                <w:color w:val="auto"/>
                <w:sz w:val="16"/>
                <w:szCs w:val="16"/>
              </w:rPr>
              <w:t>5 bulanan</w:t>
            </w:r>
          </w:p>
        </w:tc>
        <w:tc>
          <w:tcPr>
            <w:tcW w:w="915" w:type="dxa"/>
            <w:vAlign w:val="center"/>
          </w:tcPr>
          <w:p>
            <w:pPr>
              <w:jc w:val="center"/>
              <w:rPr>
                <w:rFonts w:eastAsia="Calibri" w:cs="Arial"/>
                <w:b/>
                <w:color w:val="auto"/>
                <w:sz w:val="16"/>
                <w:szCs w:val="16"/>
              </w:rPr>
            </w:pPr>
            <w:r>
              <w:rPr>
                <w:rFonts w:eastAsia="Calibri" w:cs="Arial"/>
                <w:b/>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22"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4.313</w:t>
            </w:r>
          </w:p>
        </w:tc>
        <w:tc>
          <w:tcPr>
            <w:tcW w:w="984"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4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Februari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1.517</w:t>
            </w:r>
          </w:p>
        </w:tc>
        <w:tc>
          <w:tcPr>
            <w:tcW w:w="984"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85"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Maret</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84"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74"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April</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3.830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2.610</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Mei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3.941</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2.449</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Juni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3.257</w:t>
            </w:r>
          </w:p>
        </w:tc>
        <w:tc>
          <w:tcPr>
            <w:tcW w:w="992" w:type="dxa"/>
            <w:vAlign w:val="center"/>
          </w:tcPr>
          <w:p>
            <w:pPr>
              <w:jc w:val="center"/>
              <w:rPr>
                <w:rFonts w:eastAsia="Calibri" w:cs="Arial"/>
                <w:color w:val="auto"/>
                <w:sz w:val="16"/>
                <w:szCs w:val="16"/>
              </w:rPr>
            </w:pPr>
            <w:r>
              <w:rPr>
                <w:rFonts w:eastAsia="Calibri" w:cs="Arial"/>
                <w:color w:val="auto"/>
                <w:sz w:val="16"/>
                <w:szCs w:val="16"/>
              </w:rPr>
              <w:t>3.120</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154"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Juli</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5.441</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3.090</w:t>
            </w:r>
          </w:p>
        </w:tc>
        <w:tc>
          <w:tcPr>
            <w:tcW w:w="992" w:type="dxa"/>
            <w:vAlign w:val="center"/>
          </w:tcPr>
          <w:p>
            <w:pPr>
              <w:jc w:val="center"/>
              <w:rPr>
                <w:rFonts w:eastAsia="Calibri" w:cs="Arial"/>
                <w:color w:val="auto"/>
                <w:sz w:val="16"/>
                <w:szCs w:val="16"/>
              </w:rPr>
            </w:pPr>
            <w:r>
              <w:rPr>
                <w:rFonts w:eastAsia="Calibri" w:cs="Arial"/>
                <w:color w:val="auto"/>
                <w:sz w:val="16"/>
                <w:szCs w:val="16"/>
              </w:rPr>
              <w:t>2.558</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Agustus</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3.942</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3.627</w:t>
            </w:r>
          </w:p>
        </w:tc>
        <w:tc>
          <w:tcPr>
            <w:tcW w:w="992" w:type="dxa"/>
            <w:vAlign w:val="center"/>
          </w:tcPr>
          <w:p>
            <w:pPr>
              <w:jc w:val="center"/>
              <w:rPr>
                <w:rFonts w:eastAsia="Calibri" w:cs="Arial"/>
                <w:color w:val="auto"/>
                <w:sz w:val="16"/>
                <w:szCs w:val="16"/>
              </w:rPr>
            </w:pPr>
            <w:r>
              <w:rPr>
                <w:rFonts w:eastAsia="Calibri" w:cs="Arial"/>
                <w:color w:val="auto"/>
                <w:sz w:val="16"/>
                <w:szCs w:val="16"/>
              </w:rPr>
              <w:t>3.342</w:t>
            </w:r>
          </w:p>
        </w:tc>
        <w:tc>
          <w:tcPr>
            <w:tcW w:w="915" w:type="dxa"/>
            <w:vAlign w:val="center"/>
          </w:tcPr>
          <w:p>
            <w:pPr>
              <w:jc w:val="center"/>
              <w:rPr>
                <w:rFonts w:eastAsia="Calibri" w:cs="Arial"/>
                <w:color w:val="auto"/>
                <w:sz w:val="16"/>
                <w:szCs w:val="16"/>
              </w:rPr>
            </w:pPr>
            <w:r>
              <w:rPr>
                <w:rFonts w:eastAsia="Calibri" w:cs="Arial"/>
                <w:color w:val="auto"/>
                <w:sz w:val="16"/>
              </w:rPr>
              <w:t>3.220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September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5.000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3.628</w:t>
            </w:r>
          </w:p>
        </w:tc>
        <w:tc>
          <w:tcPr>
            <w:tcW w:w="992" w:type="dxa"/>
            <w:vAlign w:val="center"/>
          </w:tcPr>
          <w:p>
            <w:pPr>
              <w:jc w:val="center"/>
              <w:rPr>
                <w:rFonts w:eastAsia="Calibri" w:cs="Arial"/>
                <w:color w:val="auto"/>
                <w:sz w:val="16"/>
                <w:szCs w:val="16"/>
              </w:rPr>
            </w:pPr>
            <w:r>
              <w:rPr>
                <w:rFonts w:eastAsia="Calibri" w:cs="Arial"/>
                <w:color w:val="auto"/>
                <w:sz w:val="16"/>
                <w:szCs w:val="16"/>
              </w:rPr>
              <w:t>3.731</w:t>
            </w:r>
          </w:p>
        </w:tc>
        <w:tc>
          <w:tcPr>
            <w:tcW w:w="915" w:type="dxa"/>
            <w:vAlign w:val="center"/>
          </w:tcPr>
          <w:p>
            <w:pPr>
              <w:jc w:val="center"/>
              <w:rPr>
                <w:rFonts w:eastAsia="Calibri" w:cs="Arial"/>
                <w:color w:val="auto"/>
                <w:sz w:val="16"/>
                <w:szCs w:val="16"/>
              </w:rPr>
            </w:pPr>
            <w:r>
              <w:rPr>
                <w:rFonts w:eastAsia="Calibri" w:cs="Arial"/>
                <w:color w:val="auto"/>
                <w:sz w:val="16"/>
              </w:rPr>
              <w:t>3.167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Oktober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4.000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4.794</w:t>
            </w:r>
          </w:p>
        </w:tc>
        <w:tc>
          <w:tcPr>
            <w:tcW w:w="992" w:type="dxa"/>
            <w:vAlign w:val="center"/>
          </w:tcPr>
          <w:p>
            <w:pPr>
              <w:jc w:val="center"/>
              <w:rPr>
                <w:rFonts w:eastAsia="Calibri" w:cs="Arial"/>
                <w:color w:val="auto"/>
                <w:sz w:val="16"/>
                <w:szCs w:val="16"/>
              </w:rPr>
            </w:pPr>
            <w:r>
              <w:rPr>
                <w:rFonts w:eastAsia="Calibri" w:cs="Arial"/>
                <w:color w:val="auto"/>
                <w:sz w:val="16"/>
                <w:szCs w:val="16"/>
              </w:rPr>
              <w:t>3.965</w:t>
            </w:r>
          </w:p>
        </w:tc>
        <w:tc>
          <w:tcPr>
            <w:tcW w:w="915" w:type="dxa"/>
            <w:vAlign w:val="center"/>
          </w:tcPr>
          <w:p>
            <w:pPr>
              <w:jc w:val="center"/>
              <w:rPr>
                <w:rFonts w:eastAsia="Calibri" w:cs="Arial"/>
                <w:color w:val="auto"/>
                <w:sz w:val="16"/>
                <w:szCs w:val="16"/>
              </w:rPr>
            </w:pPr>
            <w:r>
              <w:rPr>
                <w:rFonts w:eastAsia="Calibri" w:cs="Arial"/>
                <w:color w:val="auto"/>
                <w:sz w:val="16"/>
              </w:rPr>
              <w:t>3.665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November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7.000</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4.314</w:t>
            </w:r>
          </w:p>
        </w:tc>
        <w:tc>
          <w:tcPr>
            <w:tcW w:w="992" w:type="dxa"/>
            <w:vAlign w:val="center"/>
          </w:tcPr>
          <w:p>
            <w:pPr>
              <w:jc w:val="center"/>
              <w:rPr>
                <w:rFonts w:eastAsia="Calibri" w:cs="Arial"/>
                <w:color w:val="auto"/>
                <w:sz w:val="16"/>
                <w:szCs w:val="16"/>
              </w:rPr>
            </w:pPr>
            <w:r>
              <w:rPr>
                <w:rFonts w:eastAsia="Calibri" w:cs="Arial"/>
                <w:color w:val="auto"/>
                <w:sz w:val="16"/>
                <w:szCs w:val="16"/>
              </w:rPr>
              <w:t>3.977</w:t>
            </w:r>
          </w:p>
        </w:tc>
        <w:tc>
          <w:tcPr>
            <w:tcW w:w="915" w:type="dxa"/>
            <w:vAlign w:val="center"/>
          </w:tcPr>
          <w:p>
            <w:pPr>
              <w:jc w:val="center"/>
              <w:rPr>
                <w:rFonts w:eastAsia="Calibri" w:cs="Arial"/>
                <w:color w:val="auto"/>
                <w:sz w:val="16"/>
                <w:szCs w:val="16"/>
              </w:rPr>
            </w:pPr>
            <w:r>
              <w:rPr>
                <w:rFonts w:eastAsia="Calibri" w:cs="Arial"/>
                <w:color w:val="auto"/>
                <w:sz w:val="16"/>
              </w:rPr>
              <w:t>3.951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Desember</w:t>
            </w:r>
          </w:p>
        </w:tc>
        <w:tc>
          <w:tcPr>
            <w:tcW w:w="998" w:type="dxa"/>
            <w:vAlign w:val="center"/>
          </w:tcPr>
          <w:p>
            <w:pPr>
              <w:jc w:val="center"/>
              <w:rPr>
                <w:rFonts w:eastAsia="Calibri" w:cs="Times New Roman"/>
                <w:color w:val="auto"/>
                <w:sz w:val="16"/>
                <w:szCs w:val="16"/>
              </w:rPr>
            </w:pPr>
            <w:r>
              <w:rPr>
                <w:rFonts w:eastAsia="Calibri" w:cs="Times New Roman"/>
                <w:color w:val="auto"/>
                <w:sz w:val="16"/>
                <w:szCs w:val="16"/>
              </w:rPr>
              <w:t>3.736</w:t>
            </w: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5.333</w:t>
            </w:r>
          </w:p>
        </w:tc>
        <w:tc>
          <w:tcPr>
            <w:tcW w:w="992" w:type="dxa"/>
            <w:vAlign w:val="center"/>
          </w:tcPr>
          <w:p>
            <w:pPr>
              <w:jc w:val="center"/>
              <w:rPr>
                <w:rFonts w:eastAsia="Calibri" w:cs="Arial"/>
                <w:color w:val="auto"/>
                <w:sz w:val="16"/>
                <w:szCs w:val="16"/>
              </w:rPr>
            </w:pPr>
            <w:r>
              <w:rPr>
                <w:rFonts w:eastAsia="Calibri" w:cs="Arial"/>
                <w:color w:val="auto"/>
                <w:sz w:val="16"/>
                <w:szCs w:val="16"/>
              </w:rPr>
              <w:t>5.077</w:t>
            </w:r>
          </w:p>
        </w:tc>
        <w:tc>
          <w:tcPr>
            <w:tcW w:w="915" w:type="dxa"/>
            <w:vAlign w:val="center"/>
          </w:tcPr>
          <w:p>
            <w:pPr>
              <w:jc w:val="center"/>
              <w:rPr>
                <w:rFonts w:eastAsia="Calibri" w:cs="Arial"/>
                <w:color w:val="auto"/>
                <w:sz w:val="16"/>
                <w:szCs w:val="16"/>
              </w:rPr>
            </w:pPr>
            <w:r>
              <w:rPr>
                <w:rFonts w:eastAsia="Calibri" w:cs="Arial"/>
                <w:color w:val="auto"/>
                <w:sz w:val="16"/>
              </w:rPr>
              <w:t>4.403</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137"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8" w:type="dxa"/>
            <w:vAlign w:val="center"/>
          </w:tcPr>
          <w:p>
            <w:pPr>
              <w:jc w:val="center"/>
              <w:rPr>
                <w:rFonts w:eastAsia="Calibri" w:cs="Times New Roman"/>
                <w:color w:val="auto"/>
                <w:sz w:val="16"/>
                <w:szCs w:val="16"/>
              </w:rPr>
            </w:pPr>
          </w:p>
        </w:tc>
        <w:tc>
          <w:tcPr>
            <w:tcW w:w="984" w:type="dxa"/>
            <w:vAlign w:val="center"/>
          </w:tcPr>
          <w:p>
            <w:pPr>
              <w:jc w:val="center"/>
              <w:rPr>
                <w:rFonts w:eastAsia="Calibri" w:cs="Times New Roman"/>
                <w:color w:val="auto"/>
                <w:sz w:val="16"/>
                <w:szCs w:val="16"/>
              </w:rPr>
            </w:pPr>
            <w:r>
              <w:rPr>
                <w:rFonts w:eastAsia="Calibri" w:cs="Times New Roman"/>
                <w:color w:val="auto"/>
                <w:sz w:val="16"/>
                <w:szCs w:val="16"/>
              </w:rPr>
              <w:t>4.912</w:t>
            </w:r>
          </w:p>
        </w:tc>
        <w:tc>
          <w:tcPr>
            <w:tcW w:w="992" w:type="dxa"/>
            <w:vAlign w:val="center"/>
          </w:tcPr>
          <w:p>
            <w:pPr>
              <w:jc w:val="center"/>
              <w:rPr>
                <w:rFonts w:eastAsia="Calibri" w:cs="Arial"/>
                <w:color w:val="auto"/>
                <w:sz w:val="16"/>
                <w:szCs w:val="16"/>
              </w:rPr>
            </w:pPr>
            <w:r>
              <w:rPr>
                <w:rFonts w:eastAsia="Calibri" w:cs="Arial"/>
                <w:color w:val="auto"/>
                <w:sz w:val="16"/>
                <w:szCs w:val="16"/>
              </w:rPr>
              <w:t>4.736</w:t>
            </w:r>
          </w:p>
        </w:tc>
        <w:tc>
          <w:tcPr>
            <w:tcW w:w="915" w:type="dxa"/>
            <w:vAlign w:val="center"/>
          </w:tcPr>
          <w:p>
            <w:pPr>
              <w:jc w:val="center"/>
              <w:rPr>
                <w:rFonts w:eastAsia="Calibri" w:cs="Arial"/>
                <w:color w:val="auto"/>
                <w:sz w:val="16"/>
                <w:szCs w:val="16"/>
              </w:rPr>
            </w:pPr>
            <w:r>
              <w:rPr>
                <w:rFonts w:eastAsia="Calibri" w:cs="Arial"/>
                <w:bCs/>
                <w:color w:val="auto"/>
                <w:sz w:val="16"/>
              </w:rPr>
              <w:t>4.374</w:t>
            </w:r>
          </w:p>
        </w:tc>
      </w:tr>
    </w:tbl>
    <w:p>
      <w:pPr>
        <w:ind w:left="567" w:hanging="567"/>
        <w:rPr>
          <w:rFonts w:eastAsia="MS Mincho"/>
          <w:color w:val="auto"/>
          <w:sz w:val="16"/>
          <w:szCs w:val="16"/>
        </w:rPr>
      </w:pPr>
    </w:p>
    <w:p>
      <w:pPr>
        <w:spacing w:line="360" w:lineRule="auto"/>
        <w:ind w:left="567" w:hanging="567"/>
        <w:rPr>
          <w:rFonts w:eastAsia="MS Mincho"/>
          <w:color w:val="auto"/>
          <w:sz w:val="16"/>
          <w:szCs w:val="16"/>
        </w:rPr>
      </w:pPr>
      <w:r>
        <w:rPr>
          <w:rFonts w:eastAsia="MS Mincho"/>
          <w:color w:val="auto"/>
          <w:sz w:val="16"/>
          <w:szCs w:val="16"/>
        </w:rPr>
        <w:t xml:space="preserve">Tabel 6. Peramalan menggunakan metode </w:t>
      </w:r>
      <w:r>
        <w:rPr>
          <w:rFonts w:eastAsia="MS Mincho"/>
          <w:i/>
          <w:color w:val="auto"/>
          <w:sz w:val="16"/>
          <w:szCs w:val="16"/>
        </w:rPr>
        <w:t>moving average</w:t>
      </w:r>
      <w:r>
        <w:rPr>
          <w:rFonts w:eastAsia="MS Mincho"/>
          <w:color w:val="auto"/>
          <w:sz w:val="16"/>
          <w:szCs w:val="16"/>
        </w:rPr>
        <w:t xml:space="preserve"> untuk komoditas PKE bulan Januari 2021</w:t>
      </w:r>
    </w:p>
    <w:tbl>
      <w:tblPr>
        <w:tblStyle w:val="26"/>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093"/>
        <w:gridCol w:w="1045"/>
        <w:gridCol w:w="981"/>
        <w:gridCol w:w="992"/>
        <w:gridCol w:w="915"/>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177" w:hRule="atLeast"/>
          <w:tblHeader/>
        </w:trPr>
        <w:tc>
          <w:tcPr>
            <w:tcW w:w="1093" w:type="dxa"/>
            <w:vMerge w:val="restart"/>
            <w:vAlign w:val="center"/>
          </w:tcPr>
          <w:p>
            <w:pPr>
              <w:ind w:firstLine="284"/>
              <w:jc w:val="left"/>
              <w:rPr>
                <w:rFonts w:eastAsia="Calibri" w:cs="Times New Roman"/>
                <w:b/>
                <w:bCs/>
                <w:color w:val="auto"/>
                <w:sz w:val="16"/>
                <w:szCs w:val="16"/>
              </w:rPr>
            </w:pPr>
            <w:r>
              <w:rPr>
                <w:rFonts w:eastAsia="Calibri" w:cs="Times New Roman"/>
                <w:b/>
                <w:bCs/>
                <w:color w:val="auto"/>
                <w:sz w:val="16"/>
                <w:szCs w:val="16"/>
              </w:rPr>
              <w:t>Bulan</w:t>
            </w:r>
          </w:p>
        </w:tc>
        <w:tc>
          <w:tcPr>
            <w:tcW w:w="1045"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88"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24" w:hRule="atLeast"/>
          <w:tblHeader/>
        </w:trPr>
        <w:tc>
          <w:tcPr>
            <w:tcW w:w="1093" w:type="dxa"/>
            <w:vMerge w:val="continue"/>
            <w:vAlign w:val="center"/>
          </w:tcPr>
          <w:p>
            <w:pPr>
              <w:ind w:firstLine="284"/>
              <w:jc w:val="left"/>
              <w:rPr>
                <w:rFonts w:eastAsia="Calibri" w:cs="Arial"/>
                <w:color w:val="auto"/>
                <w:sz w:val="16"/>
                <w:szCs w:val="16"/>
              </w:rPr>
            </w:pPr>
          </w:p>
        </w:tc>
        <w:tc>
          <w:tcPr>
            <w:tcW w:w="1045" w:type="dxa"/>
            <w:vMerge w:val="continue"/>
            <w:vAlign w:val="center"/>
          </w:tcPr>
          <w:p>
            <w:pPr>
              <w:jc w:val="center"/>
              <w:rPr>
                <w:rFonts w:eastAsia="Calibri" w:cs="Arial"/>
                <w:color w:val="auto"/>
                <w:sz w:val="16"/>
                <w:szCs w:val="16"/>
              </w:rPr>
            </w:pPr>
          </w:p>
        </w:tc>
        <w:tc>
          <w:tcPr>
            <w:tcW w:w="981" w:type="dxa"/>
            <w:vAlign w:val="center"/>
          </w:tcPr>
          <w:p>
            <w:pPr>
              <w:jc w:val="center"/>
              <w:rPr>
                <w:rFonts w:eastAsia="Calibri" w:cs="Arial"/>
                <w:b/>
                <w:color w:val="auto"/>
                <w:sz w:val="16"/>
                <w:szCs w:val="16"/>
              </w:rPr>
            </w:pPr>
            <w:r>
              <w:rPr>
                <w:rFonts w:eastAsia="Calibri" w:cs="Arial"/>
                <w:b/>
                <w:color w:val="auto"/>
                <w:sz w:val="16"/>
                <w:szCs w:val="16"/>
              </w:rPr>
              <w:t>3 bulanan</w:t>
            </w:r>
          </w:p>
        </w:tc>
        <w:tc>
          <w:tcPr>
            <w:tcW w:w="992" w:type="dxa"/>
            <w:vAlign w:val="center"/>
          </w:tcPr>
          <w:p>
            <w:pPr>
              <w:jc w:val="center"/>
              <w:rPr>
                <w:rFonts w:eastAsia="Calibri" w:cs="Arial"/>
                <w:b/>
                <w:color w:val="auto"/>
                <w:sz w:val="16"/>
                <w:szCs w:val="16"/>
              </w:rPr>
            </w:pPr>
            <w:r>
              <w:rPr>
                <w:rFonts w:eastAsia="Calibri" w:cs="Arial"/>
                <w:b/>
                <w:color w:val="auto"/>
                <w:sz w:val="16"/>
                <w:szCs w:val="16"/>
              </w:rPr>
              <w:t>5 bulanan</w:t>
            </w:r>
          </w:p>
        </w:tc>
        <w:tc>
          <w:tcPr>
            <w:tcW w:w="915" w:type="dxa"/>
            <w:vAlign w:val="center"/>
          </w:tcPr>
          <w:p>
            <w:pPr>
              <w:jc w:val="center"/>
              <w:rPr>
                <w:rFonts w:eastAsia="Calibri" w:cs="Arial"/>
                <w:b/>
                <w:color w:val="auto"/>
                <w:sz w:val="16"/>
                <w:szCs w:val="16"/>
              </w:rPr>
            </w:pPr>
            <w:r>
              <w:rPr>
                <w:rFonts w:eastAsia="Calibri" w:cs="Arial"/>
                <w:b/>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3.000</w:t>
            </w:r>
          </w:p>
        </w:tc>
        <w:tc>
          <w:tcPr>
            <w:tcW w:w="98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157"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Februari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5.000</w:t>
            </w:r>
          </w:p>
        </w:tc>
        <w:tc>
          <w:tcPr>
            <w:tcW w:w="98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Maret</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16.199</w:t>
            </w:r>
          </w:p>
        </w:tc>
        <w:tc>
          <w:tcPr>
            <w:tcW w:w="98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April</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4.000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8.066</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Mei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6.000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8.400</w:t>
            </w:r>
          </w:p>
        </w:tc>
        <w:tc>
          <w:tcPr>
            <w:tcW w:w="992" w:type="dxa"/>
            <w:vAlign w:val="center"/>
          </w:tcPr>
          <w:p>
            <w:pPr>
              <w:jc w:val="center"/>
              <w:rPr>
                <w:rFonts w:eastAsia="Calibri" w:cs="Arial"/>
                <w:color w:val="auto"/>
                <w:sz w:val="16"/>
                <w:szCs w:val="16"/>
              </w:rPr>
            </w:pP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Juni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8.733</w:t>
            </w:r>
          </w:p>
        </w:tc>
        <w:tc>
          <w:tcPr>
            <w:tcW w:w="992" w:type="dxa"/>
            <w:vAlign w:val="center"/>
          </w:tcPr>
          <w:p>
            <w:pPr>
              <w:jc w:val="center"/>
              <w:rPr>
                <w:rFonts w:eastAsia="Calibri" w:cs="Arial"/>
                <w:color w:val="auto"/>
                <w:sz w:val="16"/>
                <w:szCs w:val="16"/>
              </w:rPr>
            </w:pPr>
            <w:r>
              <w:rPr>
                <w:rFonts w:eastAsia="Calibri" w:cs="Arial"/>
                <w:color w:val="auto"/>
                <w:sz w:val="16"/>
                <w:szCs w:val="16"/>
              </w:rPr>
              <w:t>6.840</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Juli</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3.800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4.233</w:t>
            </w:r>
          </w:p>
        </w:tc>
        <w:tc>
          <w:tcPr>
            <w:tcW w:w="992" w:type="dxa"/>
            <w:vAlign w:val="center"/>
          </w:tcPr>
          <w:p>
            <w:pPr>
              <w:jc w:val="center"/>
              <w:rPr>
                <w:rFonts w:eastAsia="Calibri" w:cs="Arial"/>
                <w:color w:val="auto"/>
                <w:sz w:val="16"/>
                <w:szCs w:val="16"/>
              </w:rPr>
            </w:pPr>
            <w:r>
              <w:rPr>
                <w:rFonts w:eastAsia="Calibri" w:cs="Arial"/>
                <w:color w:val="auto"/>
                <w:sz w:val="16"/>
                <w:szCs w:val="16"/>
              </w:rPr>
              <w:t>6.780</w:t>
            </w:r>
          </w:p>
        </w:tc>
        <w:tc>
          <w:tcPr>
            <w:tcW w:w="915"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Agustus</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4.167</w:t>
            </w:r>
          </w:p>
        </w:tc>
        <w:tc>
          <w:tcPr>
            <w:tcW w:w="992" w:type="dxa"/>
            <w:vAlign w:val="center"/>
          </w:tcPr>
          <w:p>
            <w:pPr>
              <w:jc w:val="center"/>
              <w:rPr>
                <w:rFonts w:eastAsia="Calibri" w:cs="Arial"/>
                <w:color w:val="auto"/>
                <w:sz w:val="16"/>
                <w:szCs w:val="16"/>
              </w:rPr>
            </w:pPr>
            <w:r>
              <w:rPr>
                <w:rFonts w:eastAsia="Calibri" w:cs="Arial"/>
                <w:color w:val="auto"/>
                <w:sz w:val="16"/>
                <w:szCs w:val="16"/>
              </w:rPr>
              <w:t>6.540</w:t>
            </w:r>
          </w:p>
        </w:tc>
        <w:tc>
          <w:tcPr>
            <w:tcW w:w="915" w:type="dxa"/>
            <w:vAlign w:val="center"/>
          </w:tcPr>
          <w:p>
            <w:pPr>
              <w:jc w:val="center"/>
              <w:rPr>
                <w:rFonts w:eastAsia="Calibri" w:cs="Arial"/>
                <w:color w:val="auto"/>
                <w:sz w:val="16"/>
                <w:szCs w:val="16"/>
              </w:rPr>
            </w:pPr>
            <w:r>
              <w:rPr>
                <w:rFonts w:eastAsia="Calibri" w:cs="Arial"/>
                <w:color w:val="auto"/>
                <w:sz w:val="16"/>
              </w:rPr>
              <w:t>5.814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September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3.300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2.667</w:t>
            </w:r>
          </w:p>
        </w:tc>
        <w:tc>
          <w:tcPr>
            <w:tcW w:w="992" w:type="dxa"/>
            <w:vAlign w:val="center"/>
          </w:tcPr>
          <w:p>
            <w:pPr>
              <w:jc w:val="center"/>
              <w:rPr>
                <w:rFonts w:eastAsia="Calibri" w:cs="Arial"/>
                <w:color w:val="auto"/>
                <w:sz w:val="16"/>
                <w:szCs w:val="16"/>
              </w:rPr>
            </w:pPr>
            <w:r>
              <w:rPr>
                <w:rFonts w:eastAsia="Calibri" w:cs="Arial"/>
                <w:color w:val="auto"/>
                <w:sz w:val="16"/>
                <w:szCs w:val="16"/>
              </w:rPr>
              <w:t>3.600</w:t>
            </w:r>
          </w:p>
        </w:tc>
        <w:tc>
          <w:tcPr>
            <w:tcW w:w="915" w:type="dxa"/>
            <w:vAlign w:val="center"/>
          </w:tcPr>
          <w:p>
            <w:pPr>
              <w:jc w:val="center"/>
              <w:rPr>
                <w:rFonts w:eastAsia="Calibri" w:cs="Arial"/>
                <w:color w:val="auto"/>
                <w:sz w:val="16"/>
                <w:szCs w:val="16"/>
              </w:rPr>
            </w:pPr>
            <w:r>
              <w:rPr>
                <w:rFonts w:eastAsia="Calibri" w:cs="Arial"/>
                <w:color w:val="auto"/>
                <w:sz w:val="16"/>
              </w:rPr>
              <w:t>5.600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Oktober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2.867</w:t>
            </w:r>
          </w:p>
        </w:tc>
        <w:tc>
          <w:tcPr>
            <w:tcW w:w="992" w:type="dxa"/>
            <w:vAlign w:val="center"/>
          </w:tcPr>
          <w:p>
            <w:pPr>
              <w:jc w:val="center"/>
              <w:rPr>
                <w:rFonts w:eastAsia="Calibri" w:cs="Arial"/>
                <w:color w:val="auto"/>
                <w:sz w:val="16"/>
                <w:szCs w:val="16"/>
              </w:rPr>
            </w:pPr>
            <w:r>
              <w:rPr>
                <w:rFonts w:eastAsia="Calibri" w:cs="Arial"/>
                <w:color w:val="auto"/>
                <w:sz w:val="16"/>
                <w:szCs w:val="16"/>
              </w:rPr>
              <w:t>3.460</w:t>
            </w:r>
          </w:p>
        </w:tc>
        <w:tc>
          <w:tcPr>
            <w:tcW w:w="915" w:type="dxa"/>
            <w:vAlign w:val="center"/>
          </w:tcPr>
          <w:p>
            <w:pPr>
              <w:jc w:val="center"/>
              <w:rPr>
                <w:rFonts w:eastAsia="Calibri" w:cs="Arial"/>
                <w:color w:val="auto"/>
                <w:sz w:val="16"/>
                <w:szCs w:val="16"/>
              </w:rPr>
            </w:pPr>
            <w:r>
              <w:rPr>
                <w:rFonts w:eastAsia="Calibri" w:cs="Arial"/>
                <w:color w:val="auto"/>
                <w:sz w:val="16"/>
              </w:rPr>
              <w:t>5.357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November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6.145</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2.500</w:t>
            </w:r>
          </w:p>
        </w:tc>
        <w:tc>
          <w:tcPr>
            <w:tcW w:w="992" w:type="dxa"/>
            <w:vAlign w:val="center"/>
          </w:tcPr>
          <w:p>
            <w:pPr>
              <w:jc w:val="center"/>
              <w:rPr>
                <w:rFonts w:eastAsia="Calibri" w:cs="Arial"/>
                <w:color w:val="auto"/>
                <w:sz w:val="16"/>
                <w:szCs w:val="16"/>
              </w:rPr>
            </w:pPr>
            <w:r>
              <w:rPr>
                <w:rFonts w:eastAsia="Calibri" w:cs="Arial"/>
                <w:color w:val="auto"/>
                <w:sz w:val="16"/>
                <w:szCs w:val="16"/>
              </w:rPr>
              <w:t>2.800</w:t>
            </w:r>
          </w:p>
        </w:tc>
        <w:tc>
          <w:tcPr>
            <w:tcW w:w="915" w:type="dxa"/>
            <w:vAlign w:val="center"/>
          </w:tcPr>
          <w:p>
            <w:pPr>
              <w:jc w:val="center"/>
              <w:rPr>
                <w:rFonts w:eastAsia="Calibri" w:cs="Arial"/>
                <w:color w:val="auto"/>
                <w:sz w:val="16"/>
                <w:szCs w:val="16"/>
              </w:rPr>
            </w:pPr>
            <w:r>
              <w:rPr>
                <w:rFonts w:eastAsia="Calibri" w:cs="Arial"/>
                <w:color w:val="auto"/>
                <w:sz w:val="16"/>
              </w:rPr>
              <w:t>3.429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Desember</w:t>
            </w:r>
          </w:p>
        </w:tc>
        <w:tc>
          <w:tcPr>
            <w:tcW w:w="1045" w:type="dxa"/>
            <w:vAlign w:val="center"/>
          </w:tcPr>
          <w:p>
            <w:pPr>
              <w:jc w:val="center"/>
              <w:rPr>
                <w:rFonts w:eastAsia="Calibri" w:cs="Times New Roman"/>
                <w:color w:val="auto"/>
                <w:sz w:val="16"/>
                <w:szCs w:val="16"/>
              </w:rPr>
            </w:pPr>
            <w:r>
              <w:rPr>
                <w:rFonts w:eastAsia="Calibri" w:cs="Times New Roman"/>
                <w:color w:val="auto"/>
                <w:sz w:val="16"/>
                <w:szCs w:val="16"/>
              </w:rPr>
              <w:t>16.584</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4.048</w:t>
            </w:r>
          </w:p>
        </w:tc>
        <w:tc>
          <w:tcPr>
            <w:tcW w:w="992" w:type="dxa"/>
            <w:vAlign w:val="center"/>
          </w:tcPr>
          <w:p>
            <w:pPr>
              <w:jc w:val="center"/>
              <w:rPr>
                <w:rFonts w:eastAsia="Calibri" w:cs="Arial"/>
                <w:color w:val="auto"/>
                <w:sz w:val="16"/>
                <w:szCs w:val="16"/>
              </w:rPr>
            </w:pPr>
            <w:r>
              <w:rPr>
                <w:rFonts w:eastAsia="Calibri" w:cs="Arial"/>
                <w:color w:val="auto"/>
                <w:sz w:val="16"/>
                <w:szCs w:val="16"/>
              </w:rPr>
              <w:t>3.489</w:t>
            </w:r>
          </w:p>
        </w:tc>
        <w:tc>
          <w:tcPr>
            <w:tcW w:w="915" w:type="dxa"/>
            <w:vAlign w:val="center"/>
          </w:tcPr>
          <w:p>
            <w:pPr>
              <w:jc w:val="center"/>
              <w:rPr>
                <w:rFonts w:eastAsia="Calibri" w:cs="Arial"/>
                <w:color w:val="auto"/>
                <w:sz w:val="16"/>
                <w:szCs w:val="16"/>
              </w:rPr>
            </w:pPr>
            <w:r>
              <w:rPr>
                <w:rFonts w:eastAsia="Calibri" w:cs="Arial"/>
                <w:color w:val="auto"/>
                <w:sz w:val="16"/>
              </w:rPr>
              <w:t>3.735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1093"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1045" w:type="dxa"/>
            <w:vAlign w:val="center"/>
          </w:tcPr>
          <w:p>
            <w:pPr>
              <w:jc w:val="center"/>
              <w:rPr>
                <w:rFonts w:eastAsia="Calibri" w:cs="Times New Roman"/>
                <w:color w:val="auto"/>
                <w:sz w:val="16"/>
                <w:szCs w:val="16"/>
              </w:rPr>
            </w:pP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8.476</w:t>
            </w:r>
          </w:p>
        </w:tc>
        <w:tc>
          <w:tcPr>
            <w:tcW w:w="992" w:type="dxa"/>
            <w:vAlign w:val="center"/>
          </w:tcPr>
          <w:p>
            <w:pPr>
              <w:jc w:val="center"/>
              <w:rPr>
                <w:rFonts w:eastAsia="Calibri" w:cs="Arial"/>
                <w:color w:val="auto"/>
                <w:sz w:val="16"/>
                <w:szCs w:val="16"/>
              </w:rPr>
            </w:pPr>
            <w:r>
              <w:rPr>
                <w:rFonts w:eastAsia="Calibri" w:cs="Arial"/>
                <w:color w:val="auto"/>
                <w:sz w:val="16"/>
                <w:szCs w:val="16"/>
              </w:rPr>
              <w:t>6.046</w:t>
            </w:r>
          </w:p>
        </w:tc>
        <w:tc>
          <w:tcPr>
            <w:tcW w:w="915" w:type="dxa"/>
            <w:vAlign w:val="center"/>
          </w:tcPr>
          <w:p>
            <w:pPr>
              <w:jc w:val="center"/>
              <w:rPr>
                <w:rFonts w:eastAsia="Calibri" w:cs="Arial"/>
                <w:color w:val="auto"/>
                <w:sz w:val="16"/>
                <w:szCs w:val="16"/>
              </w:rPr>
            </w:pPr>
            <w:r>
              <w:rPr>
                <w:rFonts w:eastAsia="Calibri" w:cs="Arial"/>
                <w:bCs/>
                <w:color w:val="auto"/>
                <w:sz w:val="16"/>
              </w:rPr>
              <w:t>5.247</w:t>
            </w:r>
          </w:p>
        </w:tc>
      </w:tr>
    </w:tbl>
    <w:p>
      <w:pPr>
        <w:ind w:left="567" w:hanging="567"/>
        <w:rPr>
          <w:rFonts w:eastAsia="MS Mincho"/>
          <w:color w:val="auto"/>
          <w:sz w:val="16"/>
          <w:szCs w:val="16"/>
        </w:rPr>
      </w:pPr>
    </w:p>
    <w:p>
      <w:pPr>
        <w:spacing w:line="360" w:lineRule="auto"/>
        <w:ind w:left="567" w:hanging="567"/>
        <w:rPr>
          <w:rFonts w:eastAsia="MS Mincho"/>
          <w:color w:val="auto"/>
          <w:sz w:val="16"/>
          <w:szCs w:val="16"/>
        </w:rPr>
      </w:pPr>
      <w:r>
        <w:rPr>
          <w:rFonts w:eastAsia="MS Mincho"/>
          <w:color w:val="auto"/>
          <w:sz w:val="16"/>
          <w:szCs w:val="16"/>
        </w:rPr>
        <w:t xml:space="preserve">Tabel 7. Peramalan menggunakan metode </w:t>
      </w:r>
      <w:r>
        <w:rPr>
          <w:rFonts w:eastAsia="MS Mincho"/>
          <w:i/>
          <w:color w:val="auto"/>
          <w:sz w:val="16"/>
          <w:szCs w:val="16"/>
        </w:rPr>
        <w:t>moving average</w:t>
      </w:r>
      <w:r>
        <w:rPr>
          <w:rFonts w:eastAsia="MS Mincho"/>
          <w:color w:val="auto"/>
          <w:sz w:val="16"/>
          <w:szCs w:val="16"/>
        </w:rPr>
        <w:t xml:space="preserve"> untuk komoditas kopra bulan Januari 2021</w:t>
      </w:r>
    </w:p>
    <w:tbl>
      <w:tblPr>
        <w:tblStyle w:val="26"/>
        <w:tblW w:w="5017"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276"/>
        <w:gridCol w:w="992"/>
        <w:gridCol w:w="851"/>
        <w:gridCol w:w="992"/>
        <w:gridCol w:w="906"/>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blHeader/>
        </w:trPr>
        <w:tc>
          <w:tcPr>
            <w:tcW w:w="1276" w:type="dxa"/>
            <w:vMerge w:val="restart"/>
            <w:vAlign w:val="center"/>
          </w:tcPr>
          <w:p>
            <w:pPr>
              <w:ind w:firstLine="284"/>
              <w:jc w:val="left"/>
              <w:rPr>
                <w:rFonts w:eastAsia="Calibri" w:cs="Times New Roman"/>
                <w:b/>
                <w:bCs/>
                <w:color w:val="auto"/>
                <w:sz w:val="16"/>
                <w:szCs w:val="16"/>
              </w:rPr>
            </w:pPr>
            <w:r>
              <w:rPr>
                <w:rFonts w:eastAsia="Calibri" w:cs="Times New Roman"/>
                <w:b/>
                <w:bCs/>
                <w:color w:val="auto"/>
                <w:sz w:val="16"/>
                <w:szCs w:val="16"/>
              </w:rPr>
              <w:t>Bulan</w:t>
            </w:r>
          </w:p>
        </w:tc>
        <w:tc>
          <w:tcPr>
            <w:tcW w:w="992"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749"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blHeader/>
        </w:trPr>
        <w:tc>
          <w:tcPr>
            <w:tcW w:w="1276" w:type="dxa"/>
            <w:vMerge w:val="continue"/>
            <w:vAlign w:val="center"/>
          </w:tcPr>
          <w:p>
            <w:pPr>
              <w:ind w:firstLine="284"/>
              <w:jc w:val="left"/>
              <w:rPr>
                <w:rFonts w:eastAsia="Calibri" w:cs="Arial"/>
                <w:color w:val="auto"/>
                <w:sz w:val="16"/>
                <w:szCs w:val="16"/>
              </w:rPr>
            </w:pPr>
          </w:p>
        </w:tc>
        <w:tc>
          <w:tcPr>
            <w:tcW w:w="992" w:type="dxa"/>
            <w:vMerge w:val="continue"/>
            <w:vAlign w:val="center"/>
          </w:tcPr>
          <w:p>
            <w:pPr>
              <w:jc w:val="center"/>
              <w:rPr>
                <w:rFonts w:eastAsia="Calibri" w:cs="Arial"/>
                <w:color w:val="auto"/>
                <w:sz w:val="16"/>
                <w:szCs w:val="16"/>
              </w:rPr>
            </w:pPr>
          </w:p>
        </w:tc>
        <w:tc>
          <w:tcPr>
            <w:tcW w:w="851" w:type="dxa"/>
            <w:vAlign w:val="center"/>
          </w:tcPr>
          <w:p>
            <w:pPr>
              <w:jc w:val="center"/>
              <w:rPr>
                <w:rFonts w:eastAsia="Calibri" w:cs="Arial"/>
                <w:b/>
                <w:color w:val="auto"/>
                <w:sz w:val="16"/>
                <w:szCs w:val="16"/>
              </w:rPr>
            </w:pPr>
            <w:r>
              <w:rPr>
                <w:rFonts w:eastAsia="Calibri" w:cs="Arial"/>
                <w:b/>
                <w:color w:val="auto"/>
                <w:sz w:val="16"/>
                <w:szCs w:val="16"/>
              </w:rPr>
              <w:t>3 bulanan</w:t>
            </w:r>
          </w:p>
        </w:tc>
        <w:tc>
          <w:tcPr>
            <w:tcW w:w="992" w:type="dxa"/>
            <w:vAlign w:val="center"/>
          </w:tcPr>
          <w:p>
            <w:pPr>
              <w:jc w:val="center"/>
              <w:rPr>
                <w:rFonts w:eastAsia="Calibri" w:cs="Arial"/>
                <w:b/>
                <w:color w:val="auto"/>
                <w:sz w:val="16"/>
                <w:szCs w:val="16"/>
              </w:rPr>
            </w:pPr>
            <w:r>
              <w:rPr>
                <w:rFonts w:eastAsia="Calibri" w:cs="Arial"/>
                <w:b/>
                <w:color w:val="auto"/>
                <w:sz w:val="16"/>
                <w:szCs w:val="16"/>
              </w:rPr>
              <w:t>5 bulanan</w:t>
            </w:r>
          </w:p>
        </w:tc>
        <w:tc>
          <w:tcPr>
            <w:tcW w:w="906" w:type="dxa"/>
            <w:vAlign w:val="center"/>
          </w:tcPr>
          <w:p>
            <w:pPr>
              <w:jc w:val="center"/>
              <w:rPr>
                <w:rFonts w:eastAsia="Calibri" w:cs="Arial"/>
                <w:b/>
                <w:color w:val="auto"/>
                <w:sz w:val="16"/>
                <w:szCs w:val="16"/>
              </w:rPr>
            </w:pPr>
            <w:r>
              <w:rPr>
                <w:rFonts w:eastAsia="Calibri" w:cs="Arial"/>
                <w:b/>
                <w:color w:val="auto"/>
                <w:sz w:val="16"/>
                <w:szCs w:val="16"/>
              </w:rPr>
              <w:t>7 bulanan</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1.905</w:t>
            </w:r>
          </w:p>
        </w:tc>
        <w:tc>
          <w:tcPr>
            <w:tcW w:w="85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Februari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Maret</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April</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1.802</w:t>
            </w: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Mei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Juni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1.833</w:t>
            </w:r>
          </w:p>
        </w:tc>
        <w:tc>
          <w:tcPr>
            <w:tcW w:w="992" w:type="dxa"/>
            <w:vAlign w:val="center"/>
          </w:tcPr>
          <w:p>
            <w:pPr>
              <w:jc w:val="center"/>
              <w:rPr>
                <w:rFonts w:eastAsia="Calibri" w:cs="Arial"/>
                <w:color w:val="auto"/>
                <w:sz w:val="16"/>
                <w:szCs w:val="16"/>
              </w:rPr>
            </w:pPr>
            <w:r>
              <w:rPr>
                <w:rFonts w:eastAsia="Calibri" w:cs="Arial"/>
                <w:color w:val="auto"/>
                <w:sz w:val="16"/>
                <w:szCs w:val="16"/>
              </w:rPr>
              <w:t>1.781</w:t>
            </w: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Juli</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Agustus</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1.701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September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Oktober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1.667</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November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1.700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1.833</w:t>
            </w:r>
          </w:p>
        </w:tc>
        <w:tc>
          <w:tcPr>
            <w:tcW w:w="992" w:type="dxa"/>
            <w:vAlign w:val="center"/>
          </w:tcPr>
          <w:p>
            <w:pPr>
              <w:jc w:val="center"/>
              <w:rPr>
                <w:rFonts w:eastAsia="Calibri" w:cs="Arial"/>
                <w:color w:val="auto"/>
                <w:sz w:val="16"/>
                <w:szCs w:val="16"/>
              </w:rPr>
            </w:pPr>
            <w:r>
              <w:rPr>
                <w:rFonts w:eastAsia="Calibri" w:cs="Arial"/>
                <w:color w:val="auto"/>
                <w:sz w:val="16"/>
                <w:szCs w:val="16"/>
              </w:rPr>
              <w:t>1.700</w:t>
            </w:r>
          </w:p>
        </w:tc>
        <w:tc>
          <w:tcPr>
            <w:tcW w:w="906" w:type="dxa"/>
            <w:vAlign w:val="center"/>
          </w:tcPr>
          <w:p>
            <w:pPr>
              <w:jc w:val="center"/>
              <w:rPr>
                <w:rFonts w:eastAsia="Calibri" w:cs="Arial"/>
                <w:color w:val="auto"/>
                <w:sz w:val="16"/>
                <w:szCs w:val="16"/>
              </w:rPr>
            </w:pPr>
            <w:r>
              <w:rPr>
                <w:rFonts w:eastAsia="Calibri" w:cs="Arial"/>
                <w:color w:val="auto"/>
                <w:sz w:val="16"/>
              </w:rPr>
              <w:t>1.714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Desember</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1.733</w:t>
            </w:r>
          </w:p>
        </w:tc>
        <w:tc>
          <w:tcPr>
            <w:tcW w:w="992" w:type="dxa"/>
            <w:vAlign w:val="center"/>
          </w:tcPr>
          <w:p>
            <w:pPr>
              <w:jc w:val="center"/>
              <w:rPr>
                <w:rFonts w:eastAsia="Calibri" w:cs="Arial"/>
                <w:color w:val="auto"/>
                <w:sz w:val="16"/>
                <w:szCs w:val="16"/>
              </w:rPr>
            </w:pPr>
            <w:r>
              <w:rPr>
                <w:rFonts w:eastAsia="Calibri" w:cs="Arial"/>
                <w:color w:val="auto"/>
                <w:sz w:val="16"/>
                <w:szCs w:val="16"/>
              </w:rPr>
              <w:t>1.740</w:t>
            </w:r>
          </w:p>
        </w:tc>
        <w:tc>
          <w:tcPr>
            <w:tcW w:w="906" w:type="dxa"/>
            <w:vAlign w:val="center"/>
          </w:tcPr>
          <w:p>
            <w:pPr>
              <w:jc w:val="center"/>
              <w:rPr>
                <w:rFonts w:eastAsia="Calibri" w:cs="Arial"/>
                <w:color w:val="auto"/>
                <w:sz w:val="16"/>
                <w:szCs w:val="16"/>
              </w:rPr>
            </w:pPr>
            <w:r>
              <w:rPr>
                <w:rFonts w:eastAsia="Calibri" w:cs="Arial"/>
                <w:color w:val="auto"/>
                <w:sz w:val="16"/>
              </w:rPr>
              <w:t>1.743</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97" w:hRule="atLeast"/>
        </w:trPr>
        <w:tc>
          <w:tcPr>
            <w:tcW w:w="1276" w:type="dxa"/>
            <w:vAlign w:val="center"/>
          </w:tcPr>
          <w:p>
            <w:pPr>
              <w:ind w:firstLine="284"/>
              <w:jc w:val="left"/>
              <w:rPr>
                <w:rFonts w:eastAsia="Calibri" w:cs="Times New Roman"/>
                <w:color w:val="auto"/>
                <w:sz w:val="16"/>
                <w:szCs w:val="16"/>
              </w:rPr>
            </w:pPr>
            <w:r>
              <w:rPr>
                <w:rFonts w:eastAsia="Calibri" w:cs="Times New Roman"/>
                <w:color w:val="auto"/>
                <w:sz w:val="16"/>
                <w:szCs w:val="16"/>
              </w:rPr>
              <w:t>Januari</w:t>
            </w:r>
          </w:p>
        </w:tc>
        <w:tc>
          <w:tcPr>
            <w:tcW w:w="992" w:type="dxa"/>
            <w:vAlign w:val="center"/>
          </w:tcPr>
          <w:p>
            <w:pPr>
              <w:jc w:val="center"/>
              <w:rPr>
                <w:rFonts w:eastAsia="Calibri" w:cs="Times New Roman"/>
                <w:color w:val="auto"/>
                <w:sz w:val="16"/>
                <w:szCs w:val="16"/>
              </w:rPr>
            </w:pPr>
          </w:p>
        </w:tc>
        <w:tc>
          <w:tcPr>
            <w:tcW w:w="851" w:type="dxa"/>
            <w:vAlign w:val="center"/>
          </w:tcPr>
          <w:p>
            <w:pPr>
              <w:jc w:val="center"/>
              <w:rPr>
                <w:rFonts w:eastAsia="Calibri" w:cs="Times New Roman"/>
                <w:color w:val="auto"/>
                <w:sz w:val="16"/>
                <w:szCs w:val="16"/>
              </w:rPr>
            </w:pPr>
            <w:r>
              <w:rPr>
                <w:rFonts w:eastAsia="Calibri" w:cs="Times New Roman"/>
                <w:color w:val="auto"/>
                <w:sz w:val="16"/>
                <w:szCs w:val="16"/>
              </w:rPr>
              <w:t>1.900</w:t>
            </w:r>
          </w:p>
        </w:tc>
        <w:tc>
          <w:tcPr>
            <w:tcW w:w="992" w:type="dxa"/>
            <w:vAlign w:val="center"/>
          </w:tcPr>
          <w:p>
            <w:pPr>
              <w:jc w:val="center"/>
              <w:rPr>
                <w:rFonts w:eastAsia="Calibri" w:cs="Arial"/>
                <w:color w:val="auto"/>
                <w:sz w:val="16"/>
                <w:szCs w:val="16"/>
              </w:rPr>
            </w:pPr>
            <w:r>
              <w:rPr>
                <w:rFonts w:eastAsia="Calibri" w:cs="Arial"/>
                <w:color w:val="auto"/>
                <w:sz w:val="16"/>
                <w:szCs w:val="16"/>
              </w:rPr>
              <w:t>1.840</w:t>
            </w:r>
          </w:p>
        </w:tc>
        <w:tc>
          <w:tcPr>
            <w:tcW w:w="906" w:type="dxa"/>
            <w:vAlign w:val="center"/>
          </w:tcPr>
          <w:p>
            <w:pPr>
              <w:jc w:val="center"/>
              <w:rPr>
                <w:rFonts w:eastAsia="Calibri" w:cs="Arial"/>
                <w:color w:val="auto"/>
                <w:sz w:val="16"/>
                <w:szCs w:val="16"/>
              </w:rPr>
            </w:pPr>
            <w:r>
              <w:rPr>
                <w:rFonts w:eastAsia="Calibri" w:cs="Arial"/>
                <w:bCs/>
                <w:color w:val="auto"/>
                <w:sz w:val="16"/>
              </w:rPr>
              <w:t>1.743</w:t>
            </w:r>
          </w:p>
        </w:tc>
      </w:tr>
    </w:tbl>
    <w:p>
      <w:pPr>
        <w:ind w:left="567" w:hanging="567"/>
        <w:rPr>
          <w:rFonts w:eastAsia="MS Mincho"/>
          <w:color w:val="auto"/>
          <w:sz w:val="16"/>
          <w:szCs w:val="16"/>
        </w:rPr>
      </w:pPr>
    </w:p>
    <w:p>
      <w:pPr>
        <w:ind w:firstLine="432"/>
        <w:rPr>
          <w:rFonts w:eastAsia="MS Mincho"/>
          <w:color w:val="auto"/>
        </w:rPr>
      </w:pPr>
      <w:r>
        <w:rPr>
          <w:rFonts w:eastAsia="MS Mincho"/>
          <w:color w:val="auto"/>
        </w:rPr>
        <w:t xml:space="preserve">Berdasarkan hasil perhitungan yang telah dilakukan, diramalkan dengan menggunakan metode </w:t>
      </w:r>
      <w:r>
        <w:rPr>
          <w:rFonts w:eastAsia="MS Mincho"/>
          <w:i/>
          <w:color w:val="auto"/>
        </w:rPr>
        <w:t>moving average</w:t>
      </w:r>
      <w:r>
        <w:rPr>
          <w:rFonts w:eastAsia="MS Mincho"/>
          <w:color w:val="auto"/>
        </w:rPr>
        <w:t xml:space="preserve"> 3 bulanan pada bulan Januari tahun 2021 jumlah komoditas CPO yang akan dilakukan bongkar muat  sebanyak 122.124 ton, aspal sebanyak 4.912 ton, PKE sebanyak 8.476 ton, dan kopra sebanyak 1.900. Sementara itu, penggunaan nilai pergerakan 5 bulanan memberikan hasil ramalan jumlah komoditas CPO pada bulan Januari 2021 adalah 86.062 ton, aspal sebanyak 4.736 ton, PKE sebanyak 6.046 ton, serta kopra sebanyak 1.840 ton. Hasil peramalan menggunakan nilai pergerakan 7 bulanan cenderung lebih rendah dari nilai pergerakan sebelumnya untuk komoditas aspal, PKE, dan kopra sedangkan untuk CPO hasil peramalannya masih berada diatas nilai pergerakan 5 bulanan. Jumlah persediaan komoditas yang akan dilakukan bongkar muat berdasarkan peramalan menggunakan nilai pergerakan 7 bulanan  adalah 88.293 ton CPO, 4.374 ton aspal, 5.247 ton PKE, dan 1.743 ton kopra.</w:t>
      </w:r>
    </w:p>
    <w:p>
      <w:pPr>
        <w:rPr>
          <w:rFonts w:eastAsia="MS Mincho"/>
          <w:color w:val="auto"/>
        </w:rPr>
      </w:pPr>
    </w:p>
    <w:p>
      <w:pPr>
        <w:pStyle w:val="3"/>
        <w:rPr>
          <w:color w:val="auto"/>
        </w:rPr>
      </w:pPr>
      <w:r>
        <w:rPr>
          <w:color w:val="auto"/>
        </w:rPr>
        <w:t>Peramalan metode exponential smoothing</w:t>
      </w:r>
    </w:p>
    <w:p>
      <w:pPr>
        <w:ind w:firstLine="426"/>
        <w:rPr>
          <w:rFonts w:eastAsia="MS Mincho"/>
          <w:color w:val="auto"/>
        </w:rPr>
      </w:pPr>
      <w:r>
        <w:rPr>
          <w:rFonts w:eastAsia="MS Mincho"/>
          <w:color w:val="auto"/>
        </w:rPr>
        <w:t xml:space="preserve">Peramalan menggunakan metode </w:t>
      </w:r>
      <w:r>
        <w:rPr>
          <w:rFonts w:eastAsia="MS Mincho"/>
          <w:i/>
          <w:color w:val="auto"/>
        </w:rPr>
        <w:t>exponential smoothing</w:t>
      </w:r>
      <w:r>
        <w:rPr>
          <w:rFonts w:eastAsia="MS Mincho"/>
          <w:color w:val="auto"/>
        </w:rPr>
        <w:t xml:space="preserve"> dilakukan dengan mengumpulkan data penjualan secara aktual mulai dari bulan Januari hingga Desember 2020. Perhitungan peramalan dilakukan mulai pada bulan Maret 2020. Pada bulan Februari 2020, nilai peramalan diasumsikan sama dengan data penjualan aktual bulan Januari dikarenakan pada bulan Januari belum bisa dilakukan peramalan. Peramalan persediaan komoditas CPO dengan menggunakan metode exponential smoothing α = 0,1 adalah sebagai berikut.</w:t>
      </w:r>
    </w:p>
    <w:p>
      <w:pPr>
        <w:ind w:firstLine="426"/>
        <w:rPr>
          <w:rFonts w:eastAsia="MS Mincho"/>
          <w:color w:val="auto"/>
        </w:rPr>
      </w:pPr>
    </w:p>
    <w:p>
      <w:pPr>
        <w:ind w:firstLine="432"/>
        <w:rPr>
          <w:rFonts w:eastAsia="MS Mincho"/>
          <w:color w:val="auto"/>
          <w:spacing w:val="-8"/>
          <w:szCs w:val="16"/>
        </w:rPr>
      </w:pPr>
      <m:oMathPara>
        <m:oMathParaPr>
          <m:jc m:val="left"/>
        </m:oMathParaPr>
        <m:oMath>
          <m:sSub>
            <m:sSubPr>
              <m:ctrlPr>
                <w:rPr>
                  <w:rFonts w:ascii="Cambria Math" w:hAnsi="Cambria Math"/>
                  <w:i/>
                  <w:color w:val="auto"/>
                </w:rPr>
              </m:ctrlPr>
            </m:sSubPr>
            <m:e>
              <m:r>
                <m:rPr/>
                <w:rPr>
                  <w:rFonts w:ascii="Cambria Math" w:hAnsi="Cambria Math"/>
                  <w:color w:val="auto"/>
                </w:rPr>
                <m:t>F</m:t>
              </m:r>
              <m:ctrlPr>
                <w:rPr>
                  <w:rFonts w:ascii="Cambria Math" w:hAnsi="Cambria Math"/>
                  <w:i/>
                  <w:color w:val="auto"/>
                </w:rPr>
              </m:ctrlPr>
            </m:e>
            <m:sub>
              <m:r>
                <m:rPr/>
                <w:rPr>
                  <w:rFonts w:ascii="Cambria Math" w:hAnsi="Cambria Math"/>
                  <w:color w:val="auto"/>
                </w:rPr>
                <m:t>Maret 2020</m:t>
              </m:r>
              <m:ctrlPr>
                <w:rPr>
                  <w:rFonts w:ascii="Cambria Math" w:hAnsi="Cambria Math"/>
                  <w:i/>
                  <w:color w:val="auto"/>
                </w:rPr>
              </m:ctrlPr>
            </m:sub>
          </m:sSub>
          <m:r>
            <m:rPr/>
            <w:rPr>
              <w:rFonts w:ascii="Cambria Math" w:hAnsi="Cambria Math"/>
              <w:color w:val="auto"/>
            </w:rPr>
            <m:t>=0,1 .  85.647+</m:t>
          </m:r>
          <m:d>
            <m:dPr>
              <m:ctrlPr>
                <w:rPr>
                  <w:rFonts w:ascii="Cambria Math" w:hAnsi="Cambria Math"/>
                  <w:i/>
                  <w:color w:val="auto"/>
                </w:rPr>
              </m:ctrlPr>
            </m:dPr>
            <m:e>
              <m:r>
                <m:rPr/>
                <w:rPr>
                  <w:rFonts w:ascii="Cambria Math" w:hAnsi="Cambria Math"/>
                  <w:color w:val="auto"/>
                </w:rPr>
                <m:t>1−0,1</m:t>
              </m:r>
              <m:ctrlPr>
                <w:rPr>
                  <w:rFonts w:ascii="Cambria Math" w:hAnsi="Cambria Math"/>
                  <w:i/>
                  <w:color w:val="auto"/>
                </w:rPr>
              </m:ctrlPr>
            </m:e>
          </m:d>
          <m:r>
            <m:rPr/>
            <w:rPr>
              <w:rFonts w:ascii="Cambria Math" w:hAnsi="Cambria Math"/>
              <w:color w:val="auto"/>
            </w:rPr>
            <m:t>69.513</m:t>
          </m:r>
        </m:oMath>
      </m:oMathPara>
    </w:p>
    <w:p>
      <w:pPr>
        <w:ind w:left="993" w:hanging="561"/>
        <w:rPr>
          <w:rFonts w:eastAsia="MS Mincho"/>
          <w:color w:val="auto"/>
        </w:rPr>
      </w:pPr>
      <m:oMathPara>
        <m:oMathParaPr>
          <m:jc m:val="left"/>
        </m:oMathParaPr>
        <m:oMath>
          <m:r>
            <m:rPr/>
            <w:rPr>
              <w:rFonts w:ascii="Cambria Math" w:hAnsi="Cambria Math" w:eastAsia="MS Mincho"/>
              <w:color w:val="auto"/>
            </w:rPr>
            <m:t>=8.564,7+62.561,7</m:t>
          </m:r>
        </m:oMath>
      </m:oMathPara>
    </w:p>
    <w:p>
      <w:pPr>
        <w:ind w:left="993" w:hanging="561"/>
        <w:rPr>
          <w:rFonts w:eastAsia="MS Mincho"/>
          <w:color w:val="auto"/>
        </w:rPr>
      </w:pPr>
      <m:oMathPara>
        <m:oMathParaPr>
          <m:jc m:val="left"/>
        </m:oMathParaPr>
        <m:oMath>
          <m:r>
            <m:rPr/>
            <w:rPr>
              <w:rFonts w:ascii="Cambria Math" w:hAnsi="Cambria Math" w:eastAsia="MS Mincho"/>
              <w:color w:val="auto"/>
            </w:rPr>
            <m:t>=71.126,4</m:t>
          </m:r>
        </m:oMath>
      </m:oMathPara>
    </w:p>
    <w:p>
      <w:pPr>
        <w:rPr>
          <w:rFonts w:eastAsia="MS Mincho"/>
          <w:color w:val="auto"/>
        </w:rPr>
      </w:pPr>
    </w:p>
    <w:p>
      <w:pPr>
        <w:rPr>
          <w:rFonts w:eastAsia="MS Mincho"/>
          <w:color w:val="auto"/>
        </w:rPr>
      </w:pPr>
      <w:r>
        <w:rPr>
          <w:rFonts w:eastAsia="MS Mincho"/>
          <w:color w:val="auto"/>
        </w:rPr>
        <w:t>Hasil perhitungan peramalan jumlah persediaan komoditas CPO, aspal, PKE, dan kopra dengan metode exponential smoothing disajikan pada Tabel 8, 9, 10, dan 11.</w:t>
      </w:r>
    </w:p>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8. Peramalan menggunakan metode </w:t>
      </w:r>
      <w:r>
        <w:rPr>
          <w:rFonts w:eastAsia="MS Mincho"/>
          <w:i/>
          <w:color w:val="auto"/>
          <w:sz w:val="16"/>
          <w:szCs w:val="16"/>
        </w:rPr>
        <w:t>moving average</w:t>
      </w:r>
      <w:r>
        <w:rPr>
          <w:rFonts w:eastAsia="MS Mincho"/>
          <w:color w:val="auto"/>
          <w:sz w:val="16"/>
          <w:szCs w:val="16"/>
        </w:rPr>
        <w:t xml:space="preserve"> untuk komoditas CPO bulan Januari 2021</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9"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3"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904"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9" w:type="dxa"/>
            <w:vMerge w:val="continue"/>
            <w:vAlign w:val="center"/>
          </w:tcPr>
          <w:p>
            <w:pPr>
              <w:ind w:firstLine="142"/>
              <w:jc w:val="left"/>
              <w:rPr>
                <w:rFonts w:eastAsia="Calibri" w:cs="Arial"/>
                <w:b/>
                <w:bCs/>
                <w:color w:val="auto"/>
                <w:sz w:val="16"/>
                <w:szCs w:val="16"/>
              </w:rPr>
            </w:pPr>
          </w:p>
        </w:tc>
        <w:tc>
          <w:tcPr>
            <w:tcW w:w="983" w:type="dxa"/>
            <w:vMerge w:val="continue"/>
            <w:vAlign w:val="center"/>
          </w:tcPr>
          <w:p>
            <w:pPr>
              <w:jc w:val="center"/>
              <w:rPr>
                <w:rFonts w:eastAsia="Calibri" w:cs="Arial"/>
                <w:b/>
                <w:bCs/>
                <w:color w:val="auto"/>
                <w:sz w:val="16"/>
                <w:szCs w:val="16"/>
              </w:rPr>
            </w:pP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0,1</w:t>
            </w:r>
          </w:p>
        </w:tc>
        <w:tc>
          <w:tcPr>
            <w:tcW w:w="992" w:type="dxa"/>
            <w:vAlign w:val="center"/>
          </w:tcPr>
          <w:p>
            <w:pPr>
              <w:jc w:val="center"/>
              <w:rPr>
                <w:rFonts w:eastAsia="Calibri" w:cs="Arial"/>
                <w:b/>
                <w:bCs/>
                <w:iCs/>
                <w:color w:val="auto"/>
                <w:sz w:val="16"/>
                <w:szCs w:val="16"/>
              </w:rPr>
            </w:pPr>
            <w:r>
              <w:rPr>
                <w:rFonts w:eastAsia="Calibri" w:cs="Arial"/>
                <w:b/>
                <w:bCs/>
                <w:iCs/>
                <w:color w:val="auto"/>
                <w:sz w:val="16"/>
                <w:szCs w:val="16"/>
              </w:rPr>
              <w:t>0,3</w:t>
            </w:r>
          </w:p>
        </w:tc>
        <w:tc>
          <w:tcPr>
            <w:tcW w:w="920"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69.513</w:t>
            </w:r>
          </w:p>
        </w:tc>
        <w:tc>
          <w:tcPr>
            <w:tcW w:w="992" w:type="dxa"/>
            <w:vAlign w:val="center"/>
          </w:tcPr>
          <w:p>
            <w:pPr>
              <w:jc w:val="center"/>
              <w:rPr>
                <w:rFonts w:eastAsia="Calibri" w:cs="Times New Roman"/>
                <w:color w:val="auto"/>
                <w:sz w:val="16"/>
                <w:szCs w:val="16"/>
              </w:rPr>
            </w:pPr>
          </w:p>
        </w:tc>
        <w:tc>
          <w:tcPr>
            <w:tcW w:w="992" w:type="dxa"/>
          </w:tcPr>
          <w:p>
            <w:pPr>
              <w:jc w:val="center"/>
              <w:rPr>
                <w:rFonts w:eastAsia="Calibri" w:cs="Arial"/>
                <w:color w:val="auto"/>
                <w:sz w:val="16"/>
                <w:szCs w:val="16"/>
              </w:rPr>
            </w:pPr>
          </w:p>
        </w:tc>
        <w:tc>
          <w:tcPr>
            <w:tcW w:w="920" w:type="dxa"/>
            <w:vAlign w:val="center"/>
          </w:tcPr>
          <w:p>
            <w:pPr>
              <w:jc w:val="center"/>
              <w:rPr>
                <w:rFonts w:eastAsia="Calibri" w:cs="Arial"/>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66"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85.647</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69.513,0</w:t>
            </w:r>
          </w:p>
        </w:tc>
        <w:tc>
          <w:tcPr>
            <w:tcW w:w="992" w:type="dxa"/>
            <w:vAlign w:val="center"/>
          </w:tcPr>
          <w:p>
            <w:pPr>
              <w:jc w:val="center"/>
              <w:rPr>
                <w:rFonts w:eastAsia="Calibri" w:cs="Arial"/>
                <w:color w:val="auto"/>
                <w:sz w:val="16"/>
                <w:szCs w:val="16"/>
              </w:rPr>
            </w:pPr>
            <w:r>
              <w:rPr>
                <w:rFonts w:eastAsia="Calibri" w:cs="Arial"/>
                <w:color w:val="auto"/>
                <w:sz w:val="16"/>
                <w:szCs w:val="16"/>
              </w:rPr>
              <w:t>69.513,0</w:t>
            </w:r>
          </w:p>
        </w:tc>
        <w:tc>
          <w:tcPr>
            <w:tcW w:w="920" w:type="dxa"/>
            <w:vAlign w:val="center"/>
          </w:tcPr>
          <w:p>
            <w:pPr>
              <w:jc w:val="center"/>
              <w:rPr>
                <w:rFonts w:eastAsia="Calibri" w:cs="Arial"/>
                <w:color w:val="auto"/>
                <w:sz w:val="16"/>
                <w:szCs w:val="16"/>
              </w:rPr>
            </w:pPr>
            <w:r>
              <w:rPr>
                <w:rFonts w:eastAsia="Calibri" w:cs="Arial"/>
                <w:color w:val="auto"/>
                <w:sz w:val="16"/>
                <w:szCs w:val="16"/>
              </w:rPr>
              <w:t>69.513,0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67.116</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71.126,4</w:t>
            </w:r>
          </w:p>
        </w:tc>
        <w:tc>
          <w:tcPr>
            <w:tcW w:w="992" w:type="dxa"/>
            <w:vAlign w:val="center"/>
          </w:tcPr>
          <w:p>
            <w:pPr>
              <w:jc w:val="center"/>
              <w:rPr>
                <w:rFonts w:eastAsia="Calibri" w:cs="Arial"/>
                <w:color w:val="auto"/>
                <w:sz w:val="16"/>
                <w:szCs w:val="16"/>
              </w:rPr>
            </w:pPr>
            <w:r>
              <w:rPr>
                <w:rFonts w:eastAsia="Calibri" w:cs="Arial"/>
                <w:color w:val="auto"/>
                <w:sz w:val="16"/>
                <w:szCs w:val="16"/>
              </w:rPr>
              <w:t>74.353,2</w:t>
            </w:r>
          </w:p>
        </w:tc>
        <w:tc>
          <w:tcPr>
            <w:tcW w:w="920" w:type="dxa"/>
            <w:vAlign w:val="center"/>
          </w:tcPr>
          <w:p>
            <w:pPr>
              <w:jc w:val="center"/>
              <w:rPr>
                <w:rFonts w:eastAsia="Calibri" w:cs="Arial"/>
                <w:color w:val="auto"/>
                <w:sz w:val="16"/>
                <w:szCs w:val="16"/>
              </w:rPr>
            </w:pPr>
            <w:r>
              <w:rPr>
                <w:rFonts w:eastAsia="Calibri" w:cs="Arial"/>
                <w:color w:val="auto"/>
                <w:sz w:val="16"/>
                <w:szCs w:val="16"/>
              </w:rPr>
              <w:t>77.580,0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2"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39.213</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70.725,4</w:t>
            </w:r>
          </w:p>
        </w:tc>
        <w:tc>
          <w:tcPr>
            <w:tcW w:w="992" w:type="dxa"/>
            <w:vAlign w:val="center"/>
          </w:tcPr>
          <w:p>
            <w:pPr>
              <w:jc w:val="center"/>
              <w:rPr>
                <w:rFonts w:eastAsia="Calibri" w:cs="Arial"/>
                <w:color w:val="auto"/>
                <w:sz w:val="16"/>
                <w:szCs w:val="16"/>
              </w:rPr>
            </w:pPr>
            <w:r>
              <w:rPr>
                <w:rFonts w:eastAsia="Calibri" w:cs="Arial"/>
                <w:color w:val="auto"/>
                <w:sz w:val="16"/>
                <w:szCs w:val="16"/>
              </w:rPr>
              <w:t>72.182,0</w:t>
            </w:r>
          </w:p>
        </w:tc>
        <w:tc>
          <w:tcPr>
            <w:tcW w:w="920" w:type="dxa"/>
            <w:vAlign w:val="center"/>
          </w:tcPr>
          <w:p>
            <w:pPr>
              <w:jc w:val="center"/>
              <w:rPr>
                <w:rFonts w:eastAsia="Calibri" w:cs="Arial"/>
                <w:color w:val="auto"/>
                <w:sz w:val="16"/>
                <w:szCs w:val="16"/>
              </w:rPr>
            </w:pPr>
            <w:r>
              <w:rPr>
                <w:rFonts w:eastAsia="Calibri" w:cs="Arial"/>
                <w:color w:val="auto"/>
                <w:sz w:val="16"/>
                <w:szCs w:val="16"/>
              </w:rPr>
              <w:t>72.348,0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17.339</w:t>
            </w:r>
          </w:p>
        </w:tc>
        <w:tc>
          <w:tcPr>
            <w:tcW w:w="992" w:type="dxa"/>
            <w:vAlign w:val="center"/>
          </w:tcPr>
          <w:p>
            <w:pPr>
              <w:jc w:val="center"/>
              <w:rPr>
                <w:rFonts w:eastAsia="Calibri" w:cs="Times New Roman"/>
                <w:color w:val="auto"/>
                <w:sz w:val="16"/>
                <w:szCs w:val="16"/>
              </w:rPr>
            </w:pPr>
            <w:r>
              <w:rPr>
                <w:rFonts w:eastAsia="Calibri" w:cs="Times New Roman"/>
                <w:color w:val="auto"/>
                <w:sz w:val="16"/>
                <w:szCs w:val="16"/>
              </w:rPr>
              <w:t>67.574,1</w:t>
            </w:r>
          </w:p>
        </w:tc>
        <w:tc>
          <w:tcPr>
            <w:tcW w:w="992" w:type="dxa"/>
            <w:vAlign w:val="center"/>
          </w:tcPr>
          <w:p>
            <w:pPr>
              <w:jc w:val="center"/>
              <w:rPr>
                <w:rFonts w:eastAsia="Calibri" w:cs="Arial"/>
                <w:color w:val="auto"/>
                <w:sz w:val="16"/>
                <w:szCs w:val="16"/>
              </w:rPr>
            </w:pPr>
            <w:r>
              <w:rPr>
                <w:rFonts w:eastAsia="Calibri" w:cs="Arial"/>
                <w:color w:val="auto"/>
                <w:sz w:val="16"/>
                <w:szCs w:val="16"/>
              </w:rPr>
              <w:t>62.291,3</w:t>
            </w:r>
          </w:p>
        </w:tc>
        <w:tc>
          <w:tcPr>
            <w:tcW w:w="920" w:type="dxa"/>
            <w:vAlign w:val="center"/>
          </w:tcPr>
          <w:p>
            <w:pPr>
              <w:jc w:val="center"/>
              <w:rPr>
                <w:rFonts w:eastAsia="Calibri" w:cs="Arial"/>
                <w:color w:val="auto"/>
                <w:sz w:val="16"/>
                <w:szCs w:val="16"/>
              </w:rPr>
            </w:pPr>
            <w:r>
              <w:rPr>
                <w:rFonts w:eastAsia="Calibri" w:cs="Arial"/>
                <w:color w:val="auto"/>
                <w:sz w:val="16"/>
                <w:szCs w:val="16"/>
              </w:rPr>
              <w:t>55.780,5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157.882</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62.550,6</w:t>
            </w:r>
          </w:p>
        </w:tc>
        <w:tc>
          <w:tcPr>
            <w:tcW w:w="992" w:type="dxa"/>
            <w:vAlign w:val="center"/>
          </w:tcPr>
          <w:p>
            <w:pPr>
              <w:jc w:val="center"/>
              <w:rPr>
                <w:rFonts w:eastAsia="Calibri" w:cs="Arial"/>
                <w:color w:val="auto"/>
                <w:sz w:val="16"/>
                <w:szCs w:val="16"/>
              </w:rPr>
            </w:pPr>
            <w:r>
              <w:rPr>
                <w:rFonts w:eastAsia="Calibri" w:cs="Arial"/>
                <w:color w:val="auto"/>
                <w:sz w:val="16"/>
                <w:szCs w:val="16"/>
              </w:rPr>
              <w:t>48.805,6</w:t>
            </w:r>
          </w:p>
        </w:tc>
        <w:tc>
          <w:tcPr>
            <w:tcW w:w="920" w:type="dxa"/>
            <w:vAlign w:val="center"/>
          </w:tcPr>
          <w:p>
            <w:pPr>
              <w:jc w:val="center"/>
              <w:rPr>
                <w:rFonts w:eastAsia="Calibri" w:cs="Arial"/>
                <w:color w:val="auto"/>
                <w:sz w:val="16"/>
                <w:szCs w:val="16"/>
              </w:rPr>
            </w:pPr>
            <w:r>
              <w:rPr>
                <w:rFonts w:eastAsia="Calibri" w:cs="Arial"/>
                <w:color w:val="auto"/>
                <w:sz w:val="16"/>
                <w:szCs w:val="16"/>
              </w:rPr>
              <w:t>36.559,8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29.859</w:t>
            </w:r>
          </w:p>
        </w:tc>
        <w:tc>
          <w:tcPr>
            <w:tcW w:w="992" w:type="dxa"/>
            <w:vAlign w:val="center"/>
          </w:tcPr>
          <w:p>
            <w:pPr>
              <w:jc w:val="center"/>
              <w:rPr>
                <w:rFonts w:eastAsia="Calibri" w:cs="Times New Roman"/>
                <w:color w:val="auto"/>
                <w:sz w:val="16"/>
                <w:szCs w:val="16"/>
              </w:rPr>
            </w:pPr>
            <w:r>
              <w:rPr>
                <w:rFonts w:eastAsia="Calibri" w:cs="Arial"/>
                <w:color w:val="auto"/>
                <w:sz w:val="16"/>
                <w:szCs w:val="16"/>
              </w:rPr>
              <w:t>72.083,8</w:t>
            </w:r>
          </w:p>
        </w:tc>
        <w:tc>
          <w:tcPr>
            <w:tcW w:w="992" w:type="dxa"/>
            <w:vAlign w:val="center"/>
          </w:tcPr>
          <w:p>
            <w:pPr>
              <w:jc w:val="center"/>
              <w:rPr>
                <w:rFonts w:eastAsia="Calibri" w:cs="Arial"/>
                <w:color w:val="auto"/>
                <w:sz w:val="16"/>
                <w:szCs w:val="16"/>
              </w:rPr>
            </w:pPr>
            <w:r>
              <w:rPr>
                <w:rFonts w:eastAsia="Calibri" w:cs="Arial"/>
                <w:color w:val="auto"/>
                <w:sz w:val="16"/>
                <w:szCs w:val="16"/>
              </w:rPr>
              <w:t>81.528,5</w:t>
            </w:r>
          </w:p>
        </w:tc>
        <w:tc>
          <w:tcPr>
            <w:tcW w:w="920" w:type="dxa"/>
            <w:vAlign w:val="center"/>
          </w:tcPr>
          <w:p>
            <w:pPr>
              <w:jc w:val="center"/>
              <w:rPr>
                <w:rFonts w:eastAsia="Calibri" w:cs="Arial"/>
                <w:color w:val="auto"/>
                <w:sz w:val="16"/>
                <w:szCs w:val="16"/>
              </w:rPr>
            </w:pPr>
            <w:r>
              <w:rPr>
                <w:rFonts w:eastAsia="Calibri" w:cs="Arial"/>
                <w:color w:val="auto"/>
                <w:sz w:val="16"/>
                <w:szCs w:val="16"/>
              </w:rPr>
              <w:t>97.220,9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37.250</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67.861,3</w:t>
            </w:r>
          </w:p>
        </w:tc>
        <w:tc>
          <w:tcPr>
            <w:tcW w:w="992" w:type="dxa"/>
            <w:vAlign w:val="center"/>
          </w:tcPr>
          <w:p>
            <w:pPr>
              <w:jc w:val="center"/>
              <w:rPr>
                <w:rFonts w:eastAsia="Calibri" w:cs="Arial"/>
                <w:color w:val="auto"/>
                <w:sz w:val="16"/>
                <w:szCs w:val="16"/>
              </w:rPr>
            </w:pPr>
            <w:r>
              <w:rPr>
                <w:rFonts w:eastAsia="Calibri" w:cs="Arial"/>
                <w:color w:val="auto"/>
                <w:sz w:val="16"/>
                <w:szCs w:val="16"/>
              </w:rPr>
              <w:t>66.027,7</w:t>
            </w:r>
          </w:p>
        </w:tc>
        <w:tc>
          <w:tcPr>
            <w:tcW w:w="920" w:type="dxa"/>
            <w:vAlign w:val="center"/>
          </w:tcPr>
          <w:p>
            <w:pPr>
              <w:jc w:val="center"/>
              <w:rPr>
                <w:rFonts w:eastAsia="Calibri" w:cs="Arial"/>
                <w:color w:val="auto"/>
                <w:sz w:val="16"/>
                <w:szCs w:val="16"/>
              </w:rPr>
            </w:pPr>
            <w:r>
              <w:rPr>
                <w:rFonts w:eastAsia="Calibri" w:cs="Arial"/>
                <w:color w:val="auto"/>
                <w:sz w:val="16"/>
                <w:szCs w:val="16"/>
              </w:rPr>
              <w:t>63.539,9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26.687</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64.800,1</w:t>
            </w:r>
          </w:p>
        </w:tc>
        <w:tc>
          <w:tcPr>
            <w:tcW w:w="992" w:type="dxa"/>
            <w:vAlign w:val="center"/>
          </w:tcPr>
          <w:p>
            <w:pPr>
              <w:jc w:val="center"/>
              <w:rPr>
                <w:rFonts w:eastAsia="Calibri" w:cs="Arial"/>
                <w:color w:val="auto"/>
                <w:sz w:val="16"/>
                <w:szCs w:val="16"/>
              </w:rPr>
            </w:pPr>
            <w:r>
              <w:rPr>
                <w:rFonts w:eastAsia="Calibri" w:cs="Arial"/>
                <w:color w:val="auto"/>
                <w:sz w:val="16"/>
                <w:szCs w:val="16"/>
              </w:rPr>
              <w:t>57.394,4</w:t>
            </w:r>
          </w:p>
        </w:tc>
        <w:tc>
          <w:tcPr>
            <w:tcW w:w="920" w:type="dxa"/>
            <w:vAlign w:val="center"/>
          </w:tcPr>
          <w:p>
            <w:pPr>
              <w:jc w:val="center"/>
              <w:rPr>
                <w:rFonts w:eastAsia="Calibri" w:cs="Arial"/>
                <w:color w:val="auto"/>
                <w:sz w:val="16"/>
                <w:szCs w:val="16"/>
              </w:rPr>
            </w:pPr>
            <w:r>
              <w:rPr>
                <w:rFonts w:eastAsia="Calibri" w:cs="Arial"/>
                <w:color w:val="auto"/>
                <w:sz w:val="16"/>
                <w:szCs w:val="16"/>
              </w:rPr>
              <w:t>50.395,0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149.076</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60.988,8</w:t>
            </w:r>
          </w:p>
        </w:tc>
        <w:tc>
          <w:tcPr>
            <w:tcW w:w="992" w:type="dxa"/>
            <w:vAlign w:val="center"/>
          </w:tcPr>
          <w:p>
            <w:pPr>
              <w:jc w:val="center"/>
              <w:rPr>
                <w:rFonts w:eastAsia="Calibri" w:cs="Arial"/>
                <w:color w:val="auto"/>
                <w:sz w:val="16"/>
                <w:szCs w:val="16"/>
              </w:rPr>
            </w:pPr>
            <w:r>
              <w:rPr>
                <w:rFonts w:eastAsia="Calibri" w:cs="Arial"/>
                <w:color w:val="auto"/>
                <w:sz w:val="16"/>
                <w:szCs w:val="16"/>
              </w:rPr>
              <w:t>48.182,2</w:t>
            </w:r>
          </w:p>
        </w:tc>
        <w:tc>
          <w:tcPr>
            <w:tcW w:w="920" w:type="dxa"/>
            <w:vAlign w:val="center"/>
          </w:tcPr>
          <w:p>
            <w:pPr>
              <w:jc w:val="center"/>
              <w:rPr>
                <w:rFonts w:eastAsia="Calibri" w:cs="Arial"/>
                <w:color w:val="auto"/>
                <w:sz w:val="16"/>
                <w:szCs w:val="16"/>
              </w:rPr>
            </w:pPr>
            <w:r>
              <w:rPr>
                <w:rFonts w:eastAsia="Calibri" w:cs="Arial"/>
                <w:color w:val="auto"/>
                <w:sz w:val="16"/>
                <w:szCs w:val="16"/>
              </w:rPr>
              <w:t>38.541,0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80.632</w:t>
            </w:r>
          </w:p>
        </w:tc>
        <w:tc>
          <w:tcPr>
            <w:tcW w:w="992" w:type="dxa"/>
            <w:vAlign w:val="center"/>
          </w:tcPr>
          <w:p>
            <w:pPr>
              <w:jc w:val="center"/>
              <w:rPr>
                <w:rFonts w:eastAsia="Calibri" w:cs="Times New Roman"/>
                <w:color w:val="auto"/>
                <w:sz w:val="16"/>
                <w:szCs w:val="16"/>
              </w:rPr>
            </w:pPr>
            <w:r>
              <w:rPr>
                <w:rFonts w:eastAsia="Calibri" w:cs="Arial"/>
                <w:color w:val="auto"/>
                <w:sz w:val="16"/>
                <w:szCs w:val="16"/>
              </w:rPr>
              <w:t>69.797,5</w:t>
            </w:r>
          </w:p>
        </w:tc>
        <w:tc>
          <w:tcPr>
            <w:tcW w:w="992" w:type="dxa"/>
            <w:vAlign w:val="center"/>
          </w:tcPr>
          <w:p>
            <w:pPr>
              <w:jc w:val="center"/>
              <w:rPr>
                <w:rFonts w:eastAsia="Calibri" w:cs="Arial"/>
                <w:color w:val="auto"/>
                <w:sz w:val="16"/>
                <w:szCs w:val="16"/>
              </w:rPr>
            </w:pPr>
            <w:r>
              <w:rPr>
                <w:rFonts w:eastAsia="Calibri" w:cs="Arial"/>
                <w:color w:val="auto"/>
                <w:sz w:val="16"/>
                <w:szCs w:val="16"/>
              </w:rPr>
              <w:t>78.450,3</w:t>
            </w:r>
          </w:p>
        </w:tc>
        <w:tc>
          <w:tcPr>
            <w:tcW w:w="920" w:type="dxa"/>
            <w:vAlign w:val="center"/>
          </w:tcPr>
          <w:p>
            <w:pPr>
              <w:jc w:val="center"/>
              <w:rPr>
                <w:rFonts w:eastAsia="Calibri" w:cs="Arial"/>
                <w:color w:val="auto"/>
                <w:sz w:val="16"/>
                <w:szCs w:val="16"/>
              </w:rPr>
            </w:pPr>
            <w:r>
              <w:rPr>
                <w:rFonts w:eastAsia="Calibri" w:cs="Arial"/>
                <w:color w:val="auto"/>
                <w:sz w:val="16"/>
                <w:szCs w:val="16"/>
              </w:rPr>
              <w:t>93.808,5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3" w:type="dxa"/>
            <w:vAlign w:val="center"/>
          </w:tcPr>
          <w:p>
            <w:pPr>
              <w:jc w:val="center"/>
              <w:rPr>
                <w:rFonts w:eastAsia="Calibri" w:cs="Times New Roman"/>
                <w:color w:val="auto"/>
                <w:sz w:val="16"/>
                <w:szCs w:val="16"/>
              </w:rPr>
            </w:pPr>
            <w:r>
              <w:rPr>
                <w:rFonts w:eastAsia="Calibri" w:cs="Times New Roman"/>
                <w:color w:val="auto"/>
                <w:sz w:val="16"/>
                <w:szCs w:val="16"/>
              </w:rPr>
              <w:t>136.664</w:t>
            </w:r>
          </w:p>
        </w:tc>
        <w:tc>
          <w:tcPr>
            <w:tcW w:w="992" w:type="dxa"/>
            <w:vAlign w:val="center"/>
          </w:tcPr>
          <w:p>
            <w:pPr>
              <w:jc w:val="center"/>
              <w:rPr>
                <w:rFonts w:eastAsia="Calibri" w:cs="Times New Roman"/>
                <w:color w:val="auto"/>
                <w:sz w:val="16"/>
                <w:szCs w:val="16"/>
              </w:rPr>
            </w:pPr>
            <w:r>
              <w:rPr>
                <w:rFonts w:eastAsia="Calibri" w:cs="Arial"/>
                <w:color w:val="auto"/>
                <w:sz w:val="16"/>
                <w:szCs w:val="16"/>
              </w:rPr>
              <w:t>70.881,0</w:t>
            </w:r>
          </w:p>
        </w:tc>
        <w:tc>
          <w:tcPr>
            <w:tcW w:w="992" w:type="dxa"/>
            <w:vAlign w:val="center"/>
          </w:tcPr>
          <w:p>
            <w:pPr>
              <w:jc w:val="center"/>
              <w:rPr>
                <w:rFonts w:eastAsia="Calibri" w:cs="Arial"/>
                <w:color w:val="auto"/>
                <w:sz w:val="16"/>
                <w:szCs w:val="16"/>
              </w:rPr>
            </w:pPr>
            <w:r>
              <w:rPr>
                <w:rFonts w:eastAsia="Calibri" w:cs="Arial"/>
                <w:color w:val="auto"/>
                <w:sz w:val="16"/>
                <w:szCs w:val="16"/>
              </w:rPr>
              <w:t>79.104,8</w:t>
            </w:r>
          </w:p>
        </w:tc>
        <w:tc>
          <w:tcPr>
            <w:tcW w:w="920" w:type="dxa"/>
            <w:vAlign w:val="center"/>
          </w:tcPr>
          <w:p>
            <w:pPr>
              <w:jc w:val="center"/>
              <w:rPr>
                <w:rFonts w:eastAsia="Calibri" w:cs="Arial"/>
                <w:color w:val="auto"/>
                <w:sz w:val="16"/>
                <w:szCs w:val="16"/>
              </w:rPr>
            </w:pPr>
            <w:r>
              <w:rPr>
                <w:rFonts w:eastAsia="Calibri" w:cs="Arial"/>
                <w:color w:val="auto"/>
                <w:sz w:val="16"/>
                <w:szCs w:val="16"/>
              </w:rPr>
              <w:t>87.220,2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9"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3" w:type="dxa"/>
            <w:vAlign w:val="center"/>
          </w:tcPr>
          <w:p>
            <w:pPr>
              <w:jc w:val="center"/>
              <w:rPr>
                <w:rFonts w:eastAsia="Calibri" w:cs="Times New Roman"/>
                <w:color w:val="auto"/>
                <w:sz w:val="16"/>
                <w:szCs w:val="16"/>
              </w:rPr>
            </w:pPr>
          </w:p>
        </w:tc>
        <w:tc>
          <w:tcPr>
            <w:tcW w:w="992" w:type="dxa"/>
            <w:vAlign w:val="center"/>
          </w:tcPr>
          <w:p>
            <w:pPr>
              <w:jc w:val="center"/>
              <w:rPr>
                <w:rFonts w:eastAsia="Calibri" w:cs="Times New Roman"/>
                <w:color w:val="auto"/>
                <w:sz w:val="16"/>
                <w:szCs w:val="16"/>
              </w:rPr>
            </w:pPr>
            <w:r>
              <w:rPr>
                <w:rFonts w:eastAsia="Calibri" w:cs="Arial"/>
                <w:bCs/>
                <w:color w:val="auto"/>
                <w:sz w:val="16"/>
                <w:szCs w:val="16"/>
              </w:rPr>
              <w:t>77.459,3</w:t>
            </w:r>
          </w:p>
        </w:tc>
        <w:tc>
          <w:tcPr>
            <w:tcW w:w="992" w:type="dxa"/>
            <w:vAlign w:val="center"/>
          </w:tcPr>
          <w:p>
            <w:pPr>
              <w:jc w:val="center"/>
              <w:rPr>
                <w:rFonts w:eastAsia="Calibri" w:cs="Arial"/>
                <w:color w:val="auto"/>
                <w:sz w:val="16"/>
                <w:szCs w:val="16"/>
              </w:rPr>
            </w:pPr>
            <w:r>
              <w:rPr>
                <w:rFonts w:eastAsia="Calibri" w:cs="Arial"/>
                <w:bCs/>
                <w:color w:val="auto"/>
                <w:sz w:val="16"/>
                <w:szCs w:val="16"/>
              </w:rPr>
              <w:t>96.372,6</w:t>
            </w:r>
          </w:p>
        </w:tc>
        <w:tc>
          <w:tcPr>
            <w:tcW w:w="920" w:type="dxa"/>
            <w:vAlign w:val="center"/>
          </w:tcPr>
          <w:p>
            <w:pPr>
              <w:jc w:val="center"/>
              <w:rPr>
                <w:rFonts w:eastAsia="Calibri" w:cs="Arial"/>
                <w:color w:val="auto"/>
                <w:sz w:val="16"/>
                <w:szCs w:val="16"/>
              </w:rPr>
            </w:pPr>
            <w:r>
              <w:rPr>
                <w:rFonts w:eastAsia="Calibri" w:cs="Arial"/>
                <w:bCs/>
                <w:color w:val="auto"/>
                <w:sz w:val="16"/>
                <w:szCs w:val="16"/>
              </w:rPr>
              <w:t>111.942,1</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9. Peramalan menggunakan metode </w:t>
      </w:r>
      <w:r>
        <w:rPr>
          <w:rFonts w:eastAsia="MS Mincho"/>
          <w:i/>
          <w:color w:val="auto"/>
          <w:sz w:val="16"/>
          <w:szCs w:val="16"/>
        </w:rPr>
        <w:t>moving average</w:t>
      </w:r>
      <w:r>
        <w:rPr>
          <w:rFonts w:eastAsia="MS Mincho"/>
          <w:color w:val="auto"/>
          <w:sz w:val="16"/>
          <w:szCs w:val="16"/>
        </w:rPr>
        <w:t xml:space="preserve"> untuk komoditas aspal bulan Januari 2021 </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1"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Arial"/>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continue"/>
            <w:vAlign w:val="center"/>
          </w:tcPr>
          <w:p>
            <w:pPr>
              <w:ind w:firstLine="142"/>
              <w:jc w:val="left"/>
              <w:rPr>
                <w:rFonts w:eastAsia="Calibri" w:cs="Arial"/>
                <w:b/>
                <w:bCs/>
                <w:color w:val="auto"/>
                <w:sz w:val="16"/>
                <w:szCs w:val="16"/>
              </w:rPr>
            </w:pPr>
          </w:p>
        </w:tc>
        <w:tc>
          <w:tcPr>
            <w:tcW w:w="981" w:type="dxa"/>
            <w:vMerge w:val="continue"/>
            <w:vAlign w:val="center"/>
          </w:tcPr>
          <w:p>
            <w:pPr>
              <w:jc w:val="center"/>
              <w:rPr>
                <w:rFonts w:eastAsia="Calibri" w:cs="Arial"/>
                <w:b/>
                <w:bCs/>
                <w:color w:val="auto"/>
                <w:sz w:val="16"/>
                <w:szCs w:val="16"/>
              </w:rPr>
            </w:pPr>
          </w:p>
        </w:tc>
        <w:tc>
          <w:tcPr>
            <w:tcW w:w="990"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0,1</w:t>
            </w:r>
          </w:p>
        </w:tc>
        <w:tc>
          <w:tcPr>
            <w:tcW w:w="990" w:type="dxa"/>
            <w:vAlign w:val="center"/>
          </w:tcPr>
          <w:p>
            <w:pPr>
              <w:jc w:val="center"/>
              <w:rPr>
                <w:rFonts w:eastAsia="Calibri" w:cs="Arial"/>
                <w:b/>
                <w:bCs/>
                <w:iCs/>
                <w:color w:val="auto"/>
                <w:sz w:val="16"/>
                <w:szCs w:val="16"/>
              </w:rPr>
            </w:pPr>
            <w:r>
              <w:rPr>
                <w:rFonts w:eastAsia="Calibri" w:cs="Arial"/>
                <w:b/>
                <w:bCs/>
                <w:iCs/>
                <w:color w:val="auto"/>
                <w:sz w:val="16"/>
                <w:szCs w:val="16"/>
              </w:rPr>
              <w:t>0,3</w:t>
            </w:r>
          </w:p>
        </w:tc>
        <w:tc>
          <w:tcPr>
            <w:tcW w:w="919" w:type="dxa"/>
            <w:vAlign w:val="center"/>
          </w:tcPr>
          <w:p>
            <w:pPr>
              <w:jc w:val="center"/>
              <w:rPr>
                <w:rFonts w:eastAsia="Calibri" w:cs="Arial"/>
                <w:b/>
                <w:bCs/>
                <w:iCs/>
                <w:color w:val="auto"/>
                <w:sz w:val="16"/>
                <w:szCs w:val="16"/>
              </w:rPr>
            </w:pPr>
            <w:r>
              <w:rPr>
                <w:rFonts w:eastAsia="Calibri" w:cs="Arial"/>
                <w:b/>
                <w:bCs/>
                <w:iCs/>
                <w:color w:val="auto"/>
                <w:sz w:val="16"/>
                <w:szCs w:val="16"/>
              </w:rPr>
              <w:t xml:space="preserve"> 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4.313</w:t>
            </w:r>
          </w:p>
        </w:tc>
        <w:tc>
          <w:tcPr>
            <w:tcW w:w="990" w:type="dxa"/>
            <w:vAlign w:val="center"/>
          </w:tcPr>
          <w:p>
            <w:pPr>
              <w:jc w:val="center"/>
              <w:rPr>
                <w:rFonts w:eastAsia="Calibri" w:cs="Times New Roman"/>
                <w:color w:val="auto"/>
                <w:sz w:val="16"/>
                <w:szCs w:val="16"/>
              </w:rPr>
            </w:pPr>
          </w:p>
        </w:tc>
        <w:tc>
          <w:tcPr>
            <w:tcW w:w="990" w:type="dxa"/>
            <w:vAlign w:val="center"/>
          </w:tcPr>
          <w:p>
            <w:pPr>
              <w:jc w:val="center"/>
              <w:rPr>
                <w:rFonts w:eastAsia="Calibri" w:cs="Arial"/>
                <w:color w:val="auto"/>
                <w:sz w:val="16"/>
                <w:szCs w:val="16"/>
              </w:rPr>
            </w:pPr>
          </w:p>
        </w:tc>
        <w:tc>
          <w:tcPr>
            <w:tcW w:w="919" w:type="dxa"/>
            <w:vAlign w:val="center"/>
          </w:tcPr>
          <w:p>
            <w:pPr>
              <w:jc w:val="center"/>
              <w:rPr>
                <w:rFonts w:eastAsia="Calibri" w:cs="Arial"/>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1.517</w:t>
            </w:r>
          </w:p>
        </w:tc>
        <w:tc>
          <w:tcPr>
            <w:tcW w:w="990" w:type="dxa"/>
            <w:vAlign w:val="center"/>
          </w:tcPr>
          <w:p>
            <w:pPr>
              <w:jc w:val="center"/>
              <w:rPr>
                <w:rFonts w:eastAsia="Calibri" w:cs="Times New Roman"/>
                <w:color w:val="auto"/>
                <w:sz w:val="16"/>
                <w:szCs w:val="16"/>
              </w:rPr>
            </w:pPr>
            <w:r>
              <w:rPr>
                <w:rFonts w:eastAsia="Calibri" w:cs="Arial"/>
                <w:color w:val="auto"/>
                <w:sz w:val="16"/>
                <w:szCs w:val="16"/>
              </w:rPr>
              <w:t>4.313,0</w:t>
            </w:r>
          </w:p>
        </w:tc>
        <w:tc>
          <w:tcPr>
            <w:tcW w:w="990" w:type="dxa"/>
            <w:vAlign w:val="center"/>
          </w:tcPr>
          <w:p>
            <w:pPr>
              <w:jc w:val="center"/>
              <w:rPr>
                <w:rFonts w:eastAsia="Calibri" w:cs="Arial"/>
                <w:color w:val="auto"/>
                <w:sz w:val="16"/>
                <w:szCs w:val="16"/>
              </w:rPr>
            </w:pPr>
            <w:r>
              <w:rPr>
                <w:rFonts w:eastAsia="Calibri" w:cs="Arial"/>
                <w:color w:val="auto"/>
                <w:sz w:val="16"/>
                <w:szCs w:val="16"/>
              </w:rPr>
              <w:t>4.313,0</w:t>
            </w:r>
          </w:p>
        </w:tc>
        <w:tc>
          <w:tcPr>
            <w:tcW w:w="919" w:type="dxa"/>
            <w:vAlign w:val="center"/>
          </w:tcPr>
          <w:p>
            <w:pPr>
              <w:jc w:val="center"/>
              <w:rPr>
                <w:rFonts w:eastAsia="Calibri" w:cs="Arial"/>
                <w:color w:val="auto"/>
                <w:sz w:val="16"/>
                <w:szCs w:val="16"/>
              </w:rPr>
            </w:pPr>
            <w:r>
              <w:rPr>
                <w:rFonts w:eastAsia="Calibri" w:cs="Arial"/>
                <w:color w:val="auto"/>
                <w:sz w:val="16"/>
                <w:szCs w:val="16"/>
              </w:rPr>
              <w:t>4.313,0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1" w:type="dxa"/>
            <w:vAlign w:val="center"/>
          </w:tcPr>
          <w:p>
            <w:pPr>
              <w:jc w:val="center"/>
              <w:rPr>
                <w:rFonts w:eastAsia="Calibri" w:cs="Times New Roman"/>
                <w:color w:val="auto"/>
                <w:sz w:val="16"/>
                <w:szCs w:val="16"/>
              </w:rPr>
            </w:pPr>
            <w:r>
              <w:rPr>
                <w:rFonts w:eastAsia="Calibri" w:cs="Arial"/>
                <w:color w:val="auto"/>
                <w:sz w:val="16"/>
                <w:szCs w:val="16"/>
              </w:rPr>
              <w:t>2.000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4.033,4</w:t>
            </w:r>
          </w:p>
        </w:tc>
        <w:tc>
          <w:tcPr>
            <w:tcW w:w="990" w:type="dxa"/>
            <w:vAlign w:val="center"/>
          </w:tcPr>
          <w:p>
            <w:pPr>
              <w:jc w:val="center"/>
              <w:rPr>
                <w:rFonts w:eastAsia="Calibri" w:cs="Arial"/>
                <w:color w:val="auto"/>
                <w:sz w:val="16"/>
                <w:szCs w:val="16"/>
              </w:rPr>
            </w:pPr>
            <w:r>
              <w:rPr>
                <w:rFonts w:eastAsia="Calibri" w:cs="Arial"/>
                <w:color w:val="auto"/>
                <w:sz w:val="16"/>
                <w:szCs w:val="16"/>
              </w:rPr>
              <w:t>3.474,2</w:t>
            </w:r>
          </w:p>
        </w:tc>
        <w:tc>
          <w:tcPr>
            <w:tcW w:w="919" w:type="dxa"/>
            <w:vAlign w:val="center"/>
          </w:tcPr>
          <w:p>
            <w:pPr>
              <w:jc w:val="center"/>
              <w:rPr>
                <w:rFonts w:eastAsia="Calibri" w:cs="Arial"/>
                <w:color w:val="auto"/>
                <w:sz w:val="16"/>
                <w:szCs w:val="16"/>
              </w:rPr>
            </w:pPr>
            <w:r>
              <w:rPr>
                <w:rFonts w:eastAsia="Calibri" w:cs="Arial"/>
                <w:color w:val="auto"/>
                <w:sz w:val="16"/>
                <w:szCs w:val="16"/>
              </w:rPr>
              <w:t>2.915,0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3.830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3.830,1</w:t>
            </w:r>
          </w:p>
        </w:tc>
        <w:tc>
          <w:tcPr>
            <w:tcW w:w="990" w:type="dxa"/>
            <w:vAlign w:val="center"/>
          </w:tcPr>
          <w:p>
            <w:pPr>
              <w:jc w:val="center"/>
              <w:rPr>
                <w:rFonts w:eastAsia="Calibri" w:cs="Arial"/>
                <w:color w:val="auto"/>
                <w:sz w:val="16"/>
                <w:szCs w:val="16"/>
              </w:rPr>
            </w:pPr>
            <w:r>
              <w:rPr>
                <w:rFonts w:eastAsia="Calibri" w:cs="Arial"/>
                <w:color w:val="auto"/>
                <w:sz w:val="16"/>
                <w:szCs w:val="16"/>
              </w:rPr>
              <w:t>3.031,9</w:t>
            </w:r>
          </w:p>
        </w:tc>
        <w:tc>
          <w:tcPr>
            <w:tcW w:w="919" w:type="dxa"/>
            <w:vAlign w:val="center"/>
          </w:tcPr>
          <w:p>
            <w:pPr>
              <w:jc w:val="center"/>
              <w:rPr>
                <w:rFonts w:eastAsia="Calibri" w:cs="Arial"/>
                <w:color w:val="auto"/>
                <w:sz w:val="16"/>
                <w:szCs w:val="16"/>
              </w:rPr>
            </w:pPr>
            <w:r>
              <w:rPr>
                <w:rFonts w:eastAsia="Calibri" w:cs="Arial"/>
                <w:color w:val="auto"/>
                <w:sz w:val="16"/>
                <w:szCs w:val="16"/>
              </w:rPr>
              <w:t>2.457,5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3.941</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3.830,1</w:t>
            </w:r>
          </w:p>
        </w:tc>
        <w:tc>
          <w:tcPr>
            <w:tcW w:w="990" w:type="dxa"/>
            <w:vAlign w:val="center"/>
          </w:tcPr>
          <w:p>
            <w:pPr>
              <w:jc w:val="center"/>
              <w:rPr>
                <w:rFonts w:eastAsia="Calibri" w:cs="Arial"/>
                <w:color w:val="auto"/>
                <w:sz w:val="16"/>
                <w:szCs w:val="16"/>
              </w:rPr>
            </w:pPr>
            <w:r>
              <w:rPr>
                <w:rFonts w:eastAsia="Calibri" w:cs="Arial"/>
                <w:color w:val="auto"/>
                <w:sz w:val="16"/>
                <w:szCs w:val="16"/>
              </w:rPr>
              <w:t>3.271,4</w:t>
            </w:r>
          </w:p>
        </w:tc>
        <w:tc>
          <w:tcPr>
            <w:tcW w:w="919" w:type="dxa"/>
            <w:vAlign w:val="center"/>
          </w:tcPr>
          <w:p>
            <w:pPr>
              <w:jc w:val="center"/>
              <w:rPr>
                <w:rFonts w:eastAsia="Calibri" w:cs="Arial"/>
                <w:color w:val="auto"/>
                <w:sz w:val="16"/>
                <w:szCs w:val="16"/>
              </w:rPr>
            </w:pPr>
            <w:r>
              <w:rPr>
                <w:rFonts w:eastAsia="Calibri" w:cs="Arial"/>
                <w:color w:val="auto"/>
                <w:sz w:val="16"/>
                <w:szCs w:val="16"/>
              </w:rPr>
              <w:t>3.143,8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1.500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3.841,1</w:t>
            </w:r>
          </w:p>
        </w:tc>
        <w:tc>
          <w:tcPr>
            <w:tcW w:w="990" w:type="dxa"/>
            <w:vAlign w:val="center"/>
          </w:tcPr>
          <w:p>
            <w:pPr>
              <w:jc w:val="center"/>
              <w:rPr>
                <w:rFonts w:eastAsia="Calibri" w:cs="Arial"/>
                <w:color w:val="auto"/>
                <w:sz w:val="16"/>
                <w:szCs w:val="16"/>
              </w:rPr>
            </w:pPr>
            <w:r>
              <w:rPr>
                <w:rFonts w:eastAsia="Calibri" w:cs="Arial"/>
                <w:color w:val="auto"/>
                <w:sz w:val="16"/>
                <w:szCs w:val="16"/>
              </w:rPr>
              <w:t>3.472,3</w:t>
            </w:r>
          </w:p>
        </w:tc>
        <w:tc>
          <w:tcPr>
            <w:tcW w:w="919" w:type="dxa"/>
            <w:vAlign w:val="center"/>
          </w:tcPr>
          <w:p>
            <w:pPr>
              <w:jc w:val="center"/>
              <w:rPr>
                <w:rFonts w:eastAsia="Calibri" w:cs="Arial"/>
                <w:color w:val="auto"/>
                <w:sz w:val="16"/>
                <w:szCs w:val="16"/>
              </w:rPr>
            </w:pPr>
            <w:r>
              <w:rPr>
                <w:rFonts w:eastAsia="Calibri" w:cs="Arial"/>
                <w:color w:val="auto"/>
                <w:sz w:val="16"/>
                <w:szCs w:val="16"/>
              </w:rPr>
              <w:t>3.542,4</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1" w:type="dxa"/>
            <w:vAlign w:val="center"/>
          </w:tcPr>
          <w:p>
            <w:pPr>
              <w:jc w:val="center"/>
              <w:rPr>
                <w:rFonts w:eastAsia="Calibri" w:cs="Times New Roman"/>
                <w:color w:val="auto"/>
                <w:sz w:val="16"/>
                <w:szCs w:val="16"/>
              </w:rPr>
            </w:pPr>
            <w:r>
              <w:rPr>
                <w:rFonts w:eastAsia="Calibri" w:cs="Arial"/>
                <w:color w:val="auto"/>
                <w:sz w:val="16"/>
                <w:szCs w:val="16"/>
              </w:rPr>
              <w:t>5.441</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3.607,0</w:t>
            </w:r>
          </w:p>
        </w:tc>
        <w:tc>
          <w:tcPr>
            <w:tcW w:w="990" w:type="dxa"/>
            <w:vAlign w:val="center"/>
          </w:tcPr>
          <w:p>
            <w:pPr>
              <w:jc w:val="center"/>
              <w:rPr>
                <w:rFonts w:eastAsia="Calibri" w:cs="Arial"/>
                <w:color w:val="auto"/>
                <w:sz w:val="16"/>
                <w:szCs w:val="16"/>
              </w:rPr>
            </w:pPr>
            <w:r>
              <w:rPr>
                <w:rFonts w:eastAsia="Calibri" w:cs="Arial"/>
                <w:color w:val="auto"/>
                <w:sz w:val="16"/>
                <w:szCs w:val="16"/>
              </w:rPr>
              <w:t>2.880,6</w:t>
            </w:r>
          </w:p>
        </w:tc>
        <w:tc>
          <w:tcPr>
            <w:tcW w:w="919" w:type="dxa"/>
            <w:vAlign w:val="center"/>
          </w:tcPr>
          <w:p>
            <w:pPr>
              <w:jc w:val="center"/>
              <w:rPr>
                <w:rFonts w:eastAsia="Calibri" w:cs="Arial"/>
                <w:color w:val="auto"/>
                <w:sz w:val="16"/>
                <w:szCs w:val="16"/>
              </w:rPr>
            </w:pPr>
            <w:r>
              <w:rPr>
                <w:rFonts w:eastAsia="Calibri" w:cs="Arial"/>
                <w:color w:val="auto"/>
                <w:sz w:val="16"/>
                <w:szCs w:val="16"/>
              </w:rPr>
              <w:t>2.521,2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3.942</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3.790,4</w:t>
            </w:r>
          </w:p>
        </w:tc>
        <w:tc>
          <w:tcPr>
            <w:tcW w:w="990" w:type="dxa"/>
            <w:vAlign w:val="center"/>
          </w:tcPr>
          <w:p>
            <w:pPr>
              <w:jc w:val="center"/>
              <w:rPr>
                <w:rFonts w:eastAsia="Calibri" w:cs="Arial"/>
                <w:color w:val="auto"/>
                <w:sz w:val="16"/>
                <w:szCs w:val="16"/>
              </w:rPr>
            </w:pPr>
            <w:r>
              <w:rPr>
                <w:rFonts w:eastAsia="Calibri" w:cs="Arial"/>
                <w:color w:val="auto"/>
                <w:sz w:val="16"/>
                <w:szCs w:val="16"/>
              </w:rPr>
              <w:t>3.648,7</w:t>
            </w:r>
          </w:p>
        </w:tc>
        <w:tc>
          <w:tcPr>
            <w:tcW w:w="919" w:type="dxa"/>
            <w:vAlign w:val="center"/>
          </w:tcPr>
          <w:p>
            <w:pPr>
              <w:jc w:val="center"/>
              <w:rPr>
                <w:rFonts w:eastAsia="Calibri" w:cs="Arial"/>
                <w:color w:val="auto"/>
                <w:sz w:val="16"/>
                <w:szCs w:val="16"/>
              </w:rPr>
            </w:pPr>
            <w:r>
              <w:rPr>
                <w:rFonts w:eastAsia="Calibri" w:cs="Arial"/>
                <w:color w:val="auto"/>
                <w:sz w:val="16"/>
                <w:szCs w:val="16"/>
              </w:rPr>
              <w:t>3.981,1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5.000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3.805,6</w:t>
            </w:r>
          </w:p>
        </w:tc>
        <w:tc>
          <w:tcPr>
            <w:tcW w:w="990" w:type="dxa"/>
            <w:vAlign w:val="center"/>
          </w:tcPr>
          <w:p>
            <w:pPr>
              <w:jc w:val="center"/>
              <w:rPr>
                <w:rFonts w:eastAsia="Calibri" w:cs="Arial"/>
                <w:color w:val="auto"/>
                <w:sz w:val="16"/>
                <w:szCs w:val="16"/>
              </w:rPr>
            </w:pPr>
            <w:r>
              <w:rPr>
                <w:rFonts w:eastAsia="Calibri" w:cs="Arial"/>
                <w:color w:val="auto"/>
                <w:sz w:val="16"/>
                <w:szCs w:val="16"/>
              </w:rPr>
              <w:t>3.736,7</w:t>
            </w:r>
          </w:p>
        </w:tc>
        <w:tc>
          <w:tcPr>
            <w:tcW w:w="919" w:type="dxa"/>
            <w:vAlign w:val="center"/>
          </w:tcPr>
          <w:p>
            <w:pPr>
              <w:jc w:val="center"/>
              <w:rPr>
                <w:rFonts w:eastAsia="Calibri" w:cs="Arial"/>
                <w:color w:val="auto"/>
                <w:sz w:val="16"/>
                <w:szCs w:val="16"/>
              </w:rPr>
            </w:pPr>
            <w:r>
              <w:rPr>
                <w:rFonts w:eastAsia="Calibri" w:cs="Arial"/>
                <w:color w:val="auto"/>
                <w:sz w:val="16"/>
                <w:szCs w:val="16"/>
              </w:rPr>
              <w:t>3.961,5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4.000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3.925,0</w:t>
            </w:r>
          </w:p>
        </w:tc>
        <w:tc>
          <w:tcPr>
            <w:tcW w:w="990" w:type="dxa"/>
            <w:vAlign w:val="center"/>
          </w:tcPr>
          <w:p>
            <w:pPr>
              <w:jc w:val="center"/>
              <w:rPr>
                <w:rFonts w:eastAsia="Calibri" w:cs="Arial"/>
                <w:color w:val="auto"/>
                <w:sz w:val="16"/>
                <w:szCs w:val="16"/>
              </w:rPr>
            </w:pPr>
            <w:r>
              <w:rPr>
                <w:rFonts w:eastAsia="Calibri" w:cs="Arial"/>
                <w:color w:val="auto"/>
                <w:sz w:val="16"/>
                <w:szCs w:val="16"/>
              </w:rPr>
              <w:t>4.115,7</w:t>
            </w:r>
          </w:p>
        </w:tc>
        <w:tc>
          <w:tcPr>
            <w:tcW w:w="919" w:type="dxa"/>
            <w:vAlign w:val="center"/>
          </w:tcPr>
          <w:p>
            <w:pPr>
              <w:jc w:val="center"/>
              <w:rPr>
                <w:rFonts w:eastAsia="Calibri" w:cs="Arial"/>
                <w:color w:val="auto"/>
                <w:sz w:val="16"/>
                <w:szCs w:val="16"/>
              </w:rPr>
            </w:pPr>
            <w:r>
              <w:rPr>
                <w:rFonts w:eastAsia="Calibri" w:cs="Arial"/>
                <w:color w:val="auto"/>
                <w:sz w:val="16"/>
                <w:szCs w:val="16"/>
              </w:rPr>
              <w:t>4.480,8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7.000</w:t>
            </w:r>
          </w:p>
        </w:tc>
        <w:tc>
          <w:tcPr>
            <w:tcW w:w="990" w:type="dxa"/>
            <w:vAlign w:val="center"/>
          </w:tcPr>
          <w:p>
            <w:pPr>
              <w:jc w:val="center"/>
              <w:rPr>
                <w:rFonts w:eastAsia="Calibri" w:cs="Times New Roman"/>
                <w:color w:val="auto"/>
                <w:sz w:val="16"/>
                <w:szCs w:val="16"/>
              </w:rPr>
            </w:pPr>
            <w:r>
              <w:rPr>
                <w:rFonts w:eastAsia="Calibri" w:cs="Arial"/>
                <w:color w:val="auto"/>
                <w:sz w:val="16"/>
                <w:szCs w:val="16"/>
              </w:rPr>
              <w:t>3.932,5</w:t>
            </w:r>
          </w:p>
        </w:tc>
        <w:tc>
          <w:tcPr>
            <w:tcW w:w="990" w:type="dxa"/>
            <w:vAlign w:val="center"/>
          </w:tcPr>
          <w:p>
            <w:pPr>
              <w:jc w:val="center"/>
              <w:rPr>
                <w:rFonts w:eastAsia="Calibri" w:cs="Arial"/>
                <w:color w:val="auto"/>
                <w:sz w:val="16"/>
                <w:szCs w:val="16"/>
              </w:rPr>
            </w:pPr>
            <w:r>
              <w:rPr>
                <w:rFonts w:eastAsia="Calibri" w:cs="Arial"/>
                <w:color w:val="auto"/>
                <w:sz w:val="16"/>
                <w:szCs w:val="16"/>
              </w:rPr>
              <w:t>4.081,0</w:t>
            </w:r>
          </w:p>
        </w:tc>
        <w:tc>
          <w:tcPr>
            <w:tcW w:w="919" w:type="dxa"/>
            <w:vAlign w:val="center"/>
          </w:tcPr>
          <w:p>
            <w:pPr>
              <w:jc w:val="center"/>
              <w:rPr>
                <w:rFonts w:eastAsia="Calibri" w:cs="Arial"/>
                <w:color w:val="auto"/>
                <w:sz w:val="16"/>
                <w:szCs w:val="16"/>
              </w:rPr>
            </w:pPr>
            <w:r>
              <w:rPr>
                <w:rFonts w:eastAsia="Calibri" w:cs="Arial"/>
                <w:color w:val="auto"/>
                <w:sz w:val="16"/>
                <w:szCs w:val="16"/>
              </w:rPr>
              <w:t>4.240,4</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1" w:type="dxa"/>
            <w:vAlign w:val="center"/>
          </w:tcPr>
          <w:p>
            <w:pPr>
              <w:jc w:val="center"/>
              <w:rPr>
                <w:rFonts w:eastAsia="Calibri" w:cs="Times New Roman"/>
                <w:color w:val="auto"/>
                <w:sz w:val="16"/>
                <w:szCs w:val="16"/>
              </w:rPr>
            </w:pPr>
            <w:r>
              <w:rPr>
                <w:rFonts w:eastAsia="Calibri" w:cs="Arial"/>
                <w:color w:val="auto"/>
                <w:sz w:val="16"/>
                <w:szCs w:val="16"/>
              </w:rPr>
              <w:t>3.736</w:t>
            </w:r>
          </w:p>
        </w:tc>
        <w:tc>
          <w:tcPr>
            <w:tcW w:w="990" w:type="dxa"/>
            <w:vAlign w:val="center"/>
          </w:tcPr>
          <w:p>
            <w:pPr>
              <w:jc w:val="center"/>
              <w:rPr>
                <w:rFonts w:eastAsia="Calibri" w:cs="Times New Roman"/>
                <w:color w:val="auto"/>
                <w:sz w:val="16"/>
                <w:szCs w:val="16"/>
              </w:rPr>
            </w:pPr>
            <w:r>
              <w:rPr>
                <w:rFonts w:eastAsia="Calibri" w:cs="Arial"/>
                <w:color w:val="auto"/>
                <w:sz w:val="16"/>
                <w:szCs w:val="16"/>
              </w:rPr>
              <w:t>4.239,3</w:t>
            </w:r>
          </w:p>
        </w:tc>
        <w:tc>
          <w:tcPr>
            <w:tcW w:w="990" w:type="dxa"/>
            <w:vAlign w:val="center"/>
          </w:tcPr>
          <w:p>
            <w:pPr>
              <w:jc w:val="center"/>
              <w:rPr>
                <w:rFonts w:eastAsia="Calibri" w:cs="Arial"/>
                <w:color w:val="auto"/>
                <w:sz w:val="16"/>
                <w:szCs w:val="16"/>
              </w:rPr>
            </w:pPr>
            <w:r>
              <w:rPr>
                <w:rFonts w:eastAsia="Calibri" w:cs="Arial"/>
                <w:color w:val="auto"/>
                <w:sz w:val="16"/>
                <w:szCs w:val="16"/>
              </w:rPr>
              <w:t>4.956,7</w:t>
            </w:r>
          </w:p>
        </w:tc>
        <w:tc>
          <w:tcPr>
            <w:tcW w:w="919" w:type="dxa"/>
            <w:vAlign w:val="center"/>
          </w:tcPr>
          <w:p>
            <w:pPr>
              <w:jc w:val="center"/>
              <w:rPr>
                <w:rFonts w:eastAsia="Calibri" w:cs="Arial"/>
                <w:color w:val="auto"/>
                <w:sz w:val="16"/>
                <w:szCs w:val="16"/>
              </w:rPr>
            </w:pPr>
            <w:r>
              <w:rPr>
                <w:rFonts w:eastAsia="Calibri" w:cs="Arial"/>
                <w:color w:val="auto"/>
                <w:sz w:val="16"/>
                <w:szCs w:val="16"/>
              </w:rPr>
              <w:t>5.620,2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p>
        </w:tc>
        <w:tc>
          <w:tcPr>
            <w:tcW w:w="990" w:type="dxa"/>
            <w:vAlign w:val="center"/>
          </w:tcPr>
          <w:p>
            <w:pPr>
              <w:jc w:val="center"/>
              <w:rPr>
                <w:rFonts w:eastAsia="Calibri" w:cs="Times New Roman"/>
                <w:color w:val="auto"/>
                <w:sz w:val="16"/>
                <w:szCs w:val="16"/>
              </w:rPr>
            </w:pPr>
            <w:r>
              <w:rPr>
                <w:rFonts w:eastAsia="Calibri" w:cs="Arial"/>
                <w:bCs/>
                <w:color w:val="auto"/>
                <w:sz w:val="16"/>
                <w:szCs w:val="16"/>
              </w:rPr>
              <w:t>4.188,9</w:t>
            </w:r>
          </w:p>
        </w:tc>
        <w:tc>
          <w:tcPr>
            <w:tcW w:w="990" w:type="dxa"/>
            <w:vAlign w:val="center"/>
          </w:tcPr>
          <w:p>
            <w:pPr>
              <w:jc w:val="center"/>
              <w:rPr>
                <w:rFonts w:eastAsia="Calibri" w:cs="Arial"/>
                <w:color w:val="auto"/>
                <w:sz w:val="16"/>
                <w:szCs w:val="16"/>
              </w:rPr>
            </w:pPr>
            <w:r>
              <w:rPr>
                <w:rFonts w:eastAsia="Calibri" w:cs="Arial"/>
                <w:bCs/>
                <w:color w:val="auto"/>
                <w:sz w:val="16"/>
                <w:szCs w:val="16"/>
              </w:rPr>
              <w:t>4.590,5</w:t>
            </w:r>
          </w:p>
        </w:tc>
        <w:tc>
          <w:tcPr>
            <w:tcW w:w="919" w:type="dxa"/>
            <w:vAlign w:val="center"/>
          </w:tcPr>
          <w:p>
            <w:pPr>
              <w:jc w:val="center"/>
              <w:rPr>
                <w:rFonts w:eastAsia="Calibri" w:cs="Arial"/>
                <w:color w:val="auto"/>
                <w:sz w:val="16"/>
                <w:szCs w:val="16"/>
              </w:rPr>
            </w:pPr>
            <w:r>
              <w:rPr>
                <w:rFonts w:eastAsia="Calibri" w:cs="Arial"/>
                <w:bCs/>
                <w:color w:val="auto"/>
                <w:sz w:val="16"/>
                <w:szCs w:val="16"/>
              </w:rPr>
              <w:t>4.678,1</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10. Peramalan menggunakan metode </w:t>
      </w:r>
      <w:r>
        <w:rPr>
          <w:rFonts w:eastAsia="MS Mincho"/>
          <w:i/>
          <w:color w:val="auto"/>
          <w:sz w:val="16"/>
          <w:szCs w:val="16"/>
        </w:rPr>
        <w:t>moving average</w:t>
      </w:r>
      <w:r>
        <w:rPr>
          <w:rFonts w:eastAsia="MS Mincho"/>
          <w:color w:val="auto"/>
          <w:sz w:val="16"/>
          <w:szCs w:val="16"/>
        </w:rPr>
        <w:t xml:space="preserve"> untuk komoditas PKE bulan Januari 2021 </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1"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Times New Roman"/>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blHeader/>
        </w:trPr>
        <w:tc>
          <w:tcPr>
            <w:tcW w:w="1146" w:type="dxa"/>
            <w:vMerge w:val="continue"/>
            <w:vAlign w:val="center"/>
          </w:tcPr>
          <w:p>
            <w:pPr>
              <w:ind w:firstLine="142"/>
              <w:jc w:val="left"/>
              <w:rPr>
                <w:rFonts w:eastAsia="Calibri" w:cs="Times New Roman"/>
                <w:b/>
                <w:bCs/>
                <w:color w:val="auto"/>
                <w:sz w:val="16"/>
                <w:szCs w:val="16"/>
              </w:rPr>
            </w:pPr>
          </w:p>
        </w:tc>
        <w:tc>
          <w:tcPr>
            <w:tcW w:w="981" w:type="dxa"/>
            <w:vMerge w:val="continue"/>
            <w:vAlign w:val="center"/>
          </w:tcPr>
          <w:p>
            <w:pPr>
              <w:jc w:val="center"/>
              <w:rPr>
                <w:rFonts w:eastAsia="Calibri" w:cs="Times New Roman"/>
                <w:b/>
                <w:bCs/>
                <w:color w:val="auto"/>
                <w:sz w:val="16"/>
                <w:szCs w:val="16"/>
              </w:rPr>
            </w:pP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 xml:space="preserve"> 0,1</w:t>
            </w: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0,3</w:t>
            </w:r>
          </w:p>
        </w:tc>
        <w:tc>
          <w:tcPr>
            <w:tcW w:w="919"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 xml:space="preserve"> 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3.000</w:t>
            </w:r>
          </w:p>
        </w:tc>
        <w:tc>
          <w:tcPr>
            <w:tcW w:w="990" w:type="dxa"/>
            <w:vAlign w:val="center"/>
          </w:tcPr>
          <w:p>
            <w:pPr>
              <w:jc w:val="center"/>
              <w:rPr>
                <w:rFonts w:eastAsia="Calibri" w:cs="Times New Roman"/>
                <w:color w:val="auto"/>
                <w:sz w:val="16"/>
                <w:szCs w:val="16"/>
              </w:rPr>
            </w:pPr>
          </w:p>
        </w:tc>
        <w:tc>
          <w:tcPr>
            <w:tcW w:w="990" w:type="dxa"/>
          </w:tcPr>
          <w:p>
            <w:pPr>
              <w:jc w:val="center"/>
              <w:rPr>
                <w:rFonts w:eastAsia="Calibri" w:cs="Times New Roman"/>
                <w:color w:val="auto"/>
                <w:sz w:val="16"/>
                <w:szCs w:val="16"/>
              </w:rPr>
            </w:pPr>
          </w:p>
        </w:tc>
        <w:tc>
          <w:tcPr>
            <w:tcW w:w="919" w:type="dxa"/>
            <w:vAlign w:val="center"/>
          </w:tcPr>
          <w:p>
            <w:pPr>
              <w:jc w:val="center"/>
              <w:rPr>
                <w:rFonts w:eastAsia="Calibri" w:cs="Times New Roman"/>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5.000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3.000,0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3.000,0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3.000,0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82"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16.199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3.600,0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4.000,0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4.000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4.499,9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7.379,7</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10.099,5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4"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6.000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4.449,9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6.365,8</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7.049,8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4.604,9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6.256,1</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6.524,9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3.800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4.414,4</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5.189,2</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4.612,4</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4.353,0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4.772,5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4.206,2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rPr>
        <w:tc>
          <w:tcPr>
            <w:tcW w:w="1146"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3.300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4.067,7</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3.790,7</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2.853,1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2.700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3.990,9</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3.643,5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3.076,6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6.145</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3.861,8</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3.360,5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2.888,3</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16.584</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4.090,1</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4.195,8</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4.516,6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5.339,5</w:t>
            </w: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7.912,3</w:t>
            </w:r>
          </w:p>
        </w:tc>
        <w:tc>
          <w:tcPr>
            <w:tcW w:w="919" w:type="dxa"/>
            <w:vAlign w:val="center"/>
          </w:tcPr>
          <w:p>
            <w:pPr>
              <w:jc w:val="center"/>
              <w:rPr>
                <w:rFonts w:eastAsia="Calibri" w:cs="Times New Roman"/>
                <w:color w:val="auto"/>
                <w:sz w:val="16"/>
                <w:szCs w:val="16"/>
              </w:rPr>
            </w:pPr>
            <w:r>
              <w:rPr>
                <w:rFonts w:eastAsia="Calibri" w:cs="Times New Roman"/>
                <w:bCs/>
                <w:color w:val="auto"/>
                <w:sz w:val="16"/>
                <w:szCs w:val="16"/>
              </w:rPr>
              <w:t>10.550,3</w:t>
            </w:r>
          </w:p>
        </w:tc>
      </w:tr>
    </w:tbl>
    <w:p>
      <w:pPr>
        <w:rPr>
          <w:rFonts w:eastAsia="MS Mincho"/>
          <w:color w:val="auto"/>
        </w:rPr>
      </w:pPr>
    </w:p>
    <w:p>
      <w:pPr>
        <w:spacing w:line="360" w:lineRule="auto"/>
        <w:ind w:left="567" w:hanging="567"/>
        <w:rPr>
          <w:rFonts w:eastAsia="MS Mincho"/>
          <w:color w:val="auto"/>
          <w:sz w:val="16"/>
          <w:szCs w:val="16"/>
        </w:rPr>
      </w:pPr>
      <w:r>
        <w:rPr>
          <w:rFonts w:eastAsia="MS Mincho"/>
          <w:color w:val="auto"/>
          <w:sz w:val="16"/>
          <w:szCs w:val="16"/>
        </w:rPr>
        <w:t xml:space="preserve">Tabel 11. Peramalan menggunakan metode </w:t>
      </w:r>
      <w:r>
        <w:rPr>
          <w:rFonts w:eastAsia="MS Mincho"/>
          <w:i/>
          <w:color w:val="auto"/>
          <w:sz w:val="16"/>
          <w:szCs w:val="16"/>
        </w:rPr>
        <w:t>moving average</w:t>
      </w:r>
      <w:r>
        <w:rPr>
          <w:rFonts w:eastAsia="MS Mincho"/>
          <w:color w:val="auto"/>
          <w:sz w:val="16"/>
          <w:szCs w:val="16"/>
        </w:rPr>
        <w:t xml:space="preserve"> untuk komoditas kopra bulan Januari 2021</w:t>
      </w:r>
    </w:p>
    <w:tbl>
      <w:tblPr>
        <w:tblStyle w:val="2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0" w:type="dxa"/>
          <w:bottom w:w="0" w:type="dxa"/>
          <w:right w:w="0" w:type="dxa"/>
        </w:tblCellMar>
      </w:tblPr>
      <w:tblGrid>
        <w:gridCol w:w="1146"/>
        <w:gridCol w:w="981"/>
        <w:gridCol w:w="990"/>
        <w:gridCol w:w="990"/>
        <w:gridCol w:w="91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restart"/>
            <w:vAlign w:val="center"/>
          </w:tcPr>
          <w:p>
            <w:pPr>
              <w:ind w:firstLine="142"/>
              <w:jc w:val="left"/>
              <w:rPr>
                <w:rFonts w:eastAsia="Calibri" w:cs="Times New Roman"/>
                <w:b/>
                <w:bCs/>
                <w:color w:val="auto"/>
                <w:sz w:val="16"/>
                <w:szCs w:val="16"/>
              </w:rPr>
            </w:pPr>
            <w:r>
              <w:rPr>
                <w:rFonts w:eastAsia="Calibri" w:cs="Times New Roman"/>
                <w:b/>
                <w:bCs/>
                <w:color w:val="auto"/>
                <w:sz w:val="16"/>
                <w:szCs w:val="16"/>
              </w:rPr>
              <w:t>Bulan</w:t>
            </w:r>
          </w:p>
        </w:tc>
        <w:tc>
          <w:tcPr>
            <w:tcW w:w="981" w:type="dxa"/>
            <w:vMerge w:val="restart"/>
            <w:vAlign w:val="center"/>
          </w:tcPr>
          <w:p>
            <w:pPr>
              <w:jc w:val="center"/>
              <w:rPr>
                <w:rFonts w:eastAsia="Calibri" w:cs="Times New Roman"/>
                <w:b/>
                <w:bCs/>
                <w:color w:val="auto"/>
                <w:sz w:val="16"/>
                <w:szCs w:val="16"/>
              </w:rPr>
            </w:pPr>
            <w:r>
              <w:rPr>
                <w:rFonts w:eastAsia="Calibri" w:cs="Times New Roman"/>
                <w:b/>
                <w:bCs/>
                <w:color w:val="auto"/>
                <w:sz w:val="16"/>
                <w:szCs w:val="16"/>
              </w:rPr>
              <w:t>Aktual</w:t>
            </w:r>
          </w:p>
          <w:p>
            <w:pPr>
              <w:jc w:val="center"/>
              <w:rPr>
                <w:rFonts w:eastAsia="Calibri" w:cs="Times New Roman"/>
                <w:b/>
                <w:bCs/>
                <w:color w:val="auto"/>
                <w:sz w:val="16"/>
                <w:szCs w:val="16"/>
              </w:rPr>
            </w:pPr>
            <w:r>
              <w:rPr>
                <w:rFonts w:eastAsia="Calibri" w:cs="Times New Roman"/>
                <w:b/>
                <w:bCs/>
                <w:color w:val="auto"/>
                <w:sz w:val="16"/>
                <w:szCs w:val="16"/>
              </w:rPr>
              <w:t>(Ton)</w:t>
            </w:r>
          </w:p>
        </w:tc>
        <w:tc>
          <w:tcPr>
            <w:tcW w:w="2899" w:type="dxa"/>
            <w:gridSpan w:val="3"/>
            <w:vAlign w:val="center"/>
          </w:tcPr>
          <w:p>
            <w:pPr>
              <w:jc w:val="center"/>
              <w:rPr>
                <w:rFonts w:eastAsia="Calibri" w:cs="Times New Roman"/>
                <w:b/>
                <w:bCs/>
                <w:i/>
                <w:iCs/>
                <w:color w:val="auto"/>
                <w:sz w:val="16"/>
                <w:szCs w:val="16"/>
              </w:rPr>
            </w:pPr>
            <w:r>
              <w:rPr>
                <w:rFonts w:eastAsia="Calibri" w:cs="Times New Roman"/>
                <w:b/>
                <w:bCs/>
                <w:i/>
                <w:iCs/>
                <w:color w:val="auto"/>
                <w:sz w:val="16"/>
                <w:szCs w:val="16"/>
              </w:rPr>
              <w:t>Forecasting</w:t>
            </w:r>
            <w:r>
              <w:rPr>
                <w:rFonts w:eastAsia="Calibri" w:cs="Times New Roman"/>
                <w:b/>
                <w:bCs/>
                <w:iCs/>
                <w:color w:val="auto"/>
                <w:sz w:val="16"/>
                <w:szCs w:val="16"/>
              </w:rPr>
              <w:t xml:space="preserve"> (Ton)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blHeader/>
        </w:trPr>
        <w:tc>
          <w:tcPr>
            <w:tcW w:w="1146" w:type="dxa"/>
            <w:vMerge w:val="continue"/>
            <w:vAlign w:val="center"/>
          </w:tcPr>
          <w:p>
            <w:pPr>
              <w:ind w:firstLine="142"/>
              <w:jc w:val="left"/>
              <w:rPr>
                <w:rFonts w:eastAsia="Calibri" w:cs="Times New Roman"/>
                <w:b/>
                <w:bCs/>
                <w:color w:val="auto"/>
                <w:sz w:val="16"/>
                <w:szCs w:val="16"/>
              </w:rPr>
            </w:pPr>
          </w:p>
        </w:tc>
        <w:tc>
          <w:tcPr>
            <w:tcW w:w="981" w:type="dxa"/>
            <w:vMerge w:val="continue"/>
            <w:vAlign w:val="center"/>
          </w:tcPr>
          <w:p>
            <w:pPr>
              <w:jc w:val="center"/>
              <w:rPr>
                <w:rFonts w:eastAsia="Calibri" w:cs="Times New Roman"/>
                <w:b/>
                <w:bCs/>
                <w:color w:val="auto"/>
                <w:sz w:val="16"/>
                <w:szCs w:val="16"/>
              </w:rPr>
            </w:pP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0,1</w:t>
            </w:r>
          </w:p>
        </w:tc>
        <w:tc>
          <w:tcPr>
            <w:tcW w:w="990"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0,3</w:t>
            </w:r>
          </w:p>
        </w:tc>
        <w:tc>
          <w:tcPr>
            <w:tcW w:w="919" w:type="dxa"/>
            <w:vAlign w:val="center"/>
          </w:tcPr>
          <w:p>
            <w:pPr>
              <w:jc w:val="center"/>
              <w:rPr>
                <w:rFonts w:eastAsia="Calibri" w:cs="Times New Roman"/>
                <w:b/>
                <w:bCs/>
                <w:iCs/>
                <w:color w:val="auto"/>
                <w:sz w:val="16"/>
                <w:szCs w:val="16"/>
              </w:rPr>
            </w:pPr>
            <w:r>
              <w:rPr>
                <w:rFonts w:eastAsia="Calibri" w:cs="Times New Roman"/>
                <w:b/>
                <w:bCs/>
                <w:iCs/>
                <w:color w:val="auto"/>
                <w:sz w:val="16"/>
                <w:szCs w:val="16"/>
              </w:rPr>
              <w:t>0,5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1.905</w:t>
            </w:r>
          </w:p>
        </w:tc>
        <w:tc>
          <w:tcPr>
            <w:tcW w:w="990" w:type="dxa"/>
            <w:vAlign w:val="center"/>
          </w:tcPr>
          <w:p>
            <w:pPr>
              <w:jc w:val="center"/>
              <w:rPr>
                <w:rFonts w:eastAsia="Calibri" w:cs="Times New Roman"/>
                <w:color w:val="auto"/>
                <w:sz w:val="16"/>
                <w:szCs w:val="16"/>
              </w:rPr>
            </w:pPr>
          </w:p>
        </w:tc>
        <w:tc>
          <w:tcPr>
            <w:tcW w:w="990" w:type="dxa"/>
          </w:tcPr>
          <w:p>
            <w:pPr>
              <w:jc w:val="center"/>
              <w:rPr>
                <w:rFonts w:eastAsia="Calibri" w:cs="Times New Roman"/>
                <w:color w:val="auto"/>
                <w:sz w:val="16"/>
                <w:szCs w:val="16"/>
              </w:rPr>
            </w:pPr>
          </w:p>
        </w:tc>
        <w:tc>
          <w:tcPr>
            <w:tcW w:w="919" w:type="dxa"/>
            <w:vAlign w:val="center"/>
          </w:tcPr>
          <w:p>
            <w:pPr>
              <w:jc w:val="center"/>
              <w:rPr>
                <w:rFonts w:eastAsia="Calibri" w:cs="Times New Roman"/>
                <w:color w:val="auto"/>
                <w:sz w:val="16"/>
                <w:szCs w:val="16"/>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Februari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1.905,0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1.905,0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1.905,0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Maret</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1.864,5</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1.783,5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1.702,5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April</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1.878,1</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1.848,5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1.851,3</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Mei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1.840,2</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1.743,9</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1.675,6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Juni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1.856,2</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1.820,7</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1.837,8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04"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Juli</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1.820,6</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1.724,5</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1.668,9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Agustus</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1.788,5</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1.657,2</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1.584,5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left="142"/>
              <w:jc w:val="left"/>
              <w:rPr>
                <w:rFonts w:eastAsia="Calibri" w:cs="Times New Roman"/>
                <w:color w:val="auto"/>
                <w:sz w:val="16"/>
                <w:szCs w:val="16"/>
              </w:rPr>
            </w:pPr>
            <w:r>
              <w:rPr>
                <w:rFonts w:eastAsia="Calibri" w:cs="Times New Roman"/>
                <w:color w:val="auto"/>
                <w:sz w:val="16"/>
                <w:szCs w:val="16"/>
              </w:rPr>
              <w:t>September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1.500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1.809,7</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1.760,0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1.792,2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Oktober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1.778,7</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1.682,0</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1.646,1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November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1.700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1.800,8</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1.777,4</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1.823,1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Desember</w:t>
            </w:r>
          </w:p>
        </w:tc>
        <w:tc>
          <w:tcPr>
            <w:tcW w:w="981" w:type="dxa"/>
            <w:vAlign w:val="center"/>
          </w:tcPr>
          <w:p>
            <w:pPr>
              <w:jc w:val="center"/>
              <w:rPr>
                <w:rFonts w:eastAsia="Calibri" w:cs="Times New Roman"/>
                <w:color w:val="auto"/>
                <w:sz w:val="16"/>
                <w:szCs w:val="16"/>
              </w:rPr>
            </w:pPr>
            <w:r>
              <w:rPr>
                <w:rFonts w:eastAsia="Calibri" w:cs="Times New Roman"/>
                <w:color w:val="auto"/>
                <w:sz w:val="16"/>
                <w:szCs w:val="16"/>
              </w:rPr>
              <w:t>2.000</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1.790,8</w:t>
            </w:r>
          </w:p>
        </w:tc>
        <w:tc>
          <w:tcPr>
            <w:tcW w:w="990" w:type="dxa"/>
            <w:vAlign w:val="center"/>
          </w:tcPr>
          <w:p>
            <w:pPr>
              <w:jc w:val="center"/>
              <w:rPr>
                <w:rFonts w:eastAsia="Calibri" w:cs="Times New Roman"/>
                <w:color w:val="auto"/>
                <w:sz w:val="16"/>
                <w:szCs w:val="16"/>
              </w:rPr>
            </w:pPr>
            <w:r>
              <w:rPr>
                <w:rFonts w:eastAsia="Calibri" w:cs="Times New Roman"/>
                <w:color w:val="auto"/>
                <w:sz w:val="16"/>
                <w:szCs w:val="16"/>
              </w:rPr>
              <w:t>1.754,2</w:t>
            </w:r>
          </w:p>
        </w:tc>
        <w:tc>
          <w:tcPr>
            <w:tcW w:w="919" w:type="dxa"/>
            <w:vAlign w:val="center"/>
          </w:tcPr>
          <w:p>
            <w:pPr>
              <w:jc w:val="center"/>
              <w:rPr>
                <w:rFonts w:eastAsia="Calibri" w:cs="Times New Roman"/>
                <w:color w:val="auto"/>
                <w:sz w:val="16"/>
                <w:szCs w:val="16"/>
              </w:rPr>
            </w:pPr>
            <w:r>
              <w:rPr>
                <w:rFonts w:eastAsia="Calibri" w:cs="Times New Roman"/>
                <w:color w:val="auto"/>
                <w:sz w:val="16"/>
                <w:szCs w:val="16"/>
              </w:rPr>
              <w:t>1.761,5</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0" w:hRule="atLeast"/>
        </w:trPr>
        <w:tc>
          <w:tcPr>
            <w:tcW w:w="1146" w:type="dxa"/>
            <w:vAlign w:val="center"/>
          </w:tcPr>
          <w:p>
            <w:pPr>
              <w:ind w:firstLine="142"/>
              <w:jc w:val="left"/>
              <w:rPr>
                <w:rFonts w:eastAsia="Calibri" w:cs="Times New Roman"/>
                <w:color w:val="auto"/>
                <w:sz w:val="16"/>
                <w:szCs w:val="16"/>
              </w:rPr>
            </w:pPr>
            <w:r>
              <w:rPr>
                <w:rFonts w:eastAsia="Calibri" w:cs="Times New Roman"/>
                <w:color w:val="auto"/>
                <w:sz w:val="16"/>
                <w:szCs w:val="16"/>
              </w:rPr>
              <w:t>Januari</w:t>
            </w:r>
          </w:p>
        </w:tc>
        <w:tc>
          <w:tcPr>
            <w:tcW w:w="981" w:type="dxa"/>
            <w:vAlign w:val="center"/>
          </w:tcPr>
          <w:p>
            <w:pPr>
              <w:jc w:val="center"/>
              <w:rPr>
                <w:rFonts w:eastAsia="Calibri" w:cs="Times New Roman"/>
                <w:color w:val="auto"/>
                <w:sz w:val="16"/>
                <w:szCs w:val="16"/>
              </w:rPr>
            </w:pP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1.811,7</w:t>
            </w:r>
          </w:p>
        </w:tc>
        <w:tc>
          <w:tcPr>
            <w:tcW w:w="990" w:type="dxa"/>
            <w:vAlign w:val="center"/>
          </w:tcPr>
          <w:p>
            <w:pPr>
              <w:jc w:val="center"/>
              <w:rPr>
                <w:rFonts w:eastAsia="Calibri" w:cs="Times New Roman"/>
                <w:color w:val="auto"/>
                <w:sz w:val="16"/>
                <w:szCs w:val="16"/>
              </w:rPr>
            </w:pPr>
            <w:r>
              <w:rPr>
                <w:rFonts w:eastAsia="Calibri" w:cs="Times New Roman"/>
                <w:bCs/>
                <w:color w:val="auto"/>
                <w:sz w:val="16"/>
                <w:szCs w:val="16"/>
              </w:rPr>
              <w:t>1.827,9</w:t>
            </w:r>
          </w:p>
        </w:tc>
        <w:tc>
          <w:tcPr>
            <w:tcW w:w="919" w:type="dxa"/>
            <w:vAlign w:val="center"/>
          </w:tcPr>
          <w:p>
            <w:pPr>
              <w:jc w:val="center"/>
              <w:rPr>
                <w:rFonts w:eastAsia="Calibri" w:cs="Times New Roman"/>
                <w:color w:val="auto"/>
                <w:sz w:val="16"/>
                <w:szCs w:val="16"/>
              </w:rPr>
            </w:pPr>
            <w:r>
              <w:rPr>
                <w:rFonts w:eastAsia="Calibri" w:cs="Times New Roman"/>
                <w:bCs/>
                <w:color w:val="auto"/>
                <w:sz w:val="16"/>
                <w:szCs w:val="16"/>
              </w:rPr>
              <w:t>1.880,8</w:t>
            </w:r>
          </w:p>
        </w:tc>
      </w:tr>
    </w:tbl>
    <w:p>
      <w:pPr>
        <w:rPr>
          <w:rFonts w:eastAsia="MS Mincho"/>
          <w:color w:val="auto"/>
        </w:rPr>
      </w:pPr>
    </w:p>
    <w:p>
      <w:pPr>
        <w:ind w:firstLine="284"/>
        <w:rPr>
          <w:rFonts w:eastAsia="MS Mincho"/>
          <w:color w:val="auto"/>
        </w:rPr>
      </w:pPr>
      <w:r>
        <w:rPr>
          <w:rFonts w:eastAsia="MS Mincho"/>
          <w:color w:val="auto"/>
        </w:rPr>
        <w:t xml:space="preserve">Berdasarkan hasil perhitungan dengan menggunakan nilai α = 0,1 yang telah dilakukan, dapat diramalkan bahwa pada bulan Januari 2021, jumlah persediaan komoditas CPO yang akan dilakukan bongkar muat sebanyak 77.459,3 ton, aspal sebanyak 4.188,9 ton, PKE sebanyak 55.339,5 ton, dan kopra sebanyak 1.811,7 ton sehingga jumlahnya menjadi 88.799,5 ton. Hasil perhitungan jumlah persediaan komoditas dengan menggunakan nilai α = 0,3 meramalkan bahwa komoditas CPO yang akan dilakukan bongkar muat pada bulan Januari 2021 sebanyak 96.372,6 ton, aspal sebanyak 4.313 ton, PKE sebanyak 7.912,3 ton, dan kopra sebanyak 1.827,9 ton sehingga jumlahnya meningkat dari peramalan menggunakan nilai α = 0,1 yaitu 110.703,3 ton. Perhitungan menggunakan nilai α = 0,5 menunjukkan hasil bahwa jumlah persediaan CPO pada bulan Januari 2021 adalah 111.942,1 ton, aspal sebanyak 4.678,1 ton, PKE sebanyak 10.550,3 ton, dan kopra sebanyak 1.880,8 ton sehingga jumlahnya adalah 129.051,3 ton. </w:t>
      </w:r>
    </w:p>
    <w:p>
      <w:pPr>
        <w:pStyle w:val="3"/>
        <w:rPr>
          <w:color w:val="auto"/>
        </w:rPr>
      </w:pPr>
      <w:r>
        <w:rPr>
          <w:color w:val="auto"/>
        </w:rPr>
        <w:t>Akurasi peramalan</w:t>
      </w:r>
    </w:p>
    <w:p>
      <w:pPr>
        <w:rPr>
          <w:rFonts w:eastAsia="MS Mincho"/>
          <w:color w:val="auto"/>
        </w:rPr>
      </w:pPr>
      <w:r>
        <w:rPr>
          <w:rFonts w:eastAsia="MS Mincho"/>
          <w:color w:val="auto"/>
        </w:rPr>
        <w:t xml:space="preserve">Akurasi peramalan dilakukan dengan membandingkan nilai MAD, MSE, dan MAPE dari tiap nilai pergerakan yang digunakan. Nilai MAD, MSE, dan MAPE yang rendah mengindikasikan bahwa peramalan yang dilakukan memiliki performa yang sangat baik. Hasil perhitungan nilai MAD, MSE, dan MAPE tiap komoditas untuk masing-masing nilai pergerakan disajikan dalam Tabel 12. </w:t>
      </w:r>
    </w:p>
    <w:p>
      <w:pPr>
        <w:rPr>
          <w:rFonts w:eastAsia="MS Mincho"/>
          <w:color w:val="auto"/>
        </w:rPr>
      </w:pPr>
    </w:p>
    <w:p>
      <w:pPr>
        <w:rPr>
          <w:rFonts w:eastAsia="MS Mincho"/>
          <w:color w:val="auto"/>
          <w:sz w:val="16"/>
          <w:szCs w:val="16"/>
        </w:rPr>
        <w:sectPr>
          <w:type w:val="continuous"/>
          <w:pgSz w:w="11909" w:h="16834"/>
          <w:pgMar w:top="1152" w:right="806" w:bottom="1728" w:left="806" w:header="720" w:footer="1008" w:gutter="0"/>
          <w:pgNumType w:fmt="decimal"/>
          <w:cols w:space="245" w:num="2"/>
          <w:docGrid w:linePitch="360" w:charSpace="0"/>
        </w:sectPr>
      </w:pPr>
    </w:p>
    <w:p>
      <w:pPr>
        <w:rPr>
          <w:rFonts w:eastAsia="MS Mincho"/>
          <w:color w:val="auto"/>
          <w:sz w:val="16"/>
          <w:szCs w:val="16"/>
        </w:rPr>
      </w:pPr>
    </w:p>
    <w:p>
      <w:pPr>
        <w:rPr>
          <w:rFonts w:eastAsia="MS Mincho"/>
          <w:color w:val="auto"/>
          <w:sz w:val="16"/>
          <w:szCs w:val="16"/>
        </w:rPr>
      </w:pPr>
      <w:r>
        <w:rPr>
          <w:rFonts w:eastAsia="MS Mincho"/>
          <w:color w:val="auto"/>
          <w:sz w:val="16"/>
          <w:szCs w:val="16"/>
        </w:rPr>
        <w:t xml:space="preserve">Tabel 12. Hasil akurasi peramalan jumlah persediaan komoditas di PT. Pelabuhan Indonesia II Cabang Palembang </w:t>
      </w:r>
    </w:p>
    <w:tbl>
      <w:tblPr>
        <w:tblStyle w:val="26"/>
        <w:tblW w:w="10448"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998"/>
        <w:gridCol w:w="2035"/>
        <w:gridCol w:w="1483"/>
        <w:gridCol w:w="1483"/>
        <w:gridCol w:w="1483"/>
        <w:gridCol w:w="1483"/>
        <w:gridCol w:w="1483"/>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Align w:val="center"/>
          </w:tcPr>
          <w:p>
            <w:pPr>
              <w:jc w:val="center"/>
              <w:rPr>
                <w:rFonts w:eastAsia="Calibri" w:cs="Arial"/>
                <w:b/>
                <w:color w:val="auto"/>
                <w:sz w:val="16"/>
                <w:szCs w:val="16"/>
              </w:rPr>
            </w:pPr>
            <w:r>
              <w:rPr>
                <w:rFonts w:eastAsia="Calibri" w:cs="Arial"/>
                <w:b/>
                <w:color w:val="auto"/>
                <w:sz w:val="16"/>
                <w:szCs w:val="16"/>
              </w:rPr>
              <w:t>Indikator</w:t>
            </w:r>
          </w:p>
        </w:tc>
        <w:tc>
          <w:tcPr>
            <w:tcW w:w="3518" w:type="dxa"/>
            <w:gridSpan w:val="2"/>
            <w:vAlign w:val="center"/>
          </w:tcPr>
          <w:p>
            <w:pPr>
              <w:jc w:val="center"/>
              <w:rPr>
                <w:rFonts w:eastAsia="Calibri" w:cs="Arial"/>
                <w:b/>
                <w:color w:val="auto"/>
                <w:sz w:val="16"/>
                <w:szCs w:val="16"/>
              </w:rPr>
            </w:pPr>
            <w:r>
              <w:rPr>
                <w:rFonts w:eastAsia="Calibri" w:cs="Arial"/>
                <w:b/>
                <w:color w:val="auto"/>
                <w:sz w:val="16"/>
                <w:szCs w:val="16"/>
              </w:rPr>
              <w:t>Metode</w:t>
            </w:r>
          </w:p>
        </w:tc>
        <w:tc>
          <w:tcPr>
            <w:tcW w:w="1483" w:type="dxa"/>
            <w:vAlign w:val="center"/>
          </w:tcPr>
          <w:p>
            <w:pPr>
              <w:jc w:val="center"/>
              <w:rPr>
                <w:rFonts w:eastAsia="Calibri" w:cs="Arial"/>
                <w:b/>
                <w:color w:val="auto"/>
                <w:sz w:val="16"/>
                <w:szCs w:val="16"/>
              </w:rPr>
            </w:pPr>
            <w:r>
              <w:rPr>
                <w:rFonts w:eastAsia="Calibri" w:cs="Arial"/>
                <w:b/>
                <w:color w:val="auto"/>
                <w:sz w:val="16"/>
                <w:szCs w:val="16"/>
              </w:rPr>
              <w:t>CPO</w:t>
            </w:r>
          </w:p>
        </w:tc>
        <w:tc>
          <w:tcPr>
            <w:tcW w:w="1483" w:type="dxa"/>
            <w:vAlign w:val="center"/>
          </w:tcPr>
          <w:p>
            <w:pPr>
              <w:jc w:val="center"/>
              <w:rPr>
                <w:rFonts w:eastAsia="Calibri" w:cs="Arial"/>
                <w:b/>
                <w:color w:val="auto"/>
                <w:sz w:val="16"/>
                <w:szCs w:val="16"/>
              </w:rPr>
            </w:pPr>
            <w:r>
              <w:rPr>
                <w:rFonts w:eastAsia="Calibri" w:cs="Arial"/>
                <w:b/>
                <w:color w:val="auto"/>
                <w:sz w:val="16"/>
                <w:szCs w:val="16"/>
              </w:rPr>
              <w:t>Aspal</w:t>
            </w:r>
          </w:p>
        </w:tc>
        <w:tc>
          <w:tcPr>
            <w:tcW w:w="1483" w:type="dxa"/>
            <w:vAlign w:val="center"/>
          </w:tcPr>
          <w:p>
            <w:pPr>
              <w:jc w:val="center"/>
              <w:rPr>
                <w:rFonts w:eastAsia="Calibri" w:cs="Arial"/>
                <w:b/>
                <w:color w:val="auto"/>
                <w:sz w:val="16"/>
                <w:szCs w:val="16"/>
              </w:rPr>
            </w:pPr>
            <w:r>
              <w:rPr>
                <w:rFonts w:eastAsia="Calibri" w:cs="Arial"/>
                <w:b/>
                <w:color w:val="auto"/>
                <w:sz w:val="16"/>
                <w:szCs w:val="16"/>
              </w:rPr>
              <w:t>PKE</w:t>
            </w:r>
          </w:p>
        </w:tc>
        <w:tc>
          <w:tcPr>
            <w:tcW w:w="1483" w:type="dxa"/>
            <w:vAlign w:val="center"/>
          </w:tcPr>
          <w:p>
            <w:pPr>
              <w:jc w:val="center"/>
              <w:rPr>
                <w:rFonts w:eastAsia="Calibri" w:cs="Arial"/>
                <w:b/>
                <w:color w:val="auto"/>
                <w:sz w:val="16"/>
                <w:szCs w:val="16"/>
              </w:rPr>
            </w:pPr>
            <w:r>
              <w:rPr>
                <w:rFonts w:eastAsia="Calibri" w:cs="Arial"/>
                <w:b/>
                <w:color w:val="auto"/>
                <w:sz w:val="16"/>
                <w:szCs w:val="16"/>
              </w:rPr>
              <w:t>Kopra</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restart"/>
            <w:vAlign w:val="center"/>
          </w:tcPr>
          <w:p>
            <w:pPr>
              <w:jc w:val="center"/>
              <w:rPr>
                <w:rFonts w:eastAsia="Calibri" w:cs="Arial"/>
                <w:color w:val="auto"/>
                <w:sz w:val="16"/>
                <w:szCs w:val="16"/>
              </w:rPr>
            </w:pPr>
            <w:r>
              <w:rPr>
                <w:rFonts w:eastAsia="Calibri" w:cs="Arial"/>
                <w:color w:val="auto"/>
                <w:sz w:val="16"/>
                <w:szCs w:val="16"/>
              </w:rPr>
              <w:t>MAD</w:t>
            </w: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Moving average</w:t>
            </w:r>
          </w:p>
        </w:tc>
        <w:tc>
          <w:tcPr>
            <w:tcW w:w="1483" w:type="dxa"/>
            <w:vAlign w:val="center"/>
          </w:tcPr>
          <w:p>
            <w:pPr>
              <w:jc w:val="center"/>
              <w:rPr>
                <w:rFonts w:eastAsia="Calibri" w:cs="Arial"/>
                <w:color w:val="auto"/>
                <w:sz w:val="16"/>
                <w:szCs w:val="16"/>
              </w:rPr>
            </w:pPr>
            <w:r>
              <w:rPr>
                <w:rFonts w:eastAsia="Calibri" w:cs="Arial"/>
                <w:color w:val="auto"/>
                <w:sz w:val="16"/>
                <w:szCs w:val="16"/>
              </w:rPr>
              <w:t>3 bulanan</w:t>
            </w:r>
          </w:p>
        </w:tc>
        <w:tc>
          <w:tcPr>
            <w:tcW w:w="1483" w:type="dxa"/>
            <w:vAlign w:val="center"/>
          </w:tcPr>
          <w:p>
            <w:pPr>
              <w:jc w:val="center"/>
              <w:rPr>
                <w:rFonts w:eastAsia="Calibri" w:cs="Arial"/>
                <w:color w:val="auto"/>
                <w:sz w:val="16"/>
                <w:szCs w:val="16"/>
              </w:rPr>
            </w:pPr>
            <w:r>
              <w:rPr>
                <w:rFonts w:eastAsia="Calibri" w:cs="Arial"/>
                <w:color w:val="auto"/>
                <w:sz w:val="16"/>
                <w:szCs w:val="16"/>
              </w:rPr>
              <w:t>55.318,6</w:t>
            </w:r>
          </w:p>
        </w:tc>
        <w:tc>
          <w:tcPr>
            <w:tcW w:w="1483" w:type="dxa"/>
            <w:vAlign w:val="center"/>
          </w:tcPr>
          <w:p>
            <w:pPr>
              <w:jc w:val="center"/>
              <w:rPr>
                <w:rFonts w:eastAsia="Calibri" w:cs="Arial"/>
                <w:color w:val="auto"/>
                <w:sz w:val="16"/>
                <w:szCs w:val="16"/>
              </w:rPr>
            </w:pPr>
            <w:r>
              <w:rPr>
                <w:rFonts w:eastAsia="Calibri" w:cs="Arial"/>
                <w:color w:val="auto"/>
                <w:sz w:val="16"/>
                <w:szCs w:val="16"/>
              </w:rPr>
              <w:t>1.509,4</w:t>
            </w:r>
          </w:p>
        </w:tc>
        <w:tc>
          <w:tcPr>
            <w:tcW w:w="1483" w:type="dxa"/>
            <w:vAlign w:val="center"/>
          </w:tcPr>
          <w:p>
            <w:pPr>
              <w:jc w:val="center"/>
              <w:rPr>
                <w:rFonts w:eastAsia="Calibri" w:cs="Arial"/>
                <w:color w:val="auto"/>
                <w:sz w:val="16"/>
                <w:szCs w:val="16"/>
              </w:rPr>
            </w:pPr>
            <w:r>
              <w:rPr>
                <w:rFonts w:eastAsia="Calibri" w:cs="Arial"/>
                <w:color w:val="auto"/>
                <w:sz w:val="16"/>
                <w:szCs w:val="16"/>
              </w:rPr>
              <w:t>3.620,0</w:t>
            </w:r>
          </w:p>
        </w:tc>
        <w:tc>
          <w:tcPr>
            <w:tcW w:w="1483" w:type="dxa"/>
            <w:vAlign w:val="center"/>
          </w:tcPr>
          <w:p>
            <w:pPr>
              <w:jc w:val="center"/>
              <w:rPr>
                <w:rFonts w:eastAsia="Calibri" w:cs="Arial"/>
                <w:color w:val="auto"/>
                <w:sz w:val="16"/>
                <w:szCs w:val="16"/>
              </w:rPr>
            </w:pPr>
            <w:r>
              <w:rPr>
                <w:rFonts w:eastAsia="Calibri" w:cs="Arial"/>
                <w:color w:val="auto"/>
                <w:sz w:val="16"/>
                <w:szCs w:val="16"/>
              </w:rPr>
              <w:t>263,1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5 bulanan</w:t>
            </w:r>
          </w:p>
        </w:tc>
        <w:tc>
          <w:tcPr>
            <w:tcW w:w="1483" w:type="dxa"/>
            <w:vAlign w:val="center"/>
          </w:tcPr>
          <w:p>
            <w:pPr>
              <w:jc w:val="center"/>
              <w:rPr>
                <w:rFonts w:eastAsia="Calibri" w:cs="Arial"/>
                <w:color w:val="auto"/>
                <w:sz w:val="16"/>
                <w:szCs w:val="16"/>
              </w:rPr>
            </w:pPr>
            <w:r>
              <w:rPr>
                <w:rFonts w:eastAsia="Calibri" w:cs="Arial"/>
                <w:color w:val="auto"/>
                <w:sz w:val="16"/>
                <w:szCs w:val="16"/>
              </w:rPr>
              <w:t>52.581,0</w:t>
            </w:r>
          </w:p>
        </w:tc>
        <w:tc>
          <w:tcPr>
            <w:tcW w:w="1483" w:type="dxa"/>
            <w:vAlign w:val="center"/>
          </w:tcPr>
          <w:p>
            <w:pPr>
              <w:jc w:val="center"/>
              <w:rPr>
                <w:rFonts w:eastAsia="Calibri" w:cs="Arial"/>
                <w:color w:val="auto"/>
                <w:sz w:val="16"/>
                <w:szCs w:val="16"/>
              </w:rPr>
            </w:pPr>
            <w:r>
              <w:rPr>
                <w:rFonts w:eastAsia="Calibri" w:cs="Arial"/>
                <w:color w:val="auto"/>
                <w:sz w:val="16"/>
                <w:szCs w:val="16"/>
              </w:rPr>
              <w:t>1.538,8</w:t>
            </w:r>
          </w:p>
        </w:tc>
        <w:tc>
          <w:tcPr>
            <w:tcW w:w="1483" w:type="dxa"/>
            <w:vAlign w:val="center"/>
          </w:tcPr>
          <w:p>
            <w:pPr>
              <w:jc w:val="center"/>
              <w:rPr>
                <w:rFonts w:eastAsia="Calibri" w:cs="Arial"/>
                <w:color w:val="auto"/>
                <w:sz w:val="16"/>
                <w:szCs w:val="16"/>
              </w:rPr>
            </w:pPr>
            <w:r>
              <w:rPr>
                <w:rFonts w:eastAsia="Calibri" w:cs="Arial"/>
                <w:color w:val="auto"/>
                <w:sz w:val="16"/>
                <w:szCs w:val="16"/>
              </w:rPr>
              <w:t>4.237,1</w:t>
            </w:r>
          </w:p>
        </w:tc>
        <w:tc>
          <w:tcPr>
            <w:tcW w:w="1483" w:type="dxa"/>
            <w:vAlign w:val="center"/>
          </w:tcPr>
          <w:p>
            <w:pPr>
              <w:jc w:val="center"/>
              <w:rPr>
                <w:rFonts w:eastAsia="Calibri" w:cs="Arial"/>
                <w:color w:val="auto"/>
                <w:sz w:val="16"/>
                <w:szCs w:val="16"/>
              </w:rPr>
            </w:pPr>
            <w:r>
              <w:rPr>
                <w:rFonts w:eastAsia="Calibri" w:cs="Arial"/>
                <w:color w:val="auto"/>
                <w:sz w:val="16"/>
                <w:szCs w:val="16"/>
              </w:rPr>
              <w:t>220,1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7 bulanan</w:t>
            </w:r>
          </w:p>
        </w:tc>
        <w:tc>
          <w:tcPr>
            <w:tcW w:w="1483" w:type="dxa"/>
            <w:vAlign w:val="center"/>
          </w:tcPr>
          <w:p>
            <w:pPr>
              <w:jc w:val="center"/>
              <w:rPr>
                <w:rFonts w:eastAsia="Calibri" w:cs="Arial"/>
                <w:color w:val="auto"/>
                <w:sz w:val="16"/>
                <w:szCs w:val="16"/>
              </w:rPr>
            </w:pPr>
            <w:r>
              <w:rPr>
                <w:rFonts w:eastAsia="Calibri" w:cs="Arial"/>
                <w:color w:val="auto"/>
                <w:sz w:val="16"/>
                <w:szCs w:val="16"/>
              </w:rPr>
              <w:t>48.186,9</w:t>
            </w:r>
          </w:p>
        </w:tc>
        <w:tc>
          <w:tcPr>
            <w:tcW w:w="1483" w:type="dxa"/>
            <w:vAlign w:val="center"/>
          </w:tcPr>
          <w:p>
            <w:pPr>
              <w:jc w:val="center"/>
              <w:rPr>
                <w:rFonts w:eastAsia="Calibri" w:cs="Arial"/>
                <w:color w:val="auto"/>
                <w:sz w:val="16"/>
                <w:szCs w:val="16"/>
              </w:rPr>
            </w:pPr>
            <w:r>
              <w:rPr>
                <w:rFonts w:eastAsia="Calibri" w:cs="Arial"/>
                <w:color w:val="auto"/>
                <w:sz w:val="16"/>
                <w:szCs w:val="16"/>
              </w:rPr>
              <w:t>1.321,3</w:t>
            </w:r>
          </w:p>
        </w:tc>
        <w:tc>
          <w:tcPr>
            <w:tcW w:w="1483" w:type="dxa"/>
            <w:vAlign w:val="center"/>
          </w:tcPr>
          <w:p>
            <w:pPr>
              <w:jc w:val="center"/>
              <w:rPr>
                <w:rFonts w:eastAsia="Calibri" w:cs="Arial"/>
                <w:color w:val="auto"/>
                <w:sz w:val="16"/>
                <w:szCs w:val="16"/>
              </w:rPr>
            </w:pPr>
            <w:r>
              <w:rPr>
                <w:rFonts w:eastAsia="Calibri" w:cs="Arial"/>
                <w:color w:val="auto"/>
                <w:sz w:val="16"/>
                <w:szCs w:val="16"/>
              </w:rPr>
              <w:t>4.967,3</w:t>
            </w:r>
          </w:p>
        </w:tc>
        <w:tc>
          <w:tcPr>
            <w:tcW w:w="1483" w:type="dxa"/>
            <w:vAlign w:val="center"/>
          </w:tcPr>
          <w:p>
            <w:pPr>
              <w:jc w:val="center"/>
              <w:rPr>
                <w:rFonts w:eastAsia="Calibri" w:cs="Arial"/>
                <w:color w:val="auto"/>
                <w:sz w:val="16"/>
                <w:szCs w:val="16"/>
              </w:rPr>
            </w:pPr>
            <w:r>
              <w:rPr>
                <w:rFonts w:eastAsia="Calibri" w:cs="Arial"/>
                <w:color w:val="auto"/>
                <w:sz w:val="16"/>
                <w:szCs w:val="16"/>
              </w:rPr>
              <w:t>214,1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jc w:val="center"/>
              <w:rPr>
                <w:rFonts w:eastAsia="Calibri" w:cs="Arial"/>
                <w:color w:val="auto"/>
                <w:sz w:val="16"/>
                <w:szCs w:val="16"/>
              </w:rPr>
            </w:pP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Exponential smoothing</w:t>
            </w:r>
          </w:p>
        </w:tc>
        <w:tc>
          <w:tcPr>
            <w:tcW w:w="1483" w:type="dxa"/>
            <w:vAlign w:val="center"/>
          </w:tcPr>
          <w:p>
            <w:pPr>
              <w:jc w:val="center"/>
              <w:rPr>
                <w:rFonts w:eastAsia="Calibri" w:cs="Arial"/>
                <w:color w:val="auto"/>
                <w:sz w:val="16"/>
                <w:szCs w:val="16"/>
              </w:rPr>
            </w:pPr>
            <w:r>
              <w:rPr>
                <w:rFonts w:eastAsia="Calibri" w:cs="Arial"/>
                <w:color w:val="auto"/>
                <w:sz w:val="16"/>
                <w:szCs w:val="16"/>
              </w:rPr>
              <w:t>0,1</w:t>
            </w:r>
          </w:p>
        </w:tc>
        <w:tc>
          <w:tcPr>
            <w:tcW w:w="1483" w:type="dxa"/>
            <w:vAlign w:val="center"/>
          </w:tcPr>
          <w:p>
            <w:pPr>
              <w:jc w:val="center"/>
              <w:rPr>
                <w:rFonts w:eastAsia="Calibri" w:cs="Arial"/>
                <w:color w:val="auto"/>
                <w:sz w:val="16"/>
                <w:szCs w:val="16"/>
              </w:rPr>
            </w:pPr>
            <w:r>
              <w:rPr>
                <w:rFonts w:eastAsia="Calibri" w:cs="Arial"/>
                <w:color w:val="auto"/>
                <w:sz w:val="16"/>
                <w:szCs w:val="16"/>
              </w:rPr>
              <w:t>42.988,8</w:t>
            </w:r>
          </w:p>
        </w:tc>
        <w:tc>
          <w:tcPr>
            <w:tcW w:w="1483" w:type="dxa"/>
            <w:vAlign w:val="center"/>
          </w:tcPr>
          <w:p>
            <w:pPr>
              <w:jc w:val="center"/>
              <w:rPr>
                <w:rFonts w:eastAsia="Calibri" w:cs="Arial"/>
                <w:color w:val="auto"/>
                <w:sz w:val="16"/>
                <w:szCs w:val="16"/>
              </w:rPr>
            </w:pPr>
            <w:r>
              <w:rPr>
                <w:rFonts w:eastAsia="Calibri" w:cs="Arial"/>
                <w:color w:val="auto"/>
                <w:sz w:val="16"/>
                <w:szCs w:val="16"/>
              </w:rPr>
              <w:t>1.282,5</w:t>
            </w:r>
          </w:p>
        </w:tc>
        <w:tc>
          <w:tcPr>
            <w:tcW w:w="1483" w:type="dxa"/>
            <w:vAlign w:val="center"/>
          </w:tcPr>
          <w:p>
            <w:pPr>
              <w:jc w:val="center"/>
              <w:rPr>
                <w:rFonts w:eastAsia="Calibri" w:cs="Arial"/>
                <w:color w:val="auto"/>
                <w:sz w:val="16"/>
                <w:szCs w:val="16"/>
              </w:rPr>
            </w:pPr>
            <w:r>
              <w:rPr>
                <w:rFonts w:eastAsia="Calibri" w:cs="Arial"/>
                <w:color w:val="auto"/>
                <w:sz w:val="16"/>
                <w:szCs w:val="16"/>
              </w:rPr>
              <w:t>3.568,8</w:t>
            </w:r>
          </w:p>
        </w:tc>
        <w:tc>
          <w:tcPr>
            <w:tcW w:w="1483" w:type="dxa"/>
            <w:vAlign w:val="center"/>
          </w:tcPr>
          <w:p>
            <w:pPr>
              <w:jc w:val="center"/>
              <w:rPr>
                <w:rFonts w:eastAsia="Calibri" w:cs="Arial"/>
                <w:color w:val="auto"/>
                <w:sz w:val="16"/>
                <w:szCs w:val="16"/>
              </w:rPr>
            </w:pPr>
            <w:r>
              <w:rPr>
                <w:rFonts w:eastAsia="Calibri" w:cs="Arial"/>
                <w:color w:val="auto"/>
                <w:sz w:val="16"/>
                <w:szCs w:val="16"/>
              </w:rPr>
              <w:t>255,2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vAlign w:val="center"/>
          </w:tcPr>
          <w:p>
            <w:pPr>
              <w:jc w:val="cente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0,3</w:t>
            </w:r>
          </w:p>
        </w:tc>
        <w:tc>
          <w:tcPr>
            <w:tcW w:w="1483" w:type="dxa"/>
            <w:vAlign w:val="center"/>
          </w:tcPr>
          <w:p>
            <w:pPr>
              <w:jc w:val="center"/>
              <w:rPr>
                <w:rFonts w:eastAsia="Calibri" w:cs="Arial"/>
                <w:color w:val="auto"/>
                <w:sz w:val="16"/>
                <w:szCs w:val="16"/>
              </w:rPr>
            </w:pPr>
            <w:r>
              <w:rPr>
                <w:rFonts w:eastAsia="Calibri" w:cs="Arial"/>
                <w:color w:val="auto"/>
                <w:sz w:val="16"/>
                <w:szCs w:val="16"/>
              </w:rPr>
              <w:t>43.832,6</w:t>
            </w:r>
          </w:p>
        </w:tc>
        <w:tc>
          <w:tcPr>
            <w:tcW w:w="1483" w:type="dxa"/>
            <w:vAlign w:val="center"/>
          </w:tcPr>
          <w:p>
            <w:pPr>
              <w:jc w:val="center"/>
              <w:rPr>
                <w:rFonts w:eastAsia="Calibri" w:cs="Arial"/>
                <w:color w:val="auto"/>
                <w:sz w:val="16"/>
                <w:szCs w:val="16"/>
              </w:rPr>
            </w:pPr>
            <w:r>
              <w:rPr>
                <w:rFonts w:eastAsia="Calibri" w:cs="Arial"/>
                <w:color w:val="auto"/>
                <w:sz w:val="16"/>
                <w:szCs w:val="16"/>
              </w:rPr>
              <w:t>1.462,0</w:t>
            </w:r>
          </w:p>
        </w:tc>
        <w:tc>
          <w:tcPr>
            <w:tcW w:w="1483" w:type="dxa"/>
            <w:vAlign w:val="center"/>
          </w:tcPr>
          <w:p>
            <w:pPr>
              <w:jc w:val="center"/>
              <w:rPr>
                <w:rFonts w:eastAsia="Calibri" w:cs="Arial"/>
                <w:color w:val="auto"/>
                <w:sz w:val="16"/>
                <w:szCs w:val="16"/>
              </w:rPr>
            </w:pPr>
            <w:r>
              <w:rPr>
                <w:rFonts w:eastAsia="Calibri" w:cs="Arial"/>
                <w:color w:val="auto"/>
                <w:sz w:val="16"/>
                <w:szCs w:val="16"/>
              </w:rPr>
              <w:t>3.924,5</w:t>
            </w:r>
          </w:p>
        </w:tc>
        <w:tc>
          <w:tcPr>
            <w:tcW w:w="1483" w:type="dxa"/>
            <w:vAlign w:val="center"/>
          </w:tcPr>
          <w:p>
            <w:pPr>
              <w:jc w:val="center"/>
              <w:rPr>
                <w:rFonts w:eastAsia="Calibri" w:cs="Arial"/>
                <w:color w:val="auto"/>
                <w:sz w:val="16"/>
                <w:szCs w:val="16"/>
              </w:rPr>
            </w:pPr>
            <w:r>
              <w:rPr>
                <w:rFonts w:eastAsia="Calibri" w:cs="Arial"/>
                <w:color w:val="auto"/>
                <w:sz w:val="16"/>
                <w:szCs w:val="16"/>
              </w:rPr>
              <w:t>274,1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0,5</w:t>
            </w:r>
          </w:p>
        </w:tc>
        <w:tc>
          <w:tcPr>
            <w:tcW w:w="1483" w:type="dxa"/>
            <w:vAlign w:val="center"/>
          </w:tcPr>
          <w:p>
            <w:pPr>
              <w:jc w:val="center"/>
              <w:rPr>
                <w:rFonts w:eastAsia="Calibri" w:cs="Arial"/>
                <w:color w:val="auto"/>
                <w:sz w:val="16"/>
                <w:szCs w:val="16"/>
              </w:rPr>
            </w:pPr>
            <w:r>
              <w:rPr>
                <w:rFonts w:eastAsia="Calibri" w:cs="Arial"/>
                <w:color w:val="auto"/>
                <w:sz w:val="16"/>
                <w:szCs w:val="16"/>
              </w:rPr>
              <w:t>46.364,7</w:t>
            </w:r>
          </w:p>
        </w:tc>
        <w:tc>
          <w:tcPr>
            <w:tcW w:w="1483" w:type="dxa"/>
            <w:vAlign w:val="center"/>
          </w:tcPr>
          <w:p>
            <w:pPr>
              <w:jc w:val="center"/>
              <w:rPr>
                <w:rFonts w:eastAsia="Calibri" w:cs="Arial"/>
                <w:color w:val="auto"/>
                <w:sz w:val="16"/>
                <w:szCs w:val="16"/>
              </w:rPr>
            </w:pPr>
            <w:r>
              <w:rPr>
                <w:rFonts w:eastAsia="Calibri" w:cs="Arial"/>
                <w:color w:val="auto"/>
                <w:sz w:val="16"/>
                <w:szCs w:val="16"/>
              </w:rPr>
              <w:t>1.549,5</w:t>
            </w:r>
          </w:p>
        </w:tc>
        <w:tc>
          <w:tcPr>
            <w:tcW w:w="1483" w:type="dxa"/>
            <w:vAlign w:val="center"/>
          </w:tcPr>
          <w:p>
            <w:pPr>
              <w:jc w:val="center"/>
              <w:rPr>
                <w:rFonts w:eastAsia="Calibri" w:cs="Arial"/>
                <w:color w:val="auto"/>
                <w:sz w:val="16"/>
                <w:szCs w:val="16"/>
              </w:rPr>
            </w:pPr>
            <w:r>
              <w:rPr>
                <w:rFonts w:eastAsia="Calibri" w:cs="Arial"/>
                <w:color w:val="auto"/>
                <w:sz w:val="16"/>
                <w:szCs w:val="16"/>
              </w:rPr>
              <w:t>4.076,3</w:t>
            </w:r>
          </w:p>
        </w:tc>
        <w:tc>
          <w:tcPr>
            <w:tcW w:w="1483" w:type="dxa"/>
            <w:vAlign w:val="center"/>
          </w:tcPr>
          <w:p>
            <w:pPr>
              <w:jc w:val="center"/>
              <w:rPr>
                <w:rFonts w:eastAsia="Calibri" w:cs="Arial"/>
                <w:color w:val="auto"/>
                <w:sz w:val="16"/>
                <w:szCs w:val="16"/>
              </w:rPr>
            </w:pPr>
            <w:r>
              <w:rPr>
                <w:rFonts w:eastAsia="Calibri" w:cs="Arial"/>
                <w:color w:val="auto"/>
                <w:sz w:val="16"/>
                <w:szCs w:val="16"/>
              </w:rPr>
              <w:t>300,7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restart"/>
            <w:vAlign w:val="center"/>
          </w:tcPr>
          <w:p>
            <w:pPr>
              <w:jc w:val="center"/>
              <w:rPr>
                <w:rFonts w:eastAsia="Calibri" w:cs="Arial"/>
                <w:color w:val="auto"/>
                <w:sz w:val="16"/>
                <w:szCs w:val="16"/>
              </w:rPr>
            </w:pPr>
            <w:r>
              <w:rPr>
                <w:rFonts w:eastAsia="Calibri" w:cs="Arial"/>
                <w:color w:val="auto"/>
                <w:sz w:val="16"/>
                <w:szCs w:val="16"/>
              </w:rPr>
              <w:t>MSE</w:t>
            </w: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Moving average</w:t>
            </w:r>
          </w:p>
        </w:tc>
        <w:tc>
          <w:tcPr>
            <w:tcW w:w="1483" w:type="dxa"/>
            <w:vAlign w:val="center"/>
          </w:tcPr>
          <w:p>
            <w:pPr>
              <w:jc w:val="center"/>
              <w:rPr>
                <w:rFonts w:eastAsia="Calibri" w:cs="Arial"/>
                <w:color w:val="auto"/>
                <w:sz w:val="16"/>
                <w:szCs w:val="16"/>
              </w:rPr>
            </w:pPr>
            <w:r>
              <w:rPr>
                <w:rFonts w:eastAsia="Calibri" w:cs="Arial"/>
                <w:color w:val="auto"/>
                <w:sz w:val="16"/>
                <w:szCs w:val="16"/>
              </w:rPr>
              <w:t>3 bulanan</w:t>
            </w:r>
          </w:p>
        </w:tc>
        <w:tc>
          <w:tcPr>
            <w:tcW w:w="1483" w:type="dxa"/>
            <w:vAlign w:val="center"/>
          </w:tcPr>
          <w:p>
            <w:pPr>
              <w:jc w:val="center"/>
              <w:rPr>
                <w:rFonts w:eastAsia="Calibri" w:cs="Arial"/>
                <w:color w:val="auto"/>
                <w:sz w:val="16"/>
                <w:szCs w:val="16"/>
              </w:rPr>
            </w:pPr>
            <w:r>
              <w:rPr>
                <w:rFonts w:eastAsia="Calibri" w:cs="Arial"/>
                <w:color w:val="auto"/>
                <w:sz w:val="16"/>
                <w:szCs w:val="16"/>
              </w:rPr>
              <w:t>4.292.184.356,9</w:t>
            </w:r>
          </w:p>
        </w:tc>
        <w:tc>
          <w:tcPr>
            <w:tcW w:w="1483" w:type="dxa"/>
            <w:vAlign w:val="center"/>
          </w:tcPr>
          <w:p>
            <w:pPr>
              <w:jc w:val="center"/>
              <w:rPr>
                <w:rFonts w:eastAsia="Calibri" w:cs="Arial"/>
                <w:color w:val="auto"/>
                <w:sz w:val="16"/>
                <w:szCs w:val="16"/>
              </w:rPr>
            </w:pPr>
            <w:r>
              <w:rPr>
                <w:rFonts w:eastAsia="Calibri" w:cs="Arial"/>
                <w:color w:val="auto"/>
                <w:sz w:val="16"/>
                <w:szCs w:val="16"/>
              </w:rPr>
              <w:t>2.745.166,2</w:t>
            </w:r>
          </w:p>
        </w:tc>
        <w:tc>
          <w:tcPr>
            <w:tcW w:w="1483" w:type="dxa"/>
            <w:vAlign w:val="center"/>
          </w:tcPr>
          <w:p>
            <w:pPr>
              <w:jc w:val="center"/>
              <w:rPr>
                <w:rFonts w:eastAsia="Calibri" w:cs="Arial"/>
                <w:color w:val="auto"/>
                <w:sz w:val="16"/>
                <w:szCs w:val="16"/>
              </w:rPr>
            </w:pPr>
            <w:r>
              <w:rPr>
                <w:rFonts w:eastAsia="Calibri" w:cs="Arial"/>
                <w:color w:val="auto"/>
                <w:sz w:val="16"/>
                <w:szCs w:val="16"/>
              </w:rPr>
              <w:t>26.316.366,4</w:t>
            </w:r>
          </w:p>
        </w:tc>
        <w:tc>
          <w:tcPr>
            <w:tcW w:w="1483" w:type="dxa"/>
            <w:vAlign w:val="center"/>
          </w:tcPr>
          <w:p>
            <w:pPr>
              <w:jc w:val="center"/>
              <w:rPr>
                <w:rFonts w:eastAsia="Calibri" w:cs="Arial"/>
                <w:color w:val="auto"/>
                <w:sz w:val="16"/>
                <w:szCs w:val="16"/>
              </w:rPr>
            </w:pPr>
            <w:r>
              <w:rPr>
                <w:rFonts w:eastAsia="Calibri" w:cs="Arial"/>
                <w:color w:val="auto"/>
                <w:sz w:val="16"/>
                <w:szCs w:val="16"/>
              </w:rPr>
              <w:t>75.543,5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5 bulanan</w:t>
            </w:r>
          </w:p>
        </w:tc>
        <w:tc>
          <w:tcPr>
            <w:tcW w:w="1483" w:type="dxa"/>
            <w:vAlign w:val="center"/>
          </w:tcPr>
          <w:p>
            <w:pPr>
              <w:jc w:val="center"/>
              <w:rPr>
                <w:rFonts w:eastAsia="Calibri" w:cs="Arial"/>
                <w:color w:val="auto"/>
                <w:sz w:val="16"/>
                <w:szCs w:val="16"/>
              </w:rPr>
            </w:pPr>
            <w:r>
              <w:rPr>
                <w:rFonts w:eastAsia="Calibri" w:cs="Arial"/>
                <w:color w:val="auto"/>
                <w:sz w:val="16"/>
                <w:szCs w:val="16"/>
              </w:rPr>
              <w:t>4.012.406.089,9</w:t>
            </w:r>
          </w:p>
        </w:tc>
        <w:tc>
          <w:tcPr>
            <w:tcW w:w="1483" w:type="dxa"/>
            <w:vAlign w:val="center"/>
          </w:tcPr>
          <w:p>
            <w:pPr>
              <w:jc w:val="center"/>
              <w:rPr>
                <w:rFonts w:eastAsia="Calibri" w:cs="Arial"/>
                <w:color w:val="auto"/>
                <w:sz w:val="16"/>
                <w:szCs w:val="16"/>
              </w:rPr>
            </w:pPr>
            <w:r>
              <w:rPr>
                <w:rFonts w:eastAsia="Calibri" w:cs="Arial"/>
                <w:color w:val="auto"/>
                <w:sz w:val="16"/>
                <w:szCs w:val="16"/>
              </w:rPr>
              <w:t>3.406.975,3</w:t>
            </w:r>
          </w:p>
        </w:tc>
        <w:tc>
          <w:tcPr>
            <w:tcW w:w="1483" w:type="dxa"/>
            <w:vAlign w:val="center"/>
          </w:tcPr>
          <w:p>
            <w:pPr>
              <w:jc w:val="center"/>
              <w:rPr>
                <w:rFonts w:eastAsia="Calibri" w:cs="Arial"/>
                <w:color w:val="auto"/>
                <w:sz w:val="16"/>
                <w:szCs w:val="16"/>
              </w:rPr>
            </w:pPr>
            <w:r>
              <w:rPr>
                <w:rFonts w:eastAsia="Calibri" w:cs="Arial"/>
                <w:color w:val="auto"/>
                <w:sz w:val="16"/>
                <w:szCs w:val="16"/>
              </w:rPr>
              <w:t>33.536.055,2</w:t>
            </w:r>
          </w:p>
        </w:tc>
        <w:tc>
          <w:tcPr>
            <w:tcW w:w="1483" w:type="dxa"/>
            <w:vAlign w:val="center"/>
          </w:tcPr>
          <w:p>
            <w:pPr>
              <w:jc w:val="center"/>
              <w:rPr>
                <w:rFonts w:eastAsia="Calibri" w:cs="Arial"/>
                <w:color w:val="auto"/>
                <w:sz w:val="16"/>
                <w:szCs w:val="16"/>
              </w:rPr>
            </w:pPr>
            <w:r>
              <w:rPr>
                <w:rFonts w:eastAsia="Calibri" w:cs="Arial"/>
                <w:color w:val="auto"/>
                <w:sz w:val="16"/>
                <w:szCs w:val="16"/>
              </w:rPr>
              <w:t>58.080,1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7 bulanan</w:t>
            </w:r>
          </w:p>
        </w:tc>
        <w:tc>
          <w:tcPr>
            <w:tcW w:w="1483" w:type="dxa"/>
            <w:vAlign w:val="center"/>
          </w:tcPr>
          <w:p>
            <w:pPr>
              <w:jc w:val="center"/>
              <w:rPr>
                <w:rFonts w:eastAsia="Calibri" w:cs="Arial"/>
                <w:color w:val="auto"/>
                <w:sz w:val="16"/>
                <w:szCs w:val="16"/>
              </w:rPr>
            </w:pPr>
            <w:r>
              <w:rPr>
                <w:rFonts w:eastAsia="Calibri" w:cs="Arial"/>
                <w:color w:val="auto"/>
                <w:sz w:val="16"/>
                <w:szCs w:val="16"/>
              </w:rPr>
              <w:t>3.147.985.698,9</w:t>
            </w:r>
          </w:p>
        </w:tc>
        <w:tc>
          <w:tcPr>
            <w:tcW w:w="1483" w:type="dxa"/>
            <w:vAlign w:val="center"/>
          </w:tcPr>
          <w:p>
            <w:pPr>
              <w:jc w:val="center"/>
              <w:rPr>
                <w:rFonts w:eastAsia="Calibri" w:cs="Arial"/>
                <w:color w:val="auto"/>
                <w:sz w:val="16"/>
                <w:szCs w:val="16"/>
              </w:rPr>
            </w:pPr>
            <w:r>
              <w:rPr>
                <w:rFonts w:eastAsia="Calibri" w:cs="Arial"/>
                <w:color w:val="auto"/>
                <w:sz w:val="16"/>
                <w:szCs w:val="16"/>
              </w:rPr>
              <w:t>2.747.301,9</w:t>
            </w:r>
          </w:p>
        </w:tc>
        <w:tc>
          <w:tcPr>
            <w:tcW w:w="1483" w:type="dxa"/>
            <w:vAlign w:val="center"/>
          </w:tcPr>
          <w:p>
            <w:pPr>
              <w:jc w:val="center"/>
              <w:rPr>
                <w:rFonts w:eastAsia="Calibri" w:cs="Arial"/>
                <w:color w:val="auto"/>
                <w:sz w:val="16"/>
                <w:szCs w:val="16"/>
              </w:rPr>
            </w:pPr>
            <w:r>
              <w:rPr>
                <w:rFonts w:eastAsia="Calibri" w:cs="Arial"/>
                <w:color w:val="auto"/>
                <w:sz w:val="16"/>
                <w:szCs w:val="16"/>
              </w:rPr>
              <w:t>40.687.321,1</w:t>
            </w:r>
          </w:p>
        </w:tc>
        <w:tc>
          <w:tcPr>
            <w:tcW w:w="1483" w:type="dxa"/>
            <w:vAlign w:val="center"/>
          </w:tcPr>
          <w:p>
            <w:pPr>
              <w:jc w:val="center"/>
              <w:rPr>
                <w:rFonts w:eastAsia="Calibri" w:cs="Arial"/>
                <w:color w:val="auto"/>
                <w:sz w:val="16"/>
                <w:szCs w:val="16"/>
              </w:rPr>
            </w:pPr>
            <w:r>
              <w:rPr>
                <w:rFonts w:eastAsia="Calibri" w:cs="Arial"/>
                <w:color w:val="auto"/>
                <w:sz w:val="16"/>
                <w:szCs w:val="16"/>
              </w:rPr>
              <w:t>56.689,9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Exponential smoothing</w:t>
            </w:r>
          </w:p>
        </w:tc>
        <w:tc>
          <w:tcPr>
            <w:tcW w:w="1483" w:type="dxa"/>
            <w:vAlign w:val="center"/>
          </w:tcPr>
          <w:p>
            <w:pPr>
              <w:jc w:val="center"/>
              <w:rPr>
                <w:rFonts w:eastAsia="Calibri" w:cs="Arial"/>
                <w:color w:val="auto"/>
                <w:sz w:val="16"/>
                <w:szCs w:val="16"/>
              </w:rPr>
            </w:pPr>
            <w:r>
              <w:rPr>
                <w:rFonts w:eastAsia="Calibri" w:cs="Arial"/>
                <w:color w:val="auto"/>
                <w:sz w:val="16"/>
                <w:szCs w:val="16"/>
              </w:rPr>
              <w:t>0,1</w:t>
            </w:r>
          </w:p>
        </w:tc>
        <w:tc>
          <w:tcPr>
            <w:tcW w:w="1483" w:type="dxa"/>
            <w:vAlign w:val="center"/>
          </w:tcPr>
          <w:p>
            <w:pPr>
              <w:jc w:val="center"/>
              <w:rPr>
                <w:rFonts w:eastAsia="Calibri" w:cs="Arial"/>
                <w:color w:val="auto"/>
                <w:sz w:val="16"/>
                <w:szCs w:val="16"/>
              </w:rPr>
            </w:pPr>
            <w:r>
              <w:rPr>
                <w:rFonts w:eastAsia="Calibri" w:cs="Arial"/>
                <w:color w:val="auto"/>
                <w:sz w:val="16"/>
                <w:szCs w:val="16"/>
              </w:rPr>
              <w:t>2.659.799.020,9</w:t>
            </w:r>
          </w:p>
        </w:tc>
        <w:tc>
          <w:tcPr>
            <w:tcW w:w="1483" w:type="dxa"/>
            <w:vAlign w:val="center"/>
          </w:tcPr>
          <w:p>
            <w:pPr>
              <w:jc w:val="center"/>
              <w:rPr>
                <w:rFonts w:eastAsia="Calibri" w:cs="Arial"/>
                <w:color w:val="auto"/>
                <w:sz w:val="16"/>
                <w:szCs w:val="16"/>
              </w:rPr>
            </w:pPr>
            <w:r>
              <w:rPr>
                <w:rFonts w:eastAsia="Calibri" w:cs="Arial"/>
                <w:color w:val="auto"/>
                <w:sz w:val="16"/>
                <w:szCs w:val="16"/>
              </w:rPr>
              <w:t>2.902.449,8</w:t>
            </w:r>
          </w:p>
        </w:tc>
        <w:tc>
          <w:tcPr>
            <w:tcW w:w="1483" w:type="dxa"/>
            <w:vAlign w:val="center"/>
          </w:tcPr>
          <w:p>
            <w:pPr>
              <w:jc w:val="center"/>
              <w:rPr>
                <w:rFonts w:eastAsia="Calibri" w:cs="Arial"/>
                <w:color w:val="auto"/>
                <w:sz w:val="16"/>
                <w:szCs w:val="16"/>
              </w:rPr>
            </w:pPr>
            <w:r>
              <w:rPr>
                <w:rFonts w:eastAsia="Calibri" w:cs="Arial"/>
                <w:color w:val="auto"/>
                <w:sz w:val="16"/>
                <w:szCs w:val="16"/>
              </w:rPr>
              <w:t>31.939.781,2</w:t>
            </w:r>
          </w:p>
        </w:tc>
        <w:tc>
          <w:tcPr>
            <w:tcW w:w="1483" w:type="dxa"/>
            <w:vAlign w:val="center"/>
          </w:tcPr>
          <w:p>
            <w:pPr>
              <w:jc w:val="center"/>
              <w:rPr>
                <w:rFonts w:eastAsia="Calibri" w:cs="Arial"/>
                <w:color w:val="auto"/>
                <w:sz w:val="16"/>
                <w:szCs w:val="16"/>
              </w:rPr>
            </w:pPr>
            <w:r>
              <w:rPr>
                <w:rFonts w:eastAsia="Calibri" w:cs="Arial"/>
                <w:color w:val="auto"/>
                <w:sz w:val="16"/>
                <w:szCs w:val="16"/>
              </w:rPr>
              <w:t>74.913,0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0,3</w:t>
            </w:r>
          </w:p>
        </w:tc>
        <w:tc>
          <w:tcPr>
            <w:tcW w:w="1483" w:type="dxa"/>
            <w:vAlign w:val="center"/>
          </w:tcPr>
          <w:p>
            <w:pPr>
              <w:jc w:val="center"/>
              <w:rPr>
                <w:rFonts w:eastAsia="Calibri" w:cs="Arial"/>
                <w:color w:val="auto"/>
                <w:sz w:val="16"/>
                <w:szCs w:val="16"/>
              </w:rPr>
            </w:pPr>
            <w:r>
              <w:rPr>
                <w:rFonts w:eastAsia="Calibri" w:cs="Arial"/>
                <w:color w:val="auto"/>
                <w:sz w:val="16"/>
                <w:szCs w:val="16"/>
              </w:rPr>
              <w:t>3.023.293.776,3</w:t>
            </w:r>
          </w:p>
        </w:tc>
        <w:tc>
          <w:tcPr>
            <w:tcW w:w="1483" w:type="dxa"/>
            <w:vAlign w:val="center"/>
          </w:tcPr>
          <w:p>
            <w:pPr>
              <w:jc w:val="center"/>
              <w:rPr>
                <w:rFonts w:eastAsia="Calibri" w:cs="Arial"/>
                <w:color w:val="auto"/>
                <w:sz w:val="16"/>
                <w:szCs w:val="16"/>
              </w:rPr>
            </w:pPr>
            <w:r>
              <w:rPr>
                <w:rFonts w:eastAsia="Calibri" w:cs="Arial"/>
                <w:color w:val="auto"/>
                <w:sz w:val="16"/>
                <w:szCs w:val="16"/>
              </w:rPr>
              <w:t>3.020.714,3</w:t>
            </w:r>
          </w:p>
        </w:tc>
        <w:tc>
          <w:tcPr>
            <w:tcW w:w="1483" w:type="dxa"/>
            <w:vAlign w:val="center"/>
          </w:tcPr>
          <w:p>
            <w:pPr>
              <w:jc w:val="center"/>
              <w:rPr>
                <w:rFonts w:eastAsia="Calibri" w:cs="Arial"/>
                <w:color w:val="auto"/>
                <w:sz w:val="16"/>
                <w:szCs w:val="16"/>
              </w:rPr>
            </w:pPr>
            <w:r>
              <w:rPr>
                <w:rFonts w:eastAsia="Calibri" w:cs="Arial"/>
                <w:color w:val="auto"/>
                <w:sz w:val="16"/>
                <w:szCs w:val="16"/>
              </w:rPr>
              <w:t>32.902.475,9</w:t>
            </w:r>
          </w:p>
        </w:tc>
        <w:tc>
          <w:tcPr>
            <w:tcW w:w="1483" w:type="dxa"/>
            <w:vAlign w:val="center"/>
          </w:tcPr>
          <w:p>
            <w:pPr>
              <w:jc w:val="center"/>
              <w:rPr>
                <w:rFonts w:eastAsia="Calibri" w:cs="Arial"/>
                <w:color w:val="auto"/>
                <w:sz w:val="16"/>
                <w:szCs w:val="16"/>
              </w:rPr>
            </w:pPr>
            <w:r>
              <w:rPr>
                <w:rFonts w:eastAsia="Calibri" w:cs="Arial"/>
                <w:color w:val="auto"/>
                <w:sz w:val="16"/>
                <w:szCs w:val="16"/>
              </w:rPr>
              <w:t>82.168,8</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0,5</w:t>
            </w:r>
          </w:p>
        </w:tc>
        <w:tc>
          <w:tcPr>
            <w:tcW w:w="1483" w:type="dxa"/>
            <w:vAlign w:val="center"/>
          </w:tcPr>
          <w:p>
            <w:pPr>
              <w:jc w:val="center"/>
              <w:rPr>
                <w:rFonts w:eastAsia="Calibri" w:cs="Arial"/>
                <w:color w:val="auto"/>
                <w:sz w:val="16"/>
                <w:szCs w:val="16"/>
              </w:rPr>
            </w:pPr>
            <w:r>
              <w:rPr>
                <w:rFonts w:eastAsia="Calibri" w:cs="Arial"/>
                <w:color w:val="auto"/>
                <w:sz w:val="16"/>
                <w:szCs w:val="16"/>
              </w:rPr>
              <w:t>3.481.064.724,5</w:t>
            </w:r>
          </w:p>
        </w:tc>
        <w:tc>
          <w:tcPr>
            <w:tcW w:w="1483" w:type="dxa"/>
            <w:vAlign w:val="center"/>
          </w:tcPr>
          <w:p>
            <w:pPr>
              <w:jc w:val="center"/>
              <w:rPr>
                <w:rFonts w:eastAsia="Calibri" w:cs="Arial"/>
                <w:color w:val="auto"/>
                <w:sz w:val="16"/>
                <w:szCs w:val="16"/>
              </w:rPr>
            </w:pPr>
            <w:r>
              <w:rPr>
                <w:rFonts w:eastAsia="Calibri" w:cs="Arial"/>
                <w:color w:val="auto"/>
                <w:sz w:val="16"/>
                <w:szCs w:val="16"/>
              </w:rPr>
              <w:t>3.304.319,3</w:t>
            </w:r>
          </w:p>
        </w:tc>
        <w:tc>
          <w:tcPr>
            <w:tcW w:w="1483" w:type="dxa"/>
            <w:vAlign w:val="center"/>
          </w:tcPr>
          <w:p>
            <w:pPr>
              <w:jc w:val="center"/>
              <w:rPr>
                <w:rFonts w:eastAsia="Calibri" w:cs="Arial"/>
                <w:color w:val="auto"/>
                <w:sz w:val="16"/>
                <w:szCs w:val="16"/>
              </w:rPr>
            </w:pPr>
            <w:r>
              <w:rPr>
                <w:rFonts w:eastAsia="Calibri" w:cs="Arial"/>
                <w:color w:val="auto"/>
                <w:sz w:val="16"/>
                <w:szCs w:val="16"/>
              </w:rPr>
              <w:t>33.663.979,7</w:t>
            </w:r>
          </w:p>
        </w:tc>
        <w:tc>
          <w:tcPr>
            <w:tcW w:w="1483" w:type="dxa"/>
            <w:vAlign w:val="center"/>
          </w:tcPr>
          <w:p>
            <w:pPr>
              <w:jc w:val="center"/>
              <w:rPr>
                <w:rFonts w:eastAsia="Calibri" w:cs="Arial"/>
                <w:color w:val="auto"/>
                <w:sz w:val="16"/>
                <w:szCs w:val="16"/>
              </w:rPr>
            </w:pPr>
            <w:r>
              <w:rPr>
                <w:rFonts w:eastAsia="Calibri" w:cs="Arial"/>
                <w:color w:val="auto"/>
                <w:sz w:val="16"/>
                <w:szCs w:val="16"/>
              </w:rPr>
              <w:t>98.099,7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70" w:hRule="atLeast"/>
        </w:trPr>
        <w:tc>
          <w:tcPr>
            <w:tcW w:w="998" w:type="dxa"/>
            <w:vMerge w:val="restart"/>
            <w:vAlign w:val="center"/>
          </w:tcPr>
          <w:p>
            <w:pPr>
              <w:jc w:val="center"/>
              <w:rPr>
                <w:rFonts w:eastAsia="Calibri" w:cs="Arial"/>
                <w:color w:val="auto"/>
                <w:sz w:val="16"/>
                <w:szCs w:val="16"/>
              </w:rPr>
            </w:pPr>
            <w:r>
              <w:rPr>
                <w:rFonts w:eastAsia="Calibri" w:cs="Arial"/>
                <w:color w:val="auto"/>
                <w:sz w:val="16"/>
                <w:szCs w:val="16"/>
              </w:rPr>
              <w:t>MAPE</w:t>
            </w: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Moving average</w:t>
            </w:r>
          </w:p>
        </w:tc>
        <w:tc>
          <w:tcPr>
            <w:tcW w:w="1483" w:type="dxa"/>
            <w:vAlign w:val="center"/>
          </w:tcPr>
          <w:p>
            <w:pPr>
              <w:jc w:val="center"/>
              <w:rPr>
                <w:rFonts w:eastAsia="Calibri" w:cs="Arial"/>
                <w:color w:val="auto"/>
                <w:sz w:val="16"/>
                <w:szCs w:val="16"/>
              </w:rPr>
            </w:pPr>
            <w:r>
              <w:rPr>
                <w:rFonts w:eastAsia="Calibri" w:cs="Arial"/>
                <w:color w:val="auto"/>
                <w:sz w:val="16"/>
                <w:szCs w:val="16"/>
              </w:rPr>
              <w:t>3 bulanan</w:t>
            </w:r>
          </w:p>
        </w:tc>
        <w:tc>
          <w:tcPr>
            <w:tcW w:w="1483" w:type="dxa"/>
            <w:vAlign w:val="center"/>
          </w:tcPr>
          <w:p>
            <w:pPr>
              <w:jc w:val="center"/>
              <w:rPr>
                <w:rFonts w:eastAsia="Calibri" w:cs="Arial"/>
                <w:color w:val="auto"/>
                <w:sz w:val="16"/>
                <w:szCs w:val="16"/>
              </w:rPr>
            </w:pPr>
            <w:r>
              <w:rPr>
                <w:rFonts w:eastAsia="Calibri" w:cs="Arial"/>
                <w:color w:val="auto"/>
                <w:sz w:val="16"/>
                <w:szCs w:val="16"/>
              </w:rPr>
              <w:t>107,1</w:t>
            </w:r>
          </w:p>
        </w:tc>
        <w:tc>
          <w:tcPr>
            <w:tcW w:w="1483" w:type="dxa"/>
            <w:vAlign w:val="center"/>
          </w:tcPr>
          <w:p>
            <w:pPr>
              <w:jc w:val="center"/>
              <w:rPr>
                <w:rFonts w:eastAsia="Calibri" w:cs="Arial"/>
                <w:color w:val="auto"/>
                <w:sz w:val="16"/>
                <w:szCs w:val="16"/>
              </w:rPr>
            </w:pPr>
            <w:r>
              <w:rPr>
                <w:rFonts w:eastAsia="Calibri" w:cs="Arial"/>
                <w:color w:val="auto"/>
                <w:sz w:val="16"/>
                <w:szCs w:val="16"/>
              </w:rPr>
              <w:t>40,7</w:t>
            </w:r>
          </w:p>
        </w:tc>
        <w:tc>
          <w:tcPr>
            <w:tcW w:w="1483" w:type="dxa"/>
            <w:vAlign w:val="center"/>
          </w:tcPr>
          <w:p>
            <w:pPr>
              <w:jc w:val="center"/>
              <w:rPr>
                <w:rFonts w:eastAsia="Calibri" w:cs="Arial"/>
                <w:color w:val="auto"/>
                <w:sz w:val="16"/>
                <w:szCs w:val="16"/>
              </w:rPr>
            </w:pPr>
            <w:r>
              <w:rPr>
                <w:rFonts w:eastAsia="Calibri" w:cs="Arial"/>
                <w:color w:val="auto"/>
                <w:sz w:val="16"/>
                <w:szCs w:val="16"/>
              </w:rPr>
              <w:t>79,4</w:t>
            </w:r>
          </w:p>
        </w:tc>
        <w:tc>
          <w:tcPr>
            <w:tcW w:w="1483" w:type="dxa"/>
            <w:vAlign w:val="center"/>
          </w:tcPr>
          <w:p>
            <w:pPr>
              <w:jc w:val="center"/>
              <w:rPr>
                <w:rFonts w:eastAsia="Calibri" w:cs="Arial"/>
                <w:color w:val="auto"/>
                <w:sz w:val="16"/>
                <w:szCs w:val="16"/>
              </w:rPr>
            </w:pPr>
            <w:r>
              <w:rPr>
                <w:rFonts w:eastAsia="Calibri" w:cs="Arial"/>
                <w:color w:val="auto"/>
                <w:sz w:val="16"/>
                <w:szCs w:val="16"/>
              </w:rPr>
              <w:t>15,1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5 bulanan</w:t>
            </w:r>
          </w:p>
        </w:tc>
        <w:tc>
          <w:tcPr>
            <w:tcW w:w="1483" w:type="dxa"/>
            <w:vAlign w:val="center"/>
          </w:tcPr>
          <w:p>
            <w:pPr>
              <w:jc w:val="center"/>
              <w:rPr>
                <w:rFonts w:eastAsia="Calibri" w:cs="Arial"/>
                <w:color w:val="auto"/>
                <w:sz w:val="16"/>
                <w:szCs w:val="16"/>
              </w:rPr>
            </w:pPr>
            <w:r>
              <w:rPr>
                <w:rFonts w:eastAsia="Calibri" w:cs="Arial"/>
                <w:color w:val="auto"/>
                <w:sz w:val="16"/>
                <w:szCs w:val="16"/>
              </w:rPr>
              <w:t>72,3</w:t>
            </w:r>
          </w:p>
        </w:tc>
        <w:tc>
          <w:tcPr>
            <w:tcW w:w="1483" w:type="dxa"/>
            <w:vAlign w:val="center"/>
          </w:tcPr>
          <w:p>
            <w:pPr>
              <w:jc w:val="center"/>
              <w:rPr>
                <w:rFonts w:eastAsia="Calibri" w:cs="Arial"/>
                <w:color w:val="auto"/>
                <w:sz w:val="16"/>
                <w:szCs w:val="16"/>
              </w:rPr>
            </w:pPr>
            <w:r>
              <w:rPr>
                <w:rFonts w:eastAsia="Calibri" w:cs="Arial"/>
                <w:color w:val="auto"/>
                <w:sz w:val="16"/>
                <w:szCs w:val="16"/>
              </w:rPr>
              <w:t>40,2</w:t>
            </w:r>
          </w:p>
        </w:tc>
        <w:tc>
          <w:tcPr>
            <w:tcW w:w="1483" w:type="dxa"/>
            <w:vAlign w:val="center"/>
          </w:tcPr>
          <w:p>
            <w:pPr>
              <w:jc w:val="center"/>
              <w:rPr>
                <w:rFonts w:eastAsia="Calibri" w:cs="Arial"/>
                <w:color w:val="auto"/>
                <w:sz w:val="16"/>
                <w:szCs w:val="16"/>
              </w:rPr>
            </w:pPr>
            <w:r>
              <w:rPr>
                <w:rFonts w:eastAsia="Calibri" w:cs="Arial"/>
                <w:color w:val="auto"/>
                <w:sz w:val="16"/>
                <w:szCs w:val="16"/>
              </w:rPr>
              <w:t>105,5</w:t>
            </w:r>
          </w:p>
        </w:tc>
        <w:tc>
          <w:tcPr>
            <w:tcW w:w="1483" w:type="dxa"/>
            <w:vAlign w:val="center"/>
          </w:tcPr>
          <w:p>
            <w:pPr>
              <w:jc w:val="center"/>
              <w:rPr>
                <w:rFonts w:eastAsia="Calibri" w:cs="Arial"/>
                <w:color w:val="auto"/>
                <w:sz w:val="16"/>
                <w:szCs w:val="16"/>
              </w:rPr>
            </w:pPr>
            <w:r>
              <w:rPr>
                <w:rFonts w:eastAsia="Calibri" w:cs="Arial"/>
                <w:color w:val="auto"/>
                <w:sz w:val="16"/>
                <w:szCs w:val="16"/>
              </w:rPr>
              <w:t>12,6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7 bulanan</w:t>
            </w:r>
          </w:p>
        </w:tc>
        <w:tc>
          <w:tcPr>
            <w:tcW w:w="1483" w:type="dxa"/>
            <w:vAlign w:val="center"/>
          </w:tcPr>
          <w:p>
            <w:pPr>
              <w:jc w:val="center"/>
              <w:rPr>
                <w:rFonts w:eastAsia="Calibri" w:cs="Arial"/>
                <w:color w:val="auto"/>
                <w:sz w:val="16"/>
                <w:szCs w:val="16"/>
              </w:rPr>
            </w:pPr>
            <w:r>
              <w:rPr>
                <w:rFonts w:eastAsia="Calibri" w:cs="Arial"/>
                <w:color w:val="auto"/>
                <w:sz w:val="16"/>
                <w:szCs w:val="16"/>
              </w:rPr>
              <w:t>68,5</w:t>
            </w:r>
          </w:p>
        </w:tc>
        <w:tc>
          <w:tcPr>
            <w:tcW w:w="1483" w:type="dxa"/>
            <w:vAlign w:val="center"/>
          </w:tcPr>
          <w:p>
            <w:pPr>
              <w:jc w:val="center"/>
              <w:rPr>
                <w:rFonts w:eastAsia="Calibri" w:cs="Arial"/>
                <w:color w:val="auto"/>
                <w:sz w:val="16"/>
                <w:szCs w:val="16"/>
              </w:rPr>
            </w:pPr>
            <w:r>
              <w:rPr>
                <w:rFonts w:eastAsia="Calibri" w:cs="Arial"/>
                <w:color w:val="auto"/>
                <w:sz w:val="16"/>
                <w:szCs w:val="16"/>
              </w:rPr>
              <w:t>25,0</w:t>
            </w:r>
          </w:p>
        </w:tc>
        <w:tc>
          <w:tcPr>
            <w:tcW w:w="1483" w:type="dxa"/>
            <w:vAlign w:val="center"/>
          </w:tcPr>
          <w:p>
            <w:pPr>
              <w:jc w:val="center"/>
              <w:rPr>
                <w:rFonts w:eastAsia="Calibri" w:cs="Arial"/>
                <w:color w:val="auto"/>
                <w:sz w:val="16"/>
                <w:szCs w:val="16"/>
              </w:rPr>
            </w:pPr>
            <w:r>
              <w:rPr>
                <w:rFonts w:eastAsia="Calibri" w:cs="Arial"/>
                <w:color w:val="auto"/>
                <w:sz w:val="16"/>
                <w:szCs w:val="16"/>
              </w:rPr>
              <w:t>115,5</w:t>
            </w:r>
          </w:p>
        </w:tc>
        <w:tc>
          <w:tcPr>
            <w:tcW w:w="1483" w:type="dxa"/>
            <w:vAlign w:val="center"/>
          </w:tcPr>
          <w:p>
            <w:pPr>
              <w:jc w:val="center"/>
              <w:rPr>
                <w:rFonts w:eastAsia="Calibri" w:cs="Arial"/>
                <w:color w:val="auto"/>
                <w:sz w:val="16"/>
                <w:szCs w:val="16"/>
              </w:rPr>
            </w:pPr>
            <w:r>
              <w:rPr>
                <w:rFonts w:eastAsia="Calibri" w:cs="Arial"/>
                <w:color w:val="auto"/>
                <w:sz w:val="16"/>
                <w:szCs w:val="16"/>
              </w:rPr>
              <w:t>11,4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restart"/>
            <w:vAlign w:val="center"/>
          </w:tcPr>
          <w:p>
            <w:pPr>
              <w:jc w:val="center"/>
              <w:rPr>
                <w:rFonts w:eastAsia="Calibri" w:cs="Arial"/>
                <w:color w:val="auto"/>
                <w:sz w:val="16"/>
                <w:szCs w:val="16"/>
              </w:rPr>
            </w:pPr>
            <w:r>
              <w:rPr>
                <w:rFonts w:eastAsia="Calibri" w:cs="Arial"/>
                <w:color w:val="auto"/>
                <w:sz w:val="16"/>
                <w:szCs w:val="16"/>
              </w:rPr>
              <w:t>Exponential smoothing</w:t>
            </w:r>
          </w:p>
        </w:tc>
        <w:tc>
          <w:tcPr>
            <w:tcW w:w="1483" w:type="dxa"/>
            <w:vAlign w:val="center"/>
          </w:tcPr>
          <w:p>
            <w:pPr>
              <w:jc w:val="center"/>
              <w:rPr>
                <w:rFonts w:eastAsia="Calibri" w:cs="Arial"/>
                <w:color w:val="auto"/>
                <w:sz w:val="16"/>
                <w:szCs w:val="16"/>
              </w:rPr>
            </w:pPr>
            <w:r>
              <w:rPr>
                <w:rFonts w:eastAsia="Calibri" w:cs="Arial"/>
                <w:color w:val="auto"/>
                <w:sz w:val="16"/>
                <w:szCs w:val="16"/>
              </w:rPr>
              <w:t>0,1</w:t>
            </w:r>
          </w:p>
        </w:tc>
        <w:tc>
          <w:tcPr>
            <w:tcW w:w="1483" w:type="dxa"/>
            <w:vAlign w:val="center"/>
          </w:tcPr>
          <w:p>
            <w:pPr>
              <w:jc w:val="center"/>
              <w:rPr>
                <w:rFonts w:eastAsia="Calibri" w:cs="Arial"/>
                <w:color w:val="auto"/>
                <w:sz w:val="16"/>
                <w:szCs w:val="16"/>
              </w:rPr>
            </w:pPr>
            <w:r>
              <w:rPr>
                <w:rFonts w:eastAsia="Calibri" w:cs="Arial"/>
                <w:color w:val="auto"/>
                <w:sz w:val="16"/>
                <w:szCs w:val="16"/>
              </w:rPr>
              <w:t>85,7</w:t>
            </w:r>
          </w:p>
        </w:tc>
        <w:tc>
          <w:tcPr>
            <w:tcW w:w="1483" w:type="dxa"/>
            <w:vAlign w:val="center"/>
          </w:tcPr>
          <w:p>
            <w:pPr>
              <w:jc w:val="center"/>
              <w:rPr>
                <w:rFonts w:eastAsia="Calibri" w:cs="Arial"/>
                <w:color w:val="auto"/>
                <w:sz w:val="16"/>
                <w:szCs w:val="16"/>
              </w:rPr>
            </w:pPr>
            <w:r>
              <w:rPr>
                <w:rFonts w:eastAsia="Calibri" w:cs="Arial"/>
                <w:color w:val="auto"/>
                <w:sz w:val="16"/>
                <w:szCs w:val="16"/>
              </w:rPr>
              <w:t>51,4</w:t>
            </w:r>
          </w:p>
        </w:tc>
        <w:tc>
          <w:tcPr>
            <w:tcW w:w="1483" w:type="dxa"/>
            <w:vAlign w:val="center"/>
          </w:tcPr>
          <w:p>
            <w:pPr>
              <w:jc w:val="center"/>
              <w:rPr>
                <w:rFonts w:eastAsia="Calibri" w:cs="Arial"/>
                <w:color w:val="auto"/>
                <w:sz w:val="16"/>
                <w:szCs w:val="16"/>
              </w:rPr>
            </w:pPr>
            <w:r>
              <w:rPr>
                <w:rFonts w:eastAsia="Calibri" w:cs="Arial"/>
                <w:color w:val="auto"/>
                <w:sz w:val="16"/>
                <w:szCs w:val="16"/>
              </w:rPr>
              <w:t>56,3</w:t>
            </w:r>
          </w:p>
        </w:tc>
        <w:tc>
          <w:tcPr>
            <w:tcW w:w="1483" w:type="dxa"/>
            <w:vAlign w:val="center"/>
          </w:tcPr>
          <w:p>
            <w:pPr>
              <w:jc w:val="center"/>
              <w:rPr>
                <w:rFonts w:eastAsia="Calibri" w:cs="Arial"/>
                <w:color w:val="auto"/>
                <w:sz w:val="16"/>
                <w:szCs w:val="16"/>
              </w:rPr>
            </w:pPr>
            <w:r>
              <w:rPr>
                <w:rFonts w:eastAsia="Calibri" w:cs="Arial"/>
                <w:color w:val="auto"/>
                <w:sz w:val="16"/>
                <w:szCs w:val="16"/>
              </w:rPr>
              <w:t>15,5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0,3</w:t>
            </w:r>
          </w:p>
        </w:tc>
        <w:tc>
          <w:tcPr>
            <w:tcW w:w="1483" w:type="dxa"/>
            <w:vAlign w:val="center"/>
          </w:tcPr>
          <w:p>
            <w:pPr>
              <w:jc w:val="center"/>
              <w:rPr>
                <w:rFonts w:eastAsia="Calibri" w:cs="Arial"/>
                <w:color w:val="auto"/>
                <w:sz w:val="16"/>
                <w:szCs w:val="16"/>
              </w:rPr>
            </w:pPr>
            <w:r>
              <w:rPr>
                <w:rFonts w:eastAsia="Calibri" w:cs="Arial"/>
                <w:color w:val="auto"/>
                <w:sz w:val="16"/>
                <w:szCs w:val="16"/>
              </w:rPr>
              <w:t>83,6</w:t>
            </w:r>
          </w:p>
        </w:tc>
        <w:tc>
          <w:tcPr>
            <w:tcW w:w="1483" w:type="dxa"/>
            <w:vAlign w:val="center"/>
          </w:tcPr>
          <w:p>
            <w:pPr>
              <w:jc w:val="center"/>
              <w:rPr>
                <w:rFonts w:eastAsia="Calibri" w:cs="Arial"/>
                <w:color w:val="auto"/>
                <w:sz w:val="16"/>
                <w:szCs w:val="16"/>
              </w:rPr>
            </w:pPr>
            <w:r>
              <w:rPr>
                <w:rFonts w:eastAsia="Calibri" w:cs="Arial"/>
                <w:color w:val="auto"/>
                <w:sz w:val="16"/>
                <w:szCs w:val="16"/>
              </w:rPr>
              <w:t>53,1</w:t>
            </w:r>
          </w:p>
        </w:tc>
        <w:tc>
          <w:tcPr>
            <w:tcW w:w="1483" w:type="dxa"/>
            <w:vAlign w:val="center"/>
          </w:tcPr>
          <w:p>
            <w:pPr>
              <w:jc w:val="center"/>
              <w:rPr>
                <w:rFonts w:eastAsia="Calibri" w:cs="Arial"/>
                <w:color w:val="auto"/>
                <w:sz w:val="16"/>
                <w:szCs w:val="16"/>
              </w:rPr>
            </w:pPr>
            <w:r>
              <w:rPr>
                <w:rFonts w:eastAsia="Calibri" w:cs="Arial"/>
                <w:color w:val="auto"/>
                <w:sz w:val="16"/>
                <w:szCs w:val="16"/>
              </w:rPr>
              <w:t>69,5</w:t>
            </w:r>
          </w:p>
        </w:tc>
        <w:tc>
          <w:tcPr>
            <w:tcW w:w="1483" w:type="dxa"/>
            <w:vAlign w:val="center"/>
          </w:tcPr>
          <w:p>
            <w:pPr>
              <w:jc w:val="center"/>
              <w:rPr>
                <w:rFonts w:eastAsia="Calibri" w:cs="Arial"/>
                <w:color w:val="auto"/>
                <w:sz w:val="16"/>
                <w:szCs w:val="16"/>
              </w:rPr>
            </w:pPr>
            <w:r>
              <w:rPr>
                <w:rFonts w:eastAsia="Calibri" w:cs="Arial"/>
                <w:color w:val="auto"/>
                <w:sz w:val="16"/>
                <w:szCs w:val="16"/>
              </w:rPr>
              <w:t>16,1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70" w:hRule="atLeast"/>
        </w:trPr>
        <w:tc>
          <w:tcPr>
            <w:tcW w:w="998" w:type="dxa"/>
            <w:vMerge w:val="continue"/>
          </w:tcPr>
          <w:p>
            <w:pPr>
              <w:rPr>
                <w:rFonts w:eastAsia="Calibri" w:cs="Arial"/>
                <w:color w:val="auto"/>
                <w:sz w:val="16"/>
                <w:szCs w:val="16"/>
              </w:rPr>
            </w:pPr>
          </w:p>
        </w:tc>
        <w:tc>
          <w:tcPr>
            <w:tcW w:w="2035" w:type="dxa"/>
            <w:vMerge w:val="continue"/>
            <w:vAlign w:val="center"/>
          </w:tcPr>
          <w:p>
            <w:pPr>
              <w:jc w:val="center"/>
              <w:rPr>
                <w:rFonts w:eastAsia="Calibri" w:cs="Arial"/>
                <w:color w:val="auto"/>
                <w:sz w:val="16"/>
                <w:szCs w:val="16"/>
              </w:rPr>
            </w:pPr>
          </w:p>
        </w:tc>
        <w:tc>
          <w:tcPr>
            <w:tcW w:w="1483" w:type="dxa"/>
            <w:vAlign w:val="center"/>
          </w:tcPr>
          <w:p>
            <w:pPr>
              <w:jc w:val="center"/>
              <w:rPr>
                <w:rFonts w:eastAsia="Calibri" w:cs="Arial"/>
                <w:color w:val="auto"/>
                <w:sz w:val="16"/>
                <w:szCs w:val="16"/>
              </w:rPr>
            </w:pPr>
            <w:r>
              <w:rPr>
                <w:rFonts w:eastAsia="Calibri" w:cs="Arial"/>
                <w:color w:val="auto"/>
                <w:sz w:val="16"/>
                <w:szCs w:val="16"/>
              </w:rPr>
              <w:t>0,5</w:t>
            </w:r>
          </w:p>
        </w:tc>
        <w:tc>
          <w:tcPr>
            <w:tcW w:w="1483" w:type="dxa"/>
            <w:vAlign w:val="center"/>
          </w:tcPr>
          <w:p>
            <w:pPr>
              <w:jc w:val="center"/>
              <w:rPr>
                <w:rFonts w:eastAsia="Calibri" w:cs="Arial"/>
                <w:color w:val="auto"/>
                <w:sz w:val="16"/>
                <w:szCs w:val="16"/>
              </w:rPr>
            </w:pPr>
            <w:r>
              <w:rPr>
                <w:rFonts w:eastAsia="Calibri" w:cs="Arial"/>
                <w:color w:val="auto"/>
                <w:sz w:val="16"/>
                <w:szCs w:val="16"/>
              </w:rPr>
              <w:t>84,5</w:t>
            </w:r>
          </w:p>
        </w:tc>
        <w:tc>
          <w:tcPr>
            <w:tcW w:w="1483" w:type="dxa"/>
            <w:vAlign w:val="center"/>
          </w:tcPr>
          <w:p>
            <w:pPr>
              <w:jc w:val="center"/>
              <w:rPr>
                <w:rFonts w:eastAsia="Calibri" w:cs="Arial"/>
                <w:color w:val="auto"/>
                <w:sz w:val="16"/>
                <w:szCs w:val="16"/>
              </w:rPr>
            </w:pPr>
            <w:r>
              <w:rPr>
                <w:rFonts w:eastAsia="Calibri" w:cs="Arial"/>
                <w:color w:val="auto"/>
                <w:sz w:val="16"/>
                <w:szCs w:val="16"/>
              </w:rPr>
              <w:t>54,5</w:t>
            </w:r>
          </w:p>
        </w:tc>
        <w:tc>
          <w:tcPr>
            <w:tcW w:w="1483" w:type="dxa"/>
            <w:vAlign w:val="center"/>
          </w:tcPr>
          <w:p>
            <w:pPr>
              <w:jc w:val="center"/>
              <w:rPr>
                <w:rFonts w:eastAsia="Calibri" w:cs="Arial"/>
                <w:color w:val="auto"/>
                <w:sz w:val="16"/>
                <w:szCs w:val="16"/>
              </w:rPr>
            </w:pPr>
            <w:r>
              <w:rPr>
                <w:rFonts w:eastAsia="Calibri" w:cs="Arial"/>
                <w:color w:val="auto"/>
                <w:sz w:val="16"/>
                <w:szCs w:val="16"/>
              </w:rPr>
              <w:t>71,1</w:t>
            </w:r>
          </w:p>
        </w:tc>
        <w:tc>
          <w:tcPr>
            <w:tcW w:w="1483" w:type="dxa"/>
            <w:vAlign w:val="center"/>
          </w:tcPr>
          <w:p>
            <w:pPr>
              <w:jc w:val="center"/>
              <w:rPr>
                <w:rFonts w:eastAsia="Calibri" w:cs="Arial"/>
                <w:color w:val="auto"/>
                <w:sz w:val="16"/>
                <w:szCs w:val="16"/>
              </w:rPr>
            </w:pPr>
            <w:r>
              <w:rPr>
                <w:rFonts w:eastAsia="Calibri" w:cs="Arial"/>
                <w:color w:val="auto"/>
                <w:sz w:val="16"/>
                <w:szCs w:val="16"/>
              </w:rPr>
              <w:t>17,5</w:t>
            </w:r>
          </w:p>
        </w:tc>
      </w:tr>
    </w:tbl>
    <w:p>
      <w:pPr>
        <w:rPr>
          <w:rFonts w:eastAsia="MS Mincho"/>
          <w:color w:val="auto"/>
          <w:sz w:val="16"/>
          <w:szCs w:val="16"/>
        </w:rPr>
      </w:pPr>
    </w:p>
    <w:p>
      <w:pPr>
        <w:rPr>
          <w:rFonts w:eastAsia="MS Mincho"/>
          <w:color w:val="auto"/>
          <w:sz w:val="16"/>
          <w:szCs w:val="16"/>
        </w:rPr>
        <w:sectPr>
          <w:type w:val="continuous"/>
          <w:pgSz w:w="11909" w:h="16834"/>
          <w:pgMar w:top="1152" w:right="806" w:bottom="1728" w:left="806" w:header="720" w:footer="1008" w:gutter="0"/>
          <w:pgNumType w:fmt="decimal"/>
          <w:cols w:space="425" w:num="1"/>
          <w:docGrid w:linePitch="360" w:charSpace="0"/>
        </w:sectPr>
      </w:pPr>
    </w:p>
    <w:p>
      <w:pPr>
        <w:rPr>
          <w:rFonts w:eastAsia="MS Mincho"/>
          <w:color w:val="auto"/>
          <w:sz w:val="16"/>
          <w:szCs w:val="16"/>
        </w:rPr>
      </w:pPr>
    </w:p>
    <w:p>
      <w:pPr>
        <w:ind w:firstLine="720" w:firstLineChars="0"/>
        <w:rPr>
          <w:i w:val="0"/>
          <w:color w:val="auto"/>
        </w:rPr>
      </w:pPr>
      <w:r>
        <w:rPr>
          <w:i w:val="0"/>
          <w:color w:val="auto"/>
        </w:rPr>
        <w:t xml:space="preserve">Nilai MAD terendah pada peramalan untuk komoditas CPO, aspal, dan PKE dihasilkan dari penggunaan metode </w:t>
      </w:r>
      <w:r>
        <w:rPr>
          <w:color w:val="auto"/>
        </w:rPr>
        <w:t>exponential smoothing</w:t>
      </w:r>
      <w:r>
        <w:rPr>
          <w:i w:val="0"/>
          <w:color w:val="auto"/>
        </w:rPr>
        <w:t xml:space="preserve"> dengan nilai α = 0,1 yaitu 42.988,8 untuk CPO, 1.282,5 untuk aspal, dan 3.568,8 untuk PKE sedangkan nilai MAD terendah untuk komoditas kopra dihasilkan dari penggunaan metode </w:t>
      </w:r>
      <w:r>
        <w:rPr>
          <w:color w:val="auto"/>
        </w:rPr>
        <w:t>moving average</w:t>
      </w:r>
      <w:r>
        <w:rPr>
          <w:i w:val="0"/>
          <w:color w:val="auto"/>
        </w:rPr>
        <w:t xml:space="preserve"> dengan nilai pergerakan 7 bulanan, yaitu 214,1. Nilai MSE terendah pada peramalan untuk komoditas CPO dihasilkan dari penggunaan metode </w:t>
      </w:r>
      <w:r>
        <w:rPr>
          <w:color w:val="auto"/>
        </w:rPr>
        <w:t>exponential smoothing</w:t>
      </w:r>
      <w:r>
        <w:rPr>
          <w:i w:val="0"/>
          <w:color w:val="auto"/>
        </w:rPr>
        <w:t xml:space="preserve"> dengan nilai α = 0,1 yaitu </w:t>
      </w:r>
      <w:r>
        <w:rPr>
          <w:i w:val="0"/>
          <w:color w:val="auto"/>
          <w:szCs w:val="16"/>
        </w:rPr>
        <w:t xml:space="preserve">2.659.799.020,9 sementara untuk peramalan komoditas aspal dan PKE masing-masing memiliki nilai MSE terendah </w:t>
      </w:r>
      <w:r>
        <w:rPr>
          <w:i w:val="0"/>
          <w:color w:val="auto"/>
        </w:rPr>
        <w:t xml:space="preserve">yaitu 2.745.166,2 dan </w:t>
      </w:r>
      <w:r>
        <w:rPr>
          <w:i w:val="0"/>
          <w:color w:val="auto"/>
          <w:szCs w:val="16"/>
        </w:rPr>
        <w:t>26.316.366,4</w:t>
      </w:r>
      <w:r>
        <w:rPr>
          <w:i w:val="0"/>
          <w:color w:val="auto"/>
          <w:sz w:val="24"/>
        </w:rPr>
        <w:t xml:space="preserve"> </w:t>
      </w:r>
      <w:r>
        <w:rPr>
          <w:i w:val="0"/>
          <w:color w:val="auto"/>
        </w:rPr>
        <w:t xml:space="preserve">dengan penggunaan metode </w:t>
      </w:r>
      <w:r>
        <w:rPr>
          <w:color w:val="auto"/>
        </w:rPr>
        <w:t>moving average</w:t>
      </w:r>
      <w:r>
        <w:rPr>
          <w:i w:val="0"/>
          <w:color w:val="auto"/>
        </w:rPr>
        <w:t xml:space="preserve"> 3 bulanan. Komoditas kopra memiliki nilai MSE terendah yaitu </w:t>
      </w:r>
      <w:r>
        <w:rPr>
          <w:i w:val="0"/>
          <w:color w:val="auto"/>
          <w:szCs w:val="16"/>
        </w:rPr>
        <w:t xml:space="preserve">56.689,9 </w:t>
      </w:r>
      <w:r>
        <w:rPr>
          <w:i w:val="0"/>
          <w:color w:val="auto"/>
        </w:rPr>
        <w:t xml:space="preserve">yang merupakan hasil penggunaan metode </w:t>
      </w:r>
      <w:r>
        <w:rPr>
          <w:color w:val="auto"/>
        </w:rPr>
        <w:t>moving average</w:t>
      </w:r>
      <w:r>
        <w:rPr>
          <w:i w:val="0"/>
          <w:color w:val="auto"/>
        </w:rPr>
        <w:t xml:space="preserve"> 7 bulanan. Nilai MAPE sangat penting untuk diketahui karena merupakan persentase kesalahan dari suatu peramalan yang dilakukan. Komoditas CPO, aspal, dan kopra memilki nilai MAPE terendah pada penggunaan metode </w:t>
      </w:r>
      <w:r>
        <w:rPr>
          <w:color w:val="auto"/>
        </w:rPr>
        <w:t>moving average</w:t>
      </w:r>
      <w:r>
        <w:rPr>
          <w:i w:val="0"/>
          <w:color w:val="auto"/>
        </w:rPr>
        <w:t xml:space="preserve"> 7 bulanan dimana MAPE terendah untuk CPO yaitu 68,5%, aspal 25%, dan kopra 11,4% sedangkan untuk komoditas PKE memiliki nilai MAPE terendah dengan penggunaan metode </w:t>
      </w:r>
      <w:r>
        <w:rPr>
          <w:color w:val="auto"/>
        </w:rPr>
        <w:t>exponential smoothing</w:t>
      </w:r>
      <w:r>
        <w:rPr>
          <w:i w:val="0"/>
          <w:color w:val="auto"/>
        </w:rPr>
        <w:t xml:space="preserve"> dengan nilai α = 0,1 yaitu 56,3%. Berdasarkan nilai MAPE yang telah diperoleh, dapat dianalisis bahwa hasil peramalan yang baik ada pada peramalan jumlah persediaan komoditas kopra sehingga dapat dijadikan sebagai rujukan. Hasil peramalan jumlah persediaan komoditas aspal berdasarkan nilai MAPE yang diperoleh yaitu masih layak untuk dijadikan rujukan sementara hasil peramalan untuk jumlah persediaan komoditas CPO dan PKE adalah buruk atau tingkat akurasinya sangat rendah sehingga kurang cocok dijadikan sebagai rujukan</w:t>
      </w:r>
    </w:p>
    <w:p>
      <w:pPr>
        <w:tabs>
          <w:tab w:val="left" w:pos="4536"/>
        </w:tabs>
        <w:rPr>
          <w:color w:val="auto"/>
        </w:rPr>
      </w:pPr>
    </w:p>
    <w:p>
      <w:pPr>
        <w:pStyle w:val="2"/>
        <w:rPr>
          <w:color w:val="auto"/>
        </w:rPr>
      </w:pPr>
      <w:r>
        <w:rPr>
          <w:color w:val="auto"/>
        </w:rPr>
        <w:t>Kesimpulan</w:t>
      </w:r>
    </w:p>
    <w:p>
      <w:pPr>
        <w:rPr>
          <w:rFonts w:hint="default"/>
          <w:color w:val="auto"/>
          <w:lang w:val="en-GB"/>
        </w:rPr>
      </w:pPr>
      <w:r>
        <w:rPr>
          <w:color w:val="auto"/>
        </w:rPr>
        <w:t>PT. Pelabuhan Indonesia II Cabang Palembang merupakan penyedia dan pengusaha yang melayani kegiatan bongkar muat komoditas sesuai jenisnya. Kegiatan bongkar muat yang cepat dan tepat dibutuhkan agar pelanggan tetap menaruh kepercayaannya pada PT. Pelabuhan Indonesia II Cabang Pale</w:t>
      </w:r>
      <w:bookmarkStart w:id="0" w:name="_GoBack"/>
      <w:bookmarkEnd w:id="0"/>
      <w:r>
        <w:rPr>
          <w:color w:val="auto"/>
        </w:rPr>
        <w:t xml:space="preserve">mbang sebagai penyedia jasa sehingga dibutuhkan peramalan untuk memprediksi jumlah persediaan komoditas yang akan dilakukan bongkar muat pada bulan selanjutnya. Berdasarkan pengolahan dan analisa data yang telah dilakukan, maka dapat disimpulkan bahwa jumlah persediaan komoditas yang akan dilakukan bongkar muat pada bulan Januari 2021 adalah 99.749,5 ton yang terdiri dari 88.293 ton CPO, 4.374 ton aspal, dan 1.743 ton kopra sesuai dengan  peramalan menggunakan metode </w:t>
      </w:r>
      <w:r>
        <w:rPr>
          <w:i/>
          <w:color w:val="auto"/>
        </w:rPr>
        <w:t xml:space="preserve">moving average </w:t>
      </w:r>
      <w:r>
        <w:rPr>
          <w:color w:val="auto"/>
        </w:rPr>
        <w:t xml:space="preserve">7 bulanan sedangkan untuk komoditas PKE adalah 5.339,5 ton sesuai dengan peramalan menggunakan metode </w:t>
      </w:r>
      <w:r>
        <w:rPr>
          <w:i/>
          <w:color w:val="auto"/>
        </w:rPr>
        <w:t>exponential smoothing</w:t>
      </w:r>
      <w:r>
        <w:rPr>
          <w:color w:val="auto"/>
        </w:rPr>
        <w:t xml:space="preserve"> nilai α = 0,1. Akurasi dari metode </w:t>
      </w:r>
      <w:r>
        <w:rPr>
          <w:i/>
          <w:color w:val="auto"/>
        </w:rPr>
        <w:t>moving average</w:t>
      </w:r>
      <w:r>
        <w:rPr>
          <w:color w:val="auto"/>
        </w:rPr>
        <w:t xml:space="preserve"> 7 bulanan secara keseluruhan bisa dikatakan cukup baik untuk diaplikasikan pada peramalan jumlah persediaan komoditas CPO, aspal, dan kopra karena memiliki nilai MAPE yang lebih rendah dari metode </w:t>
      </w:r>
      <w:r>
        <w:rPr>
          <w:i/>
          <w:color w:val="auto"/>
        </w:rPr>
        <w:t>exponential smoothing</w:t>
      </w:r>
      <w:r>
        <w:rPr>
          <w:color w:val="auto"/>
        </w:rPr>
        <w:t xml:space="preserve">, yaitu 68,5% untuk CPO, 25% untuk aspal, dan 11,4% untuk kopra. Namun untuk peramalan jumlah persediaan komoditas kopra, penggunaan metode </w:t>
      </w:r>
      <w:r>
        <w:rPr>
          <w:i/>
          <w:color w:val="auto"/>
        </w:rPr>
        <w:t>exponential smoothing</w:t>
      </w:r>
      <w:r>
        <w:rPr>
          <w:color w:val="auto"/>
        </w:rPr>
        <w:t xml:space="preserve"> α = 0,1 memberikan hasil akurasi yang lebih baik dibandingkan dengan metode </w:t>
      </w:r>
      <w:r>
        <w:rPr>
          <w:i/>
          <w:color w:val="auto"/>
        </w:rPr>
        <w:t>moving average</w:t>
      </w:r>
      <w:r>
        <w:rPr>
          <w:color w:val="auto"/>
        </w:rPr>
        <w:t xml:space="preserve"> dikarenakan memberikan nilai MAPE yang lebih rendah, yaitu 56,3%.</w:t>
      </w:r>
    </w:p>
    <w:p>
      <w:pPr>
        <w:pStyle w:val="23"/>
        <w:spacing w:before="0" w:beforeAutospacing="0" w:after="0" w:afterAutospacing="0"/>
        <w:ind w:firstLine="426"/>
        <w:jc w:val="both"/>
        <w:rPr>
          <w:rFonts w:ascii="Times New Roman" w:hAnsi="Times New Roman"/>
          <w:color w:val="auto"/>
          <w:szCs w:val="20"/>
        </w:rPr>
      </w:pPr>
      <w:r>
        <w:rPr>
          <w:rFonts w:ascii="Times New Roman" w:hAnsi="Times New Roman"/>
          <w:color w:val="auto"/>
          <w:szCs w:val="20"/>
        </w:rPr>
        <w:t xml:space="preserve"> </w:t>
      </w:r>
    </w:p>
    <w:p>
      <w:pPr>
        <w:pStyle w:val="2"/>
        <w:numPr>
          <w:ilvl w:val="0"/>
          <w:numId w:val="0"/>
        </w:numPr>
        <w:ind w:left="360" w:hanging="360"/>
        <w:rPr>
          <w:color w:val="auto"/>
        </w:rPr>
      </w:pPr>
      <w:r>
        <w:rPr>
          <w:color w:val="auto"/>
        </w:rPr>
        <w:t>Referensi</w:t>
      </w:r>
    </w:p>
    <w:p>
      <w:pPr>
        <w:pStyle w:val="22"/>
        <w:numPr>
          <w:ilvl w:val="0"/>
          <w:numId w:val="3"/>
        </w:numPr>
        <w:ind w:left="317" w:hanging="317"/>
        <w:jc w:val="both"/>
        <w:rPr>
          <w:color w:val="auto"/>
          <w:spacing w:val="-8"/>
          <w:sz w:val="18"/>
          <w:szCs w:val="18"/>
          <w:lang w:val="id-ID"/>
        </w:rPr>
      </w:pPr>
      <w:r>
        <w:rPr>
          <w:color w:val="auto"/>
          <w:sz w:val="18"/>
          <w:szCs w:val="18"/>
        </w:rPr>
        <w:t xml:space="preserve">Nasution, Arman Hakim dan Yudha Prasetyawan. 2008. </w:t>
      </w:r>
      <w:r>
        <w:rPr>
          <w:i/>
          <w:color w:val="auto"/>
          <w:sz w:val="18"/>
          <w:szCs w:val="18"/>
        </w:rPr>
        <w:t>Perencanaan Pengendalian Produksi</w:t>
      </w:r>
      <w:r>
        <w:rPr>
          <w:color w:val="auto"/>
          <w:sz w:val="18"/>
          <w:szCs w:val="18"/>
        </w:rPr>
        <w:t>. Yogyakarta: Yogyakarta Graha Ilmu.</w:t>
      </w:r>
    </w:p>
    <w:p>
      <w:pPr>
        <w:pStyle w:val="22"/>
        <w:numPr>
          <w:ilvl w:val="0"/>
          <w:numId w:val="3"/>
        </w:numPr>
        <w:ind w:left="317" w:hanging="317"/>
        <w:jc w:val="both"/>
        <w:rPr>
          <w:color w:val="auto"/>
          <w:spacing w:val="-8"/>
          <w:sz w:val="18"/>
          <w:szCs w:val="18"/>
          <w:lang w:val="id-ID"/>
        </w:rPr>
      </w:pPr>
      <w:r>
        <w:rPr>
          <w:color w:val="auto"/>
          <w:sz w:val="18"/>
          <w:szCs w:val="18"/>
        </w:rPr>
        <w:t xml:space="preserve">Heizer, Jay dan Barry Render. 2009. </w:t>
      </w:r>
      <w:r>
        <w:rPr>
          <w:i/>
          <w:color w:val="auto"/>
          <w:sz w:val="18"/>
          <w:szCs w:val="18"/>
        </w:rPr>
        <w:t>Operation Management, 9</w:t>
      </w:r>
      <w:r>
        <w:rPr>
          <w:i/>
          <w:color w:val="auto"/>
          <w:sz w:val="18"/>
          <w:szCs w:val="18"/>
          <w:vertAlign w:val="superscript"/>
        </w:rPr>
        <w:t>th</w:t>
      </w:r>
      <w:r>
        <w:rPr>
          <w:i/>
          <w:color w:val="auto"/>
          <w:sz w:val="18"/>
          <w:szCs w:val="18"/>
        </w:rPr>
        <w:t xml:space="preserve"> Edition</w:t>
      </w:r>
      <w:r>
        <w:rPr>
          <w:color w:val="auto"/>
          <w:sz w:val="18"/>
          <w:szCs w:val="18"/>
        </w:rPr>
        <w:t>. Jakarta: Salemba Empat.</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Dewi, K. S. Krisna dan Duwena, S. R., Analisis Peramalan Tingkat Jumlah Tamu Menginap Menggunakan Metode Single Exponential Smoothing Di Villa X  Di Desa Gobleg, Kabupaten Buleleng Tahun 2018, </w:t>
      </w:r>
      <w:r>
        <w:rPr>
          <w:i/>
          <w:color w:val="auto"/>
          <w:spacing w:val="-8"/>
          <w:sz w:val="18"/>
          <w:szCs w:val="18"/>
        </w:rPr>
        <w:t>Jurnal Pendidikan Ekonomi Undiksha</w:t>
      </w:r>
      <w:r>
        <w:rPr>
          <w:color w:val="auto"/>
          <w:spacing w:val="-8"/>
          <w:sz w:val="18"/>
          <w:szCs w:val="18"/>
        </w:rPr>
        <w:t>, Volume 9, Nomor 2, 2017, pp. 335-344.</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Saefudin, Susandi, D., dan Nafis, F., Sistem Peramalan Penjualan Paving Block Menggunakan Metode </w:t>
      </w:r>
      <w:r>
        <w:rPr>
          <w:rFonts w:eastAsia="Calibri"/>
          <w:i/>
          <w:color w:val="auto"/>
          <w:sz w:val="18"/>
          <w:szCs w:val="18"/>
        </w:rPr>
        <w:t>Single Moving Average</w:t>
      </w:r>
      <w:r>
        <w:rPr>
          <w:rFonts w:eastAsia="Calibri"/>
          <w:color w:val="auto"/>
          <w:sz w:val="18"/>
          <w:szCs w:val="18"/>
        </w:rPr>
        <w:t xml:space="preserve">, </w:t>
      </w:r>
      <w:r>
        <w:rPr>
          <w:rFonts w:eastAsia="Calibri"/>
          <w:i/>
          <w:color w:val="auto"/>
          <w:sz w:val="18"/>
          <w:szCs w:val="18"/>
        </w:rPr>
        <w:t>Jurnal Sistem Informasi</w:t>
      </w:r>
      <w:r>
        <w:rPr>
          <w:rFonts w:eastAsia="Calibri"/>
          <w:color w:val="auto"/>
          <w:sz w:val="18"/>
          <w:szCs w:val="18"/>
        </w:rPr>
        <w:t xml:space="preserve">, Volume 8, Nomor 2, 2021, pp. 75-81.  </w:t>
      </w:r>
    </w:p>
    <w:p>
      <w:pPr>
        <w:pStyle w:val="22"/>
        <w:numPr>
          <w:ilvl w:val="0"/>
          <w:numId w:val="3"/>
        </w:numPr>
        <w:ind w:left="317" w:hanging="317"/>
        <w:jc w:val="both"/>
        <w:rPr>
          <w:color w:val="auto"/>
          <w:spacing w:val="-8"/>
          <w:sz w:val="18"/>
          <w:szCs w:val="18"/>
          <w:lang w:val="id-ID"/>
        </w:rPr>
      </w:pPr>
      <w:r>
        <w:rPr>
          <w:color w:val="auto"/>
          <w:sz w:val="18"/>
          <w:szCs w:val="18"/>
        </w:rPr>
        <w:t xml:space="preserve">L. Ni, S. Wiwik, R. Ginantra, L. Bagus, dan G. Anandita, Penerapan Metode Exponential Smoothing Untuk Peramalan Penggunaan Barang, </w:t>
      </w:r>
      <w:r>
        <w:rPr>
          <w:i/>
          <w:color w:val="auto"/>
          <w:sz w:val="18"/>
          <w:szCs w:val="18"/>
        </w:rPr>
        <w:t>J. Sains Komput. Inform</w:t>
      </w:r>
      <w:r>
        <w:rPr>
          <w:color w:val="auto"/>
          <w:sz w:val="18"/>
          <w:szCs w:val="18"/>
        </w:rPr>
        <w:t>, Volume 3, Nomor 2, 2019, pp. 433-441.</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Yudaruddin, Rizky. 2019. </w:t>
      </w:r>
      <w:r>
        <w:rPr>
          <w:rFonts w:eastAsia="Calibri"/>
          <w:i/>
          <w:color w:val="auto"/>
          <w:sz w:val="18"/>
          <w:szCs w:val="18"/>
        </w:rPr>
        <w:t>Forecasting Untuk Kegiatan Ekonomi dan Bisnis</w:t>
      </w:r>
      <w:r>
        <w:rPr>
          <w:rFonts w:eastAsia="Calibri"/>
          <w:color w:val="auto"/>
          <w:sz w:val="18"/>
          <w:szCs w:val="18"/>
        </w:rPr>
        <w:t>. Samarinda: RV Pustaka Horizon.</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Wulandari, Implementasi Sistem Peramalan Persediaan Barang Menggunakan Metode Moving Average, </w:t>
      </w:r>
      <w:r>
        <w:rPr>
          <w:rFonts w:eastAsia="Calibri"/>
          <w:i/>
          <w:color w:val="auto"/>
          <w:sz w:val="18"/>
          <w:szCs w:val="18"/>
        </w:rPr>
        <w:t>Jurnal Media Informatika Budidarma</w:t>
      </w:r>
      <w:r>
        <w:rPr>
          <w:rFonts w:eastAsia="Calibri"/>
          <w:color w:val="auto"/>
          <w:sz w:val="18"/>
          <w:szCs w:val="18"/>
        </w:rPr>
        <w:t>, Volume 4, Nomor 3, 2020, pp. 707-714.</w:t>
      </w:r>
    </w:p>
    <w:p>
      <w:pPr>
        <w:pStyle w:val="22"/>
        <w:numPr>
          <w:ilvl w:val="0"/>
          <w:numId w:val="3"/>
        </w:numPr>
        <w:ind w:left="317" w:hanging="317"/>
        <w:jc w:val="both"/>
        <w:rPr>
          <w:color w:val="auto"/>
          <w:spacing w:val="-8"/>
          <w:sz w:val="18"/>
          <w:szCs w:val="18"/>
          <w:lang w:val="id-ID"/>
        </w:rPr>
      </w:pPr>
      <w:r>
        <w:rPr>
          <w:rFonts w:eastAsia="Calibri"/>
          <w:color w:val="auto"/>
          <w:sz w:val="18"/>
          <w:szCs w:val="18"/>
        </w:rPr>
        <w:t xml:space="preserve">Ihsan, H., Syam, R., dan Ahmda, F., Peramalan Penjualan dengan Metode Exponential Smoothing (Studi Kasus : Penjualan Bakso Kemasan/Kiloan Rumah Bakso Bang Ipul), </w:t>
      </w:r>
      <w:r>
        <w:rPr>
          <w:rFonts w:eastAsia="Calibri"/>
          <w:i/>
          <w:color w:val="auto"/>
          <w:sz w:val="18"/>
          <w:szCs w:val="18"/>
        </w:rPr>
        <w:t>Journal of Mathematics, Computations, and Statistics</w:t>
      </w:r>
      <w:r>
        <w:rPr>
          <w:rFonts w:eastAsia="Calibri"/>
          <w:color w:val="auto"/>
          <w:sz w:val="18"/>
          <w:szCs w:val="18"/>
        </w:rPr>
        <w:t>, Volume 1, Nomor 1, 2018, pp. 1-7.</w:t>
      </w:r>
    </w:p>
    <w:p>
      <w:pPr>
        <w:pStyle w:val="22"/>
        <w:numPr>
          <w:ilvl w:val="0"/>
          <w:numId w:val="3"/>
        </w:numPr>
        <w:ind w:left="317" w:hanging="317"/>
        <w:jc w:val="both"/>
        <w:rPr>
          <w:color w:val="auto"/>
          <w:spacing w:val="-8"/>
          <w:sz w:val="18"/>
          <w:szCs w:val="18"/>
          <w:lang w:val="id-ID"/>
        </w:rPr>
      </w:pPr>
      <w:r>
        <w:rPr>
          <w:color w:val="auto"/>
          <w:sz w:val="18"/>
          <w:szCs w:val="18"/>
        </w:rPr>
        <w:t>Wardah, Siti dan Iskandar, Analisis Peramalan Penjualan Produk Keripik Pisang Kemasan Bungkus (Studi Kasus: Home industry Arwana Food Tembilahan</w:t>
      </w:r>
      <w:r>
        <w:rPr>
          <w:i/>
          <w:color w:val="auto"/>
          <w:sz w:val="18"/>
          <w:szCs w:val="18"/>
        </w:rPr>
        <w:t>,</w:t>
      </w:r>
      <w:r>
        <w:rPr>
          <w:color w:val="auto"/>
          <w:sz w:val="18"/>
          <w:szCs w:val="18"/>
        </w:rPr>
        <w:t xml:space="preserve"> </w:t>
      </w:r>
      <w:r>
        <w:rPr>
          <w:i/>
          <w:color w:val="auto"/>
          <w:sz w:val="18"/>
          <w:szCs w:val="18"/>
        </w:rPr>
        <w:t>Jurnal Teknik Industri</w:t>
      </w:r>
      <w:r>
        <w:rPr>
          <w:color w:val="auto"/>
          <w:sz w:val="18"/>
          <w:szCs w:val="18"/>
        </w:rPr>
        <w:t>, Volume 11, Nomor 3, 2016, pp. 135-142.</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Fitriana, Milla, Sudarwardi, Dirarini, dan Nurlaela. Penerapan Metode Single Moving Average dan Exsponential Smoothing pada Usaha Asrie Modesta, </w:t>
      </w:r>
      <w:r>
        <w:rPr>
          <w:i/>
          <w:color w:val="auto"/>
          <w:spacing w:val="-8"/>
          <w:sz w:val="18"/>
          <w:szCs w:val="18"/>
        </w:rPr>
        <w:t>Cakrawala Management Business Journal</w:t>
      </w:r>
      <w:r>
        <w:rPr>
          <w:color w:val="auto"/>
          <w:spacing w:val="-8"/>
          <w:sz w:val="18"/>
          <w:szCs w:val="18"/>
        </w:rPr>
        <w:t xml:space="preserve">, Volume 3, Nomor 1, 2020, pp. 547-561.  </w:t>
      </w:r>
    </w:p>
    <w:p>
      <w:pPr>
        <w:pStyle w:val="22"/>
        <w:numPr>
          <w:ilvl w:val="0"/>
          <w:numId w:val="3"/>
        </w:numPr>
        <w:ind w:left="317" w:hanging="317"/>
        <w:jc w:val="both"/>
        <w:rPr>
          <w:color w:val="auto"/>
          <w:spacing w:val="-8"/>
          <w:sz w:val="18"/>
          <w:szCs w:val="18"/>
          <w:lang w:val="id-ID"/>
        </w:rPr>
      </w:pPr>
      <w:r>
        <w:rPr>
          <w:color w:val="auto"/>
        </w:rPr>
        <w:t xml:space="preserve">Rachman, Rizal, Penerapan Metode Moving Average dan Exponential Smoothing pada Peramalan Produksi Industri Garment, </w:t>
      </w:r>
      <w:r>
        <w:rPr>
          <w:i/>
          <w:color w:val="auto"/>
        </w:rPr>
        <w:t>Jurnal Informatika</w:t>
      </w:r>
      <w:r>
        <w:rPr>
          <w:color w:val="auto"/>
        </w:rPr>
        <w:t>, Volume 5, Nomor 1, 2021, pp. 21-220.</w:t>
      </w:r>
    </w:p>
    <w:p>
      <w:pPr>
        <w:pStyle w:val="22"/>
        <w:numPr>
          <w:ilvl w:val="0"/>
          <w:numId w:val="3"/>
        </w:numPr>
        <w:ind w:left="317" w:hanging="317"/>
        <w:jc w:val="both"/>
        <w:rPr>
          <w:color w:val="auto"/>
          <w:spacing w:val="-8"/>
          <w:sz w:val="18"/>
          <w:szCs w:val="18"/>
          <w:lang w:val="id-ID"/>
        </w:rPr>
      </w:pPr>
      <w:r>
        <w:rPr>
          <w:color w:val="auto"/>
          <w:spacing w:val="-8"/>
          <w:sz w:val="18"/>
          <w:szCs w:val="18"/>
        </w:rPr>
        <w:t>Santoso, A. Budi, Rumetna, M. Supriyanto, dan Isnaningtyas, K., Penerapan Metode Single Exponential Smoothing untuk Analisa Peramalan Penjualan, Jurnal Media Informatika Budidarma, Volume 5, Nomor 2, 2021, pp. 756-761.</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Sofyan, D. K. 2013. </w:t>
      </w:r>
      <w:r>
        <w:rPr>
          <w:i/>
          <w:color w:val="auto"/>
          <w:spacing w:val="-8"/>
          <w:sz w:val="18"/>
          <w:szCs w:val="18"/>
        </w:rPr>
        <w:t>Perencanaan &amp; Pengendalian Produksi</w:t>
      </w:r>
      <w:r>
        <w:rPr>
          <w:color w:val="auto"/>
          <w:spacing w:val="-8"/>
          <w:sz w:val="18"/>
          <w:szCs w:val="18"/>
        </w:rPr>
        <w:t>. Lhoksemawe NAD: Graha Ilmu.</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Sungkawa, Iwa dan Ries Tri Megasari, Penerapan Ukuran Ketepatan Nilai Ramalan Data Deret Waktu dalam Seleksi Model Peramalan Volume Penjualan PT Satriamandiri Citramulia, </w:t>
      </w:r>
      <w:r>
        <w:rPr>
          <w:i/>
          <w:color w:val="auto"/>
          <w:spacing w:val="-8"/>
          <w:sz w:val="18"/>
          <w:szCs w:val="18"/>
        </w:rPr>
        <w:t>Comtech</w:t>
      </w:r>
      <w:r>
        <w:rPr>
          <w:color w:val="auto"/>
          <w:spacing w:val="-8"/>
          <w:sz w:val="18"/>
          <w:szCs w:val="18"/>
        </w:rPr>
        <w:t xml:space="preserve">, Volume 2, Nomor 2, 2011, pp. 636-645. </w:t>
      </w:r>
    </w:p>
    <w:p>
      <w:pPr>
        <w:pStyle w:val="22"/>
        <w:numPr>
          <w:ilvl w:val="0"/>
          <w:numId w:val="3"/>
        </w:numPr>
        <w:ind w:left="317" w:hanging="317"/>
        <w:jc w:val="both"/>
        <w:rPr>
          <w:color w:val="auto"/>
          <w:spacing w:val="-8"/>
          <w:sz w:val="18"/>
          <w:szCs w:val="18"/>
          <w:lang w:val="id-ID"/>
        </w:rPr>
      </w:pPr>
      <w:r>
        <w:rPr>
          <w:color w:val="auto"/>
          <w:spacing w:val="-8"/>
          <w:sz w:val="18"/>
          <w:szCs w:val="18"/>
        </w:rPr>
        <w:t xml:space="preserve">Razak, M. A. dan Edwin Riksakomara, Peramalan Jumlah Produksi Ikan dengan Menggunakan Backpropagation Neural Network (Studi Kasus: UPTD Pelabuhan Perikanan Banjarmasin), </w:t>
      </w:r>
      <w:r>
        <w:rPr>
          <w:i/>
          <w:color w:val="auto"/>
          <w:spacing w:val="-8"/>
          <w:sz w:val="18"/>
          <w:szCs w:val="18"/>
        </w:rPr>
        <w:t>Jurnal Teknik ITS</w:t>
      </w:r>
      <w:r>
        <w:rPr>
          <w:color w:val="auto"/>
          <w:spacing w:val="-8"/>
          <w:sz w:val="18"/>
          <w:szCs w:val="18"/>
        </w:rPr>
        <w:t>, Volume 6, Nomor 1, 2020, pp. 142-148.</w:t>
      </w:r>
    </w:p>
    <w:sectPr>
      <w:type w:val="continuous"/>
      <w:pgSz w:w="11909" w:h="16834"/>
      <w:pgMar w:top="1152" w:right="806" w:bottom="1728" w:left="806" w:header="720" w:footer="1008" w:gutter="0"/>
      <w:pgNumType w:fmt="decimal"/>
      <w:cols w:space="245"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3</w:t>
                    </w:r>
                    <w:r>
                      <w:fldChar w:fldCharType="end"/>
                    </w:r>
                  </w:p>
                </w:txbxContent>
              </v:textbox>
            </v:shape>
          </w:pict>
        </mc:Fallback>
      </mc:AlternateContent>
    </w:r>
  </w:p>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19</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 xmlns:a="http://schemas.openxmlformats.org/drawingml/2006/main">
                <a:graphicData uri="http://schemas.microsoft.com/office/word/2010/wordprocessingShape">
                  <wps:wsp>
                    <wps:cNvSpPr txBox="1"/>
                    <wps:spPr bwMode="auto">
                      <a:xfrm>
                        <a:off x="0" y="0"/>
                        <a:ext cx="2533015" cy="320675"/>
                      </a:xfrm>
                      <a:prstGeom prst="rect">
                        <a:avLst/>
                      </a:prstGeom>
                      <a:solidFill>
                        <a:srgbClr val="FFFFFF"/>
                      </a:solidFill>
                      <a:ln>
                        <a:noFill/>
                      </a:ln>
                    </wps:spPr>
                    <wps:txbx>
                      <w:txbxContent>
                        <w:p>
                          <w:pPr>
                            <w:jc w:val="right"/>
                            <w:rPr>
                              <w:sz w:val="14"/>
                              <w:szCs w:val="14"/>
                            </w:rPr>
                          </w:pPr>
                          <w:r>
                            <w:rPr>
                              <w:color w:val="FFFFFF" w:themeColor="background1"/>
                              <w:sz w:val="14"/>
                              <w:szCs w:val="14"/>
                              <w14:textFill>
                                <w14:solidFill>
                                  <w14:schemeClr w14:val="bg1"/>
                                </w14:solidFill>
                              </w14:textFill>
                            </w:rPr>
                            <w:t>DOI: xxx.xxx</w:t>
                          </w:r>
                        </w:p>
                      </w:txbxContent>
                    </wps:txbx>
                    <wps:bodyPr rot="0" vert="horz" wrap="square" lIns="91440" tIns="45720" rIns="91440" bIns="45720" anchor="t" anchorCtr="0" upright="1">
                      <a:noAutofit/>
                    </wps:bodyPr>
                  </wps:wsp>
                </a:graphicData>
              </a:graphic>
            </wp:anchor>
          </w:drawing>
        </mc:Choice>
        <mc:Fallback>
          <w:pict>
            <v:shape id=" 1" o:spid="_x0000_s1026" o:spt="202" type="#_x0000_t202" style="position:absolute;left:0pt;margin-left:324.9pt;margin-top:4.05pt;height:25.25pt;width:199.45pt;z-index:251659264;mso-width-relative:page;mso-height-relative:page;" fillcolor="#FFFFFF" filled="t" stroked="f" coordsize="21600,21600" o:gfxdata="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bXhFtcAAAAJAQAADwAAAAAAAAABACAAAAAiAAAAZHJzL2Rvd25yZXYu&#10;eG1sUEsBAhQAFAAAAAgAh07iQPQZbdf8AQAABgQAAA4AAAAAAAAAAQAgAAAAJgEAAGRycy9lMm9E&#10;b2MueG1sUEsFBgAAAAAGAAYAWQEAAJQFAAAAAA==&#10;">
              <v:fill on="t" focussize="0,0"/>
              <v:stroke on="f"/>
              <v:imagedata o:title=""/>
              <o:lock v:ext="edit" aspectratio="f"/>
              <v:textbox>
                <w:txbxContent>
                  <w:p>
                    <w:pPr>
                      <w:jc w:val="right"/>
                      <w:rPr>
                        <w:sz w:val="14"/>
                        <w:szCs w:val="14"/>
                      </w:rPr>
                    </w:pPr>
                    <w:r>
                      <w:rPr>
                        <w:color w:val="FFFFFF" w:themeColor="background1"/>
                        <w:sz w:val="14"/>
                        <w:szCs w:val="14"/>
                        <w14:textFill>
                          <w14:solidFill>
                            <w14:schemeClr w14:val="bg1"/>
                          </w14:solidFill>
                        </w14:textFill>
                      </w:rPr>
                      <w:t>DOI: xxx.xxx</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 xmlns:a="http://schemas.openxmlformats.org/drawingml/2006/main">
                <a:graphicData uri="http://schemas.microsoft.com/office/word/2010/wordprocessingShape">
                  <wps:wsp>
                    <wps:cNvSpPr txBox="1"/>
                    <wps:spPr bwMode="auto">
                      <a:xfrm>
                        <a:off x="0" y="0"/>
                        <a:ext cx="4072255" cy="561340"/>
                      </a:xfrm>
                      <a:prstGeom prst="rect">
                        <a:avLst/>
                      </a:prstGeom>
                      <a:solidFill>
                        <a:srgbClr val="FFFFFF"/>
                      </a:solidFill>
                      <a:ln>
                        <a:noFill/>
                      </a:ln>
                    </wps:spPr>
                    <wps:txb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wps:txbx>
                    <wps:bodyPr rot="0" vert="horz" wrap="square" lIns="91440" tIns="45720" rIns="91440" bIns="45720" anchor="t" anchorCtr="0" upright="1">
                      <a:noAutofit/>
                    </wps:bodyPr>
                  </wps:wsp>
                </a:graphicData>
              </a:graphic>
            </wp:anchor>
          </w:drawing>
        </mc:Choice>
        <mc:Fallback>
          <w:pict>
            <v:shape id=" 3" o:spid="_x0000_s1026" o:spt="202" type="#_x0000_t202" style="position:absolute;left:0pt;margin-left:0pt;margin-top:703.5pt;height:44.2pt;width:320.65pt;mso-position-horizontal-relative:margin;mso-position-vertical-relative:margin;mso-wrap-distance-bottom:0pt;mso-wrap-distance-left:9pt;mso-wrap-distance-right:9pt;mso-wrap-distance-top:0pt;z-index:251660288;mso-width-relative:page;mso-height-relative:page;" fillcolor="#FFFFFF" filled="t" stroked="f" coordsize="21600,21600" o:gfxdata="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Ms51wAAAAoBAAAPAAAAAAAAAAEAIAAAACIAAABkcnMvZG93bnJl&#10;di54bWxQSwECFAAUAAAACACHTuJAmuapsf4BAAAGBAAADgAAAAAAAAABACAAAAAmAQAAZHJzL2Uy&#10;b0RvYy54bWxQSwUGAAAAAAYABgBZAQAAlgUAAAAA&#10;">
              <v:fill on="t" focussize="0,0"/>
              <v:stroke on="f"/>
              <v:imagedata o:title=""/>
              <o:lock v:ext="edit" aspectratio="f"/>
              <v:textbo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v:textbox>
              <w10:wrap type="square"/>
            </v:shape>
          </w:pict>
        </mc:Fallback>
      </mc:AlternateContent>
    </w:r>
    <w:r>
      <w:fldChar w:fldCharType="begin"/>
    </w:r>
    <w:r>
      <w:instrText xml:space="preserve"> INFO  Title  \* MERGEFORMAT </w:instrText>
    </w:r>
    <w:r>
      <w:fldChar w:fldCharType="end"/>
    </w:r>
  </w:p>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rFonts w:hint="default"/>
        <w:sz w:val="18"/>
        <w:lang w:val="en-GB"/>
      </w:rPr>
      <w:t>Winny Andalia</w:t>
    </w:r>
    <w:r>
      <w:rPr>
        <w:sz w:val="18"/>
      </w:rPr>
      <w:t xml:space="preserve">. JUTSIE Volume </w:t>
    </w:r>
    <w:r>
      <w:rPr>
        <w:rFonts w:hint="default"/>
        <w:sz w:val="18"/>
        <w:lang w:val="en-GB"/>
      </w:rPr>
      <w:t>01</w:t>
    </w:r>
    <w:r>
      <w:rPr>
        <w:sz w:val="18"/>
      </w:rPr>
      <w:t xml:space="preserve"> No </w:t>
    </w:r>
    <w:r>
      <w:rPr>
        <w:rFonts w:hint="default"/>
        <w:sz w:val="18"/>
        <w:lang w:val="en-GB"/>
      </w:rPr>
      <w:t>01</w:t>
    </w:r>
    <w:r>
      <w:rPr>
        <w:sz w:val="18"/>
      </w:rPr>
      <w:t xml:space="preserve"> (20</w:t>
    </w:r>
    <w:r>
      <w:rPr>
        <w:rFonts w:hint="default"/>
        <w:sz w:val="18"/>
        <w:lang w:val="en-GB"/>
      </w:rPr>
      <w:t>23</w:t>
    </w:r>
    <w:r>
      <w:rPr>
        <w:sz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sz w:val="18"/>
      </w:rPr>
      <w:t>Volume 01 Nomor 0</w:t>
    </w:r>
    <w:r>
      <w:rPr>
        <w:rFonts w:hint="default"/>
        <w:sz w:val="18"/>
        <w:lang w:val="en-GB"/>
      </w:rPr>
      <w:t>1</w:t>
    </w:r>
    <w:r>
      <w:rPr>
        <w:sz w:val="18"/>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1">
    <w:nsid w:val="01E71F03"/>
    <w:multiLevelType w:val="multilevel"/>
    <w:tmpl w:val="01E71F03"/>
    <w:lvl w:ilvl="0" w:tentative="0">
      <w:start w:val="1"/>
      <w:numFmt w:val="decimal"/>
      <w:lvlText w:val="[%1]"/>
      <w:lvlJc w:val="left"/>
      <w:pPr>
        <w:ind w:left="1211" w:hanging="360"/>
      </w:pPr>
      <w:rPr>
        <w:rFonts w:hint="default"/>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189603E"/>
    <w:multiLevelType w:val="multilevel"/>
    <w:tmpl w:val="4189603E"/>
    <w:lvl w:ilvl="0" w:tentative="0">
      <w:start w:val="1"/>
      <w:numFmt w:val="decimal"/>
      <w:pStyle w:val="2"/>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decimal"/>
      <w:pStyle w:val="3"/>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decimal"/>
      <w:pStyle w:val="5"/>
      <w:lvlText w:val="%1.%2.%3.%4"/>
      <w:lvlJc w:val="left"/>
      <w:pPr>
        <w:ind w:left="864" w:hanging="864"/>
      </w:pPr>
      <w:rPr>
        <w:rFonts w:hint="default"/>
        <w:b w:val="0"/>
        <w:bCs w:val="0"/>
        <w:i/>
        <w:iCs/>
        <w:sz w:val="20"/>
        <w:szCs w:val="20"/>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c2NzIyNbUwNDQ1NDFW0lEKTi0uzszPAykwrAUApCw2jSwAAAA="/>
  </w:docVars>
  <w:rsids>
    <w:rsidRoot w:val="004D12BA"/>
    <w:rsid w:val="00000483"/>
    <w:rsid w:val="00017CA5"/>
    <w:rsid w:val="00035C3D"/>
    <w:rsid w:val="000916DC"/>
    <w:rsid w:val="00092EEA"/>
    <w:rsid w:val="0009338C"/>
    <w:rsid w:val="000B60B3"/>
    <w:rsid w:val="000C1767"/>
    <w:rsid w:val="000C6FF3"/>
    <w:rsid w:val="00110AF9"/>
    <w:rsid w:val="0015271C"/>
    <w:rsid w:val="00173088"/>
    <w:rsid w:val="00181A4D"/>
    <w:rsid w:val="001A28FB"/>
    <w:rsid w:val="001B0882"/>
    <w:rsid w:val="001C4769"/>
    <w:rsid w:val="001D3C8D"/>
    <w:rsid w:val="002233C8"/>
    <w:rsid w:val="00250399"/>
    <w:rsid w:val="00250E2D"/>
    <w:rsid w:val="00261128"/>
    <w:rsid w:val="002C06E0"/>
    <w:rsid w:val="002C2C46"/>
    <w:rsid w:val="002F1F8D"/>
    <w:rsid w:val="002F4290"/>
    <w:rsid w:val="00303AF9"/>
    <w:rsid w:val="00307522"/>
    <w:rsid w:val="00313FE4"/>
    <w:rsid w:val="0031552C"/>
    <w:rsid w:val="00334648"/>
    <w:rsid w:val="003526CD"/>
    <w:rsid w:val="00353E5A"/>
    <w:rsid w:val="00394D94"/>
    <w:rsid w:val="003C3F74"/>
    <w:rsid w:val="003C5BA2"/>
    <w:rsid w:val="003C61E9"/>
    <w:rsid w:val="003D2734"/>
    <w:rsid w:val="003D4F94"/>
    <w:rsid w:val="003F1163"/>
    <w:rsid w:val="00413531"/>
    <w:rsid w:val="0049653F"/>
    <w:rsid w:val="004D10DA"/>
    <w:rsid w:val="004D12BA"/>
    <w:rsid w:val="004F0FE3"/>
    <w:rsid w:val="004F2E06"/>
    <w:rsid w:val="00517666"/>
    <w:rsid w:val="005220FA"/>
    <w:rsid w:val="00540DE1"/>
    <w:rsid w:val="0054723B"/>
    <w:rsid w:val="005943EE"/>
    <w:rsid w:val="005A584E"/>
    <w:rsid w:val="005B7D74"/>
    <w:rsid w:val="005C7D92"/>
    <w:rsid w:val="005E5124"/>
    <w:rsid w:val="005E577B"/>
    <w:rsid w:val="005F1FF0"/>
    <w:rsid w:val="0062398F"/>
    <w:rsid w:val="00633BFC"/>
    <w:rsid w:val="006356F6"/>
    <w:rsid w:val="00644CB7"/>
    <w:rsid w:val="0066238E"/>
    <w:rsid w:val="00694947"/>
    <w:rsid w:val="006A2128"/>
    <w:rsid w:val="006D04B3"/>
    <w:rsid w:val="006E2C36"/>
    <w:rsid w:val="0071673A"/>
    <w:rsid w:val="00720C0B"/>
    <w:rsid w:val="0073270F"/>
    <w:rsid w:val="00735F60"/>
    <w:rsid w:val="007466CE"/>
    <w:rsid w:val="00747E1F"/>
    <w:rsid w:val="00782C18"/>
    <w:rsid w:val="00783FB8"/>
    <w:rsid w:val="007A2002"/>
    <w:rsid w:val="007B6EFD"/>
    <w:rsid w:val="007C18B7"/>
    <w:rsid w:val="007E1681"/>
    <w:rsid w:val="00800765"/>
    <w:rsid w:val="00811318"/>
    <w:rsid w:val="0081360E"/>
    <w:rsid w:val="008222A4"/>
    <w:rsid w:val="008313E7"/>
    <w:rsid w:val="008523D8"/>
    <w:rsid w:val="008579BA"/>
    <w:rsid w:val="00894102"/>
    <w:rsid w:val="008A3658"/>
    <w:rsid w:val="008B2C1C"/>
    <w:rsid w:val="008E70AF"/>
    <w:rsid w:val="00956C1C"/>
    <w:rsid w:val="00960537"/>
    <w:rsid w:val="0099184D"/>
    <w:rsid w:val="009A144A"/>
    <w:rsid w:val="009A23D3"/>
    <w:rsid w:val="009D75FD"/>
    <w:rsid w:val="009E719A"/>
    <w:rsid w:val="00A37243"/>
    <w:rsid w:val="00A40336"/>
    <w:rsid w:val="00A61D89"/>
    <w:rsid w:val="00A62DAB"/>
    <w:rsid w:val="00A829B5"/>
    <w:rsid w:val="00A926FD"/>
    <w:rsid w:val="00AD522E"/>
    <w:rsid w:val="00AF1439"/>
    <w:rsid w:val="00B143D7"/>
    <w:rsid w:val="00B26B11"/>
    <w:rsid w:val="00B63913"/>
    <w:rsid w:val="00B77470"/>
    <w:rsid w:val="00BA4E97"/>
    <w:rsid w:val="00BE333B"/>
    <w:rsid w:val="00C00FFF"/>
    <w:rsid w:val="00C370FE"/>
    <w:rsid w:val="00C42EAA"/>
    <w:rsid w:val="00C43189"/>
    <w:rsid w:val="00C45DAC"/>
    <w:rsid w:val="00C62F26"/>
    <w:rsid w:val="00C96FA6"/>
    <w:rsid w:val="00CB731E"/>
    <w:rsid w:val="00CF1C16"/>
    <w:rsid w:val="00D07705"/>
    <w:rsid w:val="00D07DA5"/>
    <w:rsid w:val="00D10BD7"/>
    <w:rsid w:val="00D274E5"/>
    <w:rsid w:val="00D7402D"/>
    <w:rsid w:val="00DF3E40"/>
    <w:rsid w:val="00E03A02"/>
    <w:rsid w:val="00E10058"/>
    <w:rsid w:val="00E1523A"/>
    <w:rsid w:val="00E16962"/>
    <w:rsid w:val="00E22EA0"/>
    <w:rsid w:val="00E276A3"/>
    <w:rsid w:val="00E35EAE"/>
    <w:rsid w:val="00E83307"/>
    <w:rsid w:val="00E8786F"/>
    <w:rsid w:val="00E879B9"/>
    <w:rsid w:val="00E90CA0"/>
    <w:rsid w:val="00E96DD2"/>
    <w:rsid w:val="00EA6CE4"/>
    <w:rsid w:val="00EB3ECE"/>
    <w:rsid w:val="00EC5B93"/>
    <w:rsid w:val="00ED1249"/>
    <w:rsid w:val="00ED3E8C"/>
    <w:rsid w:val="00EF46DC"/>
    <w:rsid w:val="00F41CBB"/>
    <w:rsid w:val="00F561F3"/>
    <w:rsid w:val="00F63ACF"/>
    <w:rsid w:val="00F720EF"/>
    <w:rsid w:val="00FD1152"/>
    <w:rsid w:val="00FD182A"/>
    <w:rsid w:val="00FE041E"/>
    <w:rsid w:val="106D3A0B"/>
    <w:rsid w:val="14C0309A"/>
    <w:rsid w:val="3A6069A0"/>
    <w:rsid w:val="70EB768E"/>
    <w:rsid w:val="750B30A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lang w:val="en-US" w:eastAsia="en-US" w:bidi="ar-SA"/>
    </w:rPr>
  </w:style>
  <w:style w:type="paragraph" w:styleId="2">
    <w:name w:val="heading 1"/>
    <w:basedOn w:val="1"/>
    <w:next w:val="1"/>
    <w:link w:val="28"/>
    <w:qFormat/>
    <w:uiPriority w:val="99"/>
    <w:pPr>
      <w:keepNext/>
      <w:keepLines/>
      <w:numPr>
        <w:ilvl w:val="0"/>
        <w:numId w:val="1"/>
      </w:numPr>
      <w:tabs>
        <w:tab w:val="left" w:pos="216"/>
      </w:tabs>
      <w:spacing w:before="160" w:after="120"/>
      <w:ind w:left="432" w:hanging="432"/>
      <w:outlineLvl w:val="0"/>
    </w:pPr>
    <w:rPr>
      <w:rFonts w:eastAsia="MS Mincho"/>
      <w:b/>
    </w:rPr>
  </w:style>
  <w:style w:type="paragraph" w:styleId="3">
    <w:name w:val="heading 2"/>
    <w:basedOn w:val="1"/>
    <w:next w:val="1"/>
    <w:link w:val="29"/>
    <w:qFormat/>
    <w:uiPriority w:val="99"/>
    <w:pPr>
      <w:keepNext/>
      <w:keepLines/>
      <w:numPr>
        <w:ilvl w:val="1"/>
        <w:numId w:val="1"/>
      </w:numPr>
      <w:spacing w:before="120" w:after="120"/>
      <w:ind w:left="432" w:hanging="432"/>
      <w:outlineLvl w:val="1"/>
    </w:pPr>
    <w:rPr>
      <w:rFonts w:eastAsia="MS Mincho"/>
      <w:i/>
      <w:iCs/>
    </w:rPr>
  </w:style>
  <w:style w:type="paragraph" w:styleId="4">
    <w:name w:val="heading 3"/>
    <w:basedOn w:val="1"/>
    <w:next w:val="1"/>
    <w:link w:val="30"/>
    <w:qFormat/>
    <w:uiPriority w:val="99"/>
    <w:pPr>
      <w:numPr>
        <w:ilvl w:val="2"/>
        <w:numId w:val="1"/>
      </w:numPr>
      <w:spacing w:before="120" w:after="120" w:line="240" w:lineRule="exact"/>
      <w:ind w:left="576" w:hanging="576"/>
      <w:outlineLvl w:val="2"/>
    </w:pPr>
    <w:rPr>
      <w:rFonts w:eastAsia="MS Mincho"/>
      <w:i/>
      <w:iCs/>
    </w:rPr>
  </w:style>
  <w:style w:type="paragraph" w:styleId="5">
    <w:name w:val="heading 4"/>
    <w:basedOn w:val="1"/>
    <w:next w:val="1"/>
    <w:link w:val="31"/>
    <w:qFormat/>
    <w:uiPriority w:val="99"/>
    <w:pPr>
      <w:numPr>
        <w:ilvl w:val="3"/>
        <w:numId w:val="1"/>
      </w:numPr>
      <w:tabs>
        <w:tab w:val="left" w:pos="821"/>
      </w:tabs>
      <w:spacing w:before="40" w:after="40"/>
      <w:outlineLvl w:val="3"/>
    </w:pPr>
    <w:rPr>
      <w:rFonts w:eastAsia="MS Mincho"/>
      <w:i/>
      <w:iCs/>
    </w:rPr>
  </w:style>
  <w:style w:type="paragraph" w:styleId="6">
    <w:name w:val="heading 5"/>
    <w:basedOn w:val="1"/>
    <w:next w:val="1"/>
    <w:link w:val="32"/>
    <w:qFormat/>
    <w:uiPriority w:val="9"/>
    <w:pPr>
      <w:numPr>
        <w:ilvl w:val="4"/>
        <w:numId w:val="1"/>
      </w:numPr>
      <w:tabs>
        <w:tab w:val="left" w:pos="360"/>
      </w:tabs>
      <w:spacing w:before="160" w:after="80"/>
      <w:outlineLvl w:val="4"/>
    </w:pPr>
    <w:rPr>
      <w:rFonts w:ascii="Calibri" w:hAnsi="Calibri"/>
      <w:b/>
      <w:bCs/>
      <w:i/>
      <w:iCs/>
      <w:sz w:val="26"/>
      <w:szCs w:val="26"/>
    </w:rPr>
  </w:style>
  <w:style w:type="paragraph" w:styleId="7">
    <w:name w:val="heading 6"/>
    <w:basedOn w:val="1"/>
    <w:next w:val="1"/>
    <w:link w:val="45"/>
    <w:semiHidden/>
    <w:unhideWhenUsed/>
    <w:qFormat/>
    <w:uiPriority w:val="9"/>
    <w:pPr>
      <w:keepNext/>
      <w:keepLines/>
      <w:numPr>
        <w:ilvl w:val="5"/>
        <w:numId w:val="1"/>
      </w:numPr>
      <w:spacing w:before="200"/>
      <w:outlineLvl w:val="5"/>
    </w:pPr>
    <w:rPr>
      <w:rFonts w:ascii="Cambria" w:hAnsi="Cambria"/>
      <w:i/>
      <w:iCs/>
      <w:color w:val="243F60"/>
    </w:rPr>
  </w:style>
  <w:style w:type="paragraph" w:styleId="8">
    <w:name w:val="heading 7"/>
    <w:basedOn w:val="1"/>
    <w:next w:val="1"/>
    <w:link w:val="46"/>
    <w:semiHidden/>
    <w:unhideWhenUsed/>
    <w:qFormat/>
    <w:uiPriority w:val="9"/>
    <w:pPr>
      <w:keepNext/>
      <w:keepLines/>
      <w:numPr>
        <w:ilvl w:val="6"/>
        <w:numId w:val="1"/>
      </w:numPr>
      <w:spacing w:before="200"/>
      <w:outlineLvl w:val="6"/>
    </w:pPr>
    <w:rPr>
      <w:rFonts w:ascii="Cambria" w:hAnsi="Cambria"/>
      <w:i/>
      <w:iCs/>
      <w:color w:val="404040"/>
    </w:rPr>
  </w:style>
  <w:style w:type="paragraph" w:styleId="9">
    <w:name w:val="heading 8"/>
    <w:basedOn w:val="1"/>
    <w:next w:val="1"/>
    <w:link w:val="47"/>
    <w:semiHidden/>
    <w:unhideWhenUsed/>
    <w:qFormat/>
    <w:uiPriority w:val="9"/>
    <w:pPr>
      <w:keepNext/>
      <w:keepLines/>
      <w:numPr>
        <w:ilvl w:val="7"/>
        <w:numId w:val="1"/>
      </w:numPr>
      <w:spacing w:before="200"/>
      <w:outlineLvl w:val="7"/>
    </w:pPr>
    <w:rPr>
      <w:rFonts w:ascii="Cambria" w:hAnsi="Cambria"/>
      <w:color w:val="404040"/>
    </w:rPr>
  </w:style>
  <w:style w:type="paragraph" w:styleId="10">
    <w:name w:val="heading 9"/>
    <w:basedOn w:val="1"/>
    <w:next w:val="1"/>
    <w:link w:val="48"/>
    <w:semiHidden/>
    <w:unhideWhenUsed/>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semiHidden/>
    <w:unhideWhenUsed/>
    <w:qFormat/>
    <w:uiPriority w:val="99"/>
    <w:rPr>
      <w:rFonts w:ascii="Tahoma" w:hAnsi="Tahoma" w:cs="Tahoma"/>
      <w:sz w:val="16"/>
      <w:szCs w:val="16"/>
    </w:rPr>
  </w:style>
  <w:style w:type="paragraph" w:styleId="14">
    <w:name w:val="Body Text"/>
    <w:basedOn w:val="1"/>
    <w:link w:val="43"/>
    <w:semiHidden/>
    <w:unhideWhenUsed/>
    <w:qFormat/>
    <w:uiPriority w:val="99"/>
    <w:pPr>
      <w:spacing w:after="120"/>
    </w:pPr>
  </w:style>
  <w:style w:type="paragraph" w:styleId="15">
    <w:name w:val="Body Text 2"/>
    <w:basedOn w:val="1"/>
    <w:link w:val="41"/>
    <w:unhideWhenUsed/>
    <w:qFormat/>
    <w:uiPriority w:val="99"/>
    <w:pPr>
      <w:spacing w:after="120" w:line="480" w:lineRule="auto"/>
    </w:pPr>
  </w:style>
  <w:style w:type="paragraph" w:styleId="16">
    <w:name w:val="Body Text Indent"/>
    <w:basedOn w:val="1"/>
    <w:link w:val="42"/>
    <w:semiHidden/>
    <w:unhideWhenUsed/>
    <w:qFormat/>
    <w:uiPriority w:val="99"/>
    <w:pPr>
      <w:spacing w:after="120"/>
      <w:ind w:left="360"/>
    </w:pPr>
  </w:style>
  <w:style w:type="paragraph" w:styleId="17">
    <w:name w:val="caption"/>
    <w:basedOn w:val="1"/>
    <w:next w:val="1"/>
    <w:unhideWhenUsed/>
    <w:qFormat/>
    <w:uiPriority w:val="35"/>
    <w:pPr>
      <w:spacing w:line="360" w:lineRule="auto"/>
      <w:jc w:val="left"/>
    </w:pPr>
    <w:rPr>
      <w:bCs/>
      <w:sz w:val="16"/>
      <w:szCs w:val="18"/>
    </w:rPr>
  </w:style>
  <w:style w:type="character" w:styleId="18">
    <w:name w:val="Emphasis"/>
    <w:qFormat/>
    <w:uiPriority w:val="20"/>
    <w:rPr>
      <w:rFonts w:ascii="Times New Roman" w:hAnsi="Times New Roman"/>
      <w:iCs/>
      <w:sz w:val="24"/>
    </w:rPr>
  </w:style>
  <w:style w:type="paragraph" w:styleId="19">
    <w:name w:val="footer"/>
    <w:basedOn w:val="1"/>
    <w:link w:val="35"/>
    <w:unhideWhenUsed/>
    <w:qFormat/>
    <w:uiPriority w:val="99"/>
    <w:pPr>
      <w:tabs>
        <w:tab w:val="center" w:pos="4680"/>
        <w:tab w:val="right" w:pos="9360"/>
      </w:tabs>
    </w:pPr>
  </w:style>
  <w:style w:type="paragraph" w:styleId="20">
    <w:name w:val="header"/>
    <w:basedOn w:val="1"/>
    <w:link w:val="34"/>
    <w:unhideWhenUsed/>
    <w:qFormat/>
    <w:uiPriority w:val="99"/>
    <w:pPr>
      <w:tabs>
        <w:tab w:val="center" w:pos="4680"/>
        <w:tab w:val="right" w:pos="9360"/>
      </w:tabs>
    </w:pPr>
  </w:style>
  <w:style w:type="character" w:styleId="21">
    <w:name w:val="Hyperlink"/>
    <w:unhideWhenUsed/>
    <w:qFormat/>
    <w:uiPriority w:val="99"/>
    <w:rPr>
      <w:color w:val="0000FF"/>
      <w:u w:val="single"/>
    </w:rPr>
  </w:style>
  <w:style w:type="paragraph" w:styleId="22">
    <w:name w:val="List Number 2"/>
    <w:basedOn w:val="1"/>
    <w:qFormat/>
    <w:uiPriority w:val="0"/>
    <w:pPr>
      <w:numPr>
        <w:ilvl w:val="0"/>
        <w:numId w:val="2"/>
      </w:numPr>
      <w:jc w:val="left"/>
    </w:pPr>
  </w:style>
  <w:style w:type="paragraph" w:styleId="23">
    <w:name w:val="Normal (Web)"/>
    <w:basedOn w:val="1"/>
    <w:qFormat/>
    <w:uiPriority w:val="99"/>
    <w:pPr>
      <w:spacing w:before="100" w:beforeAutospacing="1" w:after="100" w:afterAutospacing="1"/>
      <w:jc w:val="left"/>
    </w:pPr>
    <w:rPr>
      <w:rFonts w:ascii="Calibri" w:hAnsi="Calibri"/>
      <w:szCs w:val="24"/>
      <w:lang w:eastAsia="zh-CN"/>
    </w:rPr>
  </w:style>
  <w:style w:type="character" w:styleId="24">
    <w:name w:val="Strong"/>
    <w:qFormat/>
    <w:uiPriority w:val="22"/>
    <w:rPr>
      <w:rFonts w:ascii="Times New Roman" w:hAnsi="Times New Roman"/>
      <w:bCs/>
      <w:sz w:val="18"/>
    </w:rPr>
  </w:style>
  <w:style w:type="paragraph" w:styleId="25">
    <w:name w:val="Subtitle"/>
    <w:basedOn w:val="1"/>
    <w:next w:val="1"/>
    <w:link w:val="49"/>
    <w:qFormat/>
    <w:uiPriority w:val="11"/>
    <w:rPr>
      <w:iCs/>
      <w:sz w:val="16"/>
      <w:szCs w:val="24"/>
    </w:rPr>
  </w:style>
  <w:style w:type="table" w:styleId="26">
    <w:name w:val="Table Grid"/>
    <w:basedOn w:val="12"/>
    <w:qFormat/>
    <w:uiPriority w:val="59"/>
    <w:rPr>
      <w:rFonts w:eastAsia="Calibri"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paragraph" w:styleId="27">
    <w:name w:val="Title"/>
    <w:basedOn w:val="1"/>
    <w:next w:val="1"/>
    <w:link w:val="36"/>
    <w:qFormat/>
    <w:uiPriority w:val="0"/>
    <w:pPr>
      <w:spacing w:before="120" w:after="300" w:line="274" w:lineRule="auto"/>
    </w:pPr>
    <w:rPr>
      <w:b/>
      <w:spacing w:val="5"/>
      <w:kern w:val="28"/>
      <w:sz w:val="32"/>
      <w:szCs w:val="52"/>
      <w:lang w:val="en-MY" w:eastAsia="en-MY"/>
    </w:rPr>
  </w:style>
  <w:style w:type="character" w:customStyle="1" w:styleId="28">
    <w:name w:val="Heading 1 Char"/>
    <w:link w:val="2"/>
    <w:qFormat/>
    <w:uiPriority w:val="99"/>
    <w:rPr>
      <w:rFonts w:ascii="Times New Roman" w:hAnsi="Times New Roman" w:eastAsia="MS Mincho"/>
      <w:b/>
    </w:rPr>
  </w:style>
  <w:style w:type="character" w:customStyle="1" w:styleId="29">
    <w:name w:val="Heading 2 Char"/>
    <w:link w:val="3"/>
    <w:qFormat/>
    <w:uiPriority w:val="99"/>
    <w:rPr>
      <w:rFonts w:ascii="Times New Roman" w:hAnsi="Times New Roman" w:eastAsia="MS Mincho"/>
      <w:i/>
      <w:iCs/>
    </w:rPr>
  </w:style>
  <w:style w:type="character" w:customStyle="1" w:styleId="30">
    <w:name w:val="Heading 3 Char"/>
    <w:link w:val="4"/>
    <w:qFormat/>
    <w:uiPriority w:val="99"/>
    <w:rPr>
      <w:rFonts w:ascii="Times New Roman" w:hAnsi="Times New Roman" w:eastAsia="MS Mincho"/>
      <w:i/>
      <w:iCs/>
    </w:rPr>
  </w:style>
  <w:style w:type="character" w:customStyle="1" w:styleId="31">
    <w:name w:val="Heading 4 Char"/>
    <w:link w:val="5"/>
    <w:qFormat/>
    <w:uiPriority w:val="99"/>
    <w:rPr>
      <w:rFonts w:ascii="Times New Roman" w:hAnsi="Times New Roman" w:eastAsia="MS Mincho"/>
      <w:i/>
      <w:iCs/>
    </w:rPr>
  </w:style>
  <w:style w:type="character" w:customStyle="1" w:styleId="32">
    <w:name w:val="Heading 5 Char"/>
    <w:link w:val="6"/>
    <w:qFormat/>
    <w:uiPriority w:val="9"/>
    <w:rPr>
      <w:b/>
      <w:bCs/>
      <w:i/>
      <w:iCs/>
      <w:sz w:val="26"/>
      <w:szCs w:val="26"/>
    </w:rPr>
  </w:style>
  <w:style w:type="character" w:customStyle="1" w:styleId="33">
    <w:name w:val="Balloon Text Char"/>
    <w:link w:val="13"/>
    <w:semiHidden/>
    <w:qFormat/>
    <w:uiPriority w:val="99"/>
    <w:rPr>
      <w:rFonts w:ascii="Tahoma" w:hAnsi="Tahoma" w:cs="Tahoma"/>
      <w:sz w:val="16"/>
      <w:szCs w:val="16"/>
    </w:rPr>
  </w:style>
  <w:style w:type="character" w:customStyle="1" w:styleId="34">
    <w:name w:val="Header Char"/>
    <w:link w:val="20"/>
    <w:qFormat/>
    <w:uiPriority w:val="99"/>
    <w:rPr>
      <w:rFonts w:ascii="Times New Roman" w:hAnsi="Times New Roman"/>
    </w:rPr>
  </w:style>
  <w:style w:type="character" w:customStyle="1" w:styleId="35">
    <w:name w:val="Footer Char"/>
    <w:link w:val="19"/>
    <w:qFormat/>
    <w:uiPriority w:val="99"/>
    <w:rPr>
      <w:rFonts w:ascii="Times New Roman" w:hAnsi="Times New Roman"/>
    </w:rPr>
  </w:style>
  <w:style w:type="character" w:customStyle="1" w:styleId="36">
    <w:name w:val="Title Char"/>
    <w:link w:val="27"/>
    <w:qFormat/>
    <w:uiPriority w:val="0"/>
    <w:rPr>
      <w:rFonts w:ascii="Times New Roman" w:hAnsi="Times New Roman" w:eastAsia="Times New Roman" w:cs="Times New Roman"/>
      <w:b/>
      <w:spacing w:val="5"/>
      <w:kern w:val="28"/>
      <w:sz w:val="32"/>
      <w:szCs w:val="52"/>
      <w:lang w:val="en-MY" w:eastAsia="en-MY"/>
    </w:rPr>
  </w:style>
  <w:style w:type="character" w:customStyle="1" w:styleId="37">
    <w:name w:val="Intense Emphasis"/>
    <w:qFormat/>
    <w:uiPriority w:val="21"/>
    <w:rPr>
      <w:rFonts w:ascii="Times New Roman" w:hAnsi="Times New Roman"/>
      <w:bCs/>
      <w:iCs/>
      <w:color w:val="auto"/>
      <w:sz w:val="20"/>
    </w:rPr>
  </w:style>
  <w:style w:type="character" w:customStyle="1" w:styleId="38">
    <w:name w:val="Subtle Emphasis"/>
    <w:qFormat/>
    <w:uiPriority w:val="19"/>
    <w:rPr>
      <w:rFonts w:ascii="Times New Roman" w:hAnsi="Times New Roman"/>
      <w:iCs/>
      <w:color w:val="auto"/>
      <w:sz w:val="13"/>
    </w:rPr>
  </w:style>
  <w:style w:type="paragraph" w:styleId="39">
    <w:name w:val="Quote"/>
    <w:basedOn w:val="1"/>
    <w:next w:val="1"/>
    <w:link w:val="40"/>
    <w:qFormat/>
    <w:uiPriority w:val="29"/>
    <w:pPr>
      <w:spacing w:line="274" w:lineRule="auto"/>
    </w:pPr>
    <w:rPr>
      <w:iCs/>
      <w:color w:val="000000"/>
      <w:sz w:val="14"/>
    </w:rPr>
  </w:style>
  <w:style w:type="character" w:customStyle="1" w:styleId="40">
    <w:name w:val="Quote Char"/>
    <w:link w:val="39"/>
    <w:qFormat/>
    <w:uiPriority w:val="29"/>
    <w:rPr>
      <w:rFonts w:ascii="Times New Roman" w:hAnsi="Times New Roman"/>
      <w:iCs/>
      <w:color w:val="000000"/>
      <w:sz w:val="14"/>
    </w:rPr>
  </w:style>
  <w:style w:type="character" w:customStyle="1" w:styleId="41">
    <w:name w:val="Body Text 2 Char"/>
    <w:link w:val="15"/>
    <w:qFormat/>
    <w:uiPriority w:val="99"/>
    <w:rPr>
      <w:rFonts w:ascii="Times New Roman" w:hAnsi="Times New Roman"/>
    </w:rPr>
  </w:style>
  <w:style w:type="character" w:customStyle="1" w:styleId="42">
    <w:name w:val="Body Text Indent Char"/>
    <w:link w:val="16"/>
    <w:semiHidden/>
    <w:qFormat/>
    <w:uiPriority w:val="99"/>
    <w:rPr>
      <w:rFonts w:ascii="Times New Roman" w:hAnsi="Times New Roman"/>
    </w:rPr>
  </w:style>
  <w:style w:type="character" w:customStyle="1" w:styleId="43">
    <w:name w:val="Body Text Char"/>
    <w:link w:val="14"/>
    <w:semiHidden/>
    <w:qFormat/>
    <w:uiPriority w:val="99"/>
    <w:rPr>
      <w:rFonts w:ascii="Times New Roman" w:hAnsi="Times New Roman"/>
    </w:rPr>
  </w:style>
  <w:style w:type="paragraph" w:styleId="44">
    <w:name w:val="List Paragraph"/>
    <w:basedOn w:val="1"/>
    <w:qFormat/>
    <w:uiPriority w:val="34"/>
    <w:pPr>
      <w:ind w:left="720"/>
      <w:contextualSpacing/>
      <w:jc w:val="left"/>
    </w:pPr>
  </w:style>
  <w:style w:type="character" w:customStyle="1" w:styleId="45">
    <w:name w:val="Heading 6 Char"/>
    <w:link w:val="7"/>
    <w:semiHidden/>
    <w:qFormat/>
    <w:uiPriority w:val="9"/>
    <w:rPr>
      <w:rFonts w:ascii="Cambria" w:hAnsi="Cambria" w:eastAsia="Times New Roman" w:cs="Times New Roman"/>
      <w:i/>
      <w:iCs/>
      <w:color w:val="243F60"/>
    </w:rPr>
  </w:style>
  <w:style w:type="character" w:customStyle="1" w:styleId="46">
    <w:name w:val="Heading 7 Char"/>
    <w:link w:val="8"/>
    <w:semiHidden/>
    <w:qFormat/>
    <w:uiPriority w:val="9"/>
    <w:rPr>
      <w:rFonts w:ascii="Cambria" w:hAnsi="Cambria" w:eastAsia="Times New Roman" w:cs="Times New Roman"/>
      <w:i/>
      <w:iCs/>
      <w:color w:val="404040"/>
    </w:rPr>
  </w:style>
  <w:style w:type="character" w:customStyle="1" w:styleId="47">
    <w:name w:val="Heading 8 Char"/>
    <w:link w:val="9"/>
    <w:semiHidden/>
    <w:qFormat/>
    <w:uiPriority w:val="9"/>
    <w:rPr>
      <w:rFonts w:ascii="Cambria" w:hAnsi="Cambria" w:eastAsia="Times New Roman" w:cs="Times New Roman"/>
      <w:color w:val="404040"/>
    </w:rPr>
  </w:style>
  <w:style w:type="character" w:customStyle="1" w:styleId="48">
    <w:name w:val="Heading 9 Char"/>
    <w:link w:val="10"/>
    <w:semiHidden/>
    <w:qFormat/>
    <w:uiPriority w:val="9"/>
    <w:rPr>
      <w:rFonts w:ascii="Cambria" w:hAnsi="Cambria" w:eastAsia="Times New Roman" w:cs="Times New Roman"/>
      <w:i/>
      <w:iCs/>
      <w:color w:val="404040"/>
    </w:rPr>
  </w:style>
  <w:style w:type="character" w:customStyle="1" w:styleId="49">
    <w:name w:val="Subtitle Char"/>
    <w:link w:val="25"/>
    <w:qFormat/>
    <w:uiPriority w:val="11"/>
    <w:rPr>
      <w:rFonts w:ascii="Times New Roman" w:hAnsi="Times New Roman" w:eastAsia="Times New Roman" w:cs="Times New Roman"/>
      <w:iCs/>
      <w:sz w:val="16"/>
      <w:szCs w:val="24"/>
    </w:rPr>
  </w:style>
  <w:style w:type="character" w:customStyle="1" w:styleId="50">
    <w:name w:val="Unresolved Mention1"/>
    <w:semiHidden/>
    <w:unhideWhenUsed/>
    <w:qFormat/>
    <w:uiPriority w:val="99"/>
    <w:rPr>
      <w:color w:val="605E5C"/>
      <w:shd w:val="clear" w:color="auto" w:fill="E1DFDD"/>
    </w:rPr>
  </w:style>
  <w:style w:type="table" w:customStyle="1" w:styleId="51">
    <w:name w:val="Plain Table 21"/>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52">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BA518-FDE7-4A30-BA8D-0BEE410D1AFE}">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5</Pages>
  <Words>3064</Words>
  <Characters>17468</Characters>
  <Lines>145</Lines>
  <Paragraphs>40</Paragraphs>
  <TotalTime>14</TotalTime>
  <ScaleCrop>false</ScaleCrop>
  <LinksUpToDate>false</LinksUpToDate>
  <CharactersWithSpaces>20492</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2023-03-22T15:31:00Z</dcterms:created>
  <dc:creator>Lenovo</dc:creator>
  <cp:lastModifiedBy>User</cp:lastModifiedBy>
  <dcterms:modified xsi:type="dcterms:W3CDTF">2023-05-29T07:15:53Z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KSOProductBuildVer">
    <vt:lpwstr>1033-11.2.0.11537</vt:lpwstr>
  </property>
  <property fmtid="{D5CDD505-2E9C-101B-9397-08002B2CF9AE}" pid="4" name="ICV">
    <vt:lpwstr>6A8B45C93F2B4D808738BDDD621B4B54</vt:lpwstr>
  </property>
</Properties>
</file>