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EDD9B">
      <w:pPr>
        <w:pStyle w:val="2"/>
        <w:rPr>
          <w:b/>
          <w:bCs/>
          <w:color w:val="auto"/>
          <w:szCs w:val="24"/>
        </w:rPr>
      </w:pPr>
    </w:p>
    <w:p w14:paraId="0080A684">
      <w:pPr>
        <w:spacing w:after="0" w:line="276" w:lineRule="auto"/>
        <w:ind w:left="54" w:firstLine="0"/>
        <w:jc w:val="center"/>
        <w:rPr>
          <w:b/>
          <w:bCs/>
          <w:color w:val="auto"/>
          <w:sz w:val="28"/>
          <w:szCs w:val="28"/>
        </w:rPr>
      </w:pPr>
      <w:r>
        <w:rPr>
          <w:b/>
          <w:bCs/>
          <w:color w:val="auto"/>
          <w:sz w:val="28"/>
          <w:szCs w:val="28"/>
        </w:rPr>
        <w:t>PENGARUH DEBT TO EQUITY RATIO (DER) DAN RETURN</w:t>
      </w:r>
    </w:p>
    <w:p w14:paraId="6280C083">
      <w:pPr>
        <w:spacing w:after="0" w:line="276" w:lineRule="auto"/>
        <w:ind w:left="54" w:firstLine="0"/>
        <w:jc w:val="center"/>
        <w:rPr>
          <w:b/>
          <w:bCs/>
          <w:color w:val="auto"/>
          <w:sz w:val="28"/>
          <w:szCs w:val="28"/>
        </w:rPr>
      </w:pPr>
      <w:r>
        <w:rPr>
          <w:b/>
          <w:bCs/>
          <w:color w:val="auto"/>
          <w:sz w:val="28"/>
          <w:szCs w:val="28"/>
        </w:rPr>
        <w:t>ON EQUITY (ROE) TERHADAP HARGA SAHAM DENGAN</w:t>
      </w:r>
    </w:p>
    <w:p w14:paraId="00664207">
      <w:pPr>
        <w:spacing w:after="0" w:line="276" w:lineRule="auto"/>
        <w:ind w:left="54" w:firstLine="0"/>
        <w:jc w:val="center"/>
        <w:rPr>
          <w:b/>
          <w:bCs/>
          <w:color w:val="auto"/>
          <w:sz w:val="28"/>
          <w:szCs w:val="28"/>
        </w:rPr>
      </w:pPr>
      <w:r>
        <w:rPr>
          <w:b/>
          <w:bCs/>
          <w:color w:val="auto"/>
          <w:sz w:val="28"/>
          <w:szCs w:val="28"/>
        </w:rPr>
        <w:t>KEBIJAKAN DIVIDEN SEBAGAI VARIABEL MODERASI</w:t>
      </w:r>
    </w:p>
    <w:p w14:paraId="6DFFBCB7">
      <w:pPr>
        <w:spacing w:after="0" w:line="276" w:lineRule="auto"/>
        <w:ind w:left="54" w:firstLine="0"/>
        <w:jc w:val="center"/>
        <w:rPr>
          <w:b/>
          <w:bCs/>
          <w:color w:val="auto"/>
          <w:sz w:val="28"/>
          <w:szCs w:val="28"/>
        </w:rPr>
      </w:pPr>
      <w:r>
        <w:rPr>
          <w:b/>
          <w:bCs/>
          <w:color w:val="auto"/>
          <w:sz w:val="28"/>
          <w:szCs w:val="28"/>
        </w:rPr>
        <w:t>(Studi Kasus Pada Perusahaan Manufaktur Di Bursa Efek Indonesia (BEI) Tahun 2021-2023)</w:t>
      </w:r>
    </w:p>
    <w:p w14:paraId="06F79ED6">
      <w:pPr>
        <w:spacing w:after="0" w:line="360" w:lineRule="auto"/>
        <w:ind w:left="10" w:right="5"/>
        <w:jc w:val="center"/>
        <w:rPr>
          <w:b/>
          <w:bCs/>
          <w:color w:val="auto"/>
          <w:sz w:val="32"/>
          <w:szCs w:val="32"/>
        </w:rPr>
      </w:pPr>
    </w:p>
    <w:p w14:paraId="4C81F42B">
      <w:pPr>
        <w:spacing w:after="0" w:line="360" w:lineRule="auto"/>
        <w:ind w:left="0" w:right="5" w:firstLine="0"/>
        <w:rPr>
          <w:b/>
          <w:bCs/>
          <w:color w:val="auto"/>
          <w:sz w:val="32"/>
          <w:szCs w:val="32"/>
        </w:rPr>
      </w:pPr>
    </w:p>
    <w:p w14:paraId="3080E413">
      <w:pPr>
        <w:spacing w:after="0" w:line="360" w:lineRule="auto"/>
        <w:ind w:left="0" w:firstLine="0"/>
        <w:jc w:val="center"/>
        <w:rPr>
          <w:color w:val="auto"/>
        </w:rPr>
      </w:pPr>
    </w:p>
    <w:p w14:paraId="5BBA6732">
      <w:pPr>
        <w:spacing w:after="0" w:line="360" w:lineRule="auto"/>
        <w:ind w:left="54" w:firstLine="0"/>
        <w:jc w:val="center"/>
        <w:rPr>
          <w:color w:val="auto"/>
        </w:rPr>
      </w:pPr>
    </w:p>
    <w:p w14:paraId="1915CF25">
      <w:pPr>
        <w:spacing w:after="0" w:line="360" w:lineRule="auto"/>
        <w:ind w:left="56" w:firstLine="0"/>
        <w:jc w:val="center"/>
        <w:rPr>
          <w:color w:val="auto"/>
        </w:rPr>
      </w:pPr>
      <w:r>
        <w:rPr>
          <w:color w:val="auto"/>
        </w:rPr>
        <w:drawing>
          <wp:inline distT="0" distB="0" distL="0" distR="0">
            <wp:extent cx="1439545" cy="1439545"/>
            <wp:effectExtent l="0" t="0" r="8255" b="8255"/>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9"/>
                    <a:stretch>
                      <a:fillRect/>
                    </a:stretch>
                  </pic:blipFill>
                  <pic:spPr>
                    <a:xfrm>
                      <a:off x="0" y="0"/>
                      <a:ext cx="1440000" cy="1440000"/>
                    </a:xfrm>
                    <a:prstGeom prst="rect">
                      <a:avLst/>
                    </a:prstGeom>
                  </pic:spPr>
                </pic:pic>
              </a:graphicData>
            </a:graphic>
          </wp:inline>
        </w:drawing>
      </w:r>
    </w:p>
    <w:p w14:paraId="74B87A15">
      <w:pPr>
        <w:spacing w:after="0" w:line="360" w:lineRule="auto"/>
        <w:ind w:left="54" w:firstLine="0"/>
        <w:jc w:val="center"/>
        <w:rPr>
          <w:color w:val="auto"/>
        </w:rPr>
      </w:pPr>
    </w:p>
    <w:p w14:paraId="643067F2">
      <w:pPr>
        <w:spacing w:after="0" w:line="360" w:lineRule="auto"/>
        <w:ind w:left="54" w:firstLine="0"/>
        <w:jc w:val="center"/>
        <w:rPr>
          <w:color w:val="auto"/>
        </w:rPr>
      </w:pPr>
    </w:p>
    <w:p w14:paraId="3010938B">
      <w:pPr>
        <w:spacing w:after="0" w:line="360" w:lineRule="auto"/>
        <w:ind w:left="10"/>
        <w:jc w:val="center"/>
        <w:rPr>
          <w:b/>
          <w:bCs/>
          <w:color w:val="auto"/>
        </w:rPr>
      </w:pPr>
      <w:r>
        <w:rPr>
          <w:b/>
          <w:bCs/>
          <w:color w:val="auto"/>
        </w:rPr>
        <w:t>Oleh:</w:t>
      </w:r>
    </w:p>
    <w:p w14:paraId="06F9132A">
      <w:pPr>
        <w:spacing w:after="0" w:line="360" w:lineRule="auto"/>
        <w:ind w:left="10" w:right="6"/>
        <w:jc w:val="center"/>
        <w:rPr>
          <w:b/>
          <w:bCs/>
          <w:color w:val="auto"/>
        </w:rPr>
      </w:pPr>
      <w:r>
        <w:rPr>
          <w:b/>
          <w:bCs/>
          <w:color w:val="auto"/>
        </w:rPr>
        <w:t>DHANDY DWI KUSUMA WARDANA</w:t>
      </w:r>
    </w:p>
    <w:p w14:paraId="434C36DD">
      <w:pPr>
        <w:spacing w:after="0" w:line="360" w:lineRule="auto"/>
        <w:ind w:left="10" w:right="6"/>
        <w:jc w:val="center"/>
        <w:rPr>
          <w:b/>
          <w:bCs/>
          <w:color w:val="auto"/>
        </w:rPr>
      </w:pPr>
      <w:r>
        <w:rPr>
          <w:b/>
          <w:bCs/>
          <w:color w:val="auto"/>
        </w:rPr>
        <w:t>Dosen Pembimbing :</w:t>
      </w:r>
    </w:p>
    <w:p w14:paraId="4F56CC91">
      <w:pPr>
        <w:spacing w:after="0" w:line="360" w:lineRule="auto"/>
        <w:ind w:left="2214" w:firstLine="0"/>
        <w:rPr>
          <w:b/>
          <w:bCs/>
          <w:color w:val="auto"/>
        </w:rPr>
      </w:pPr>
      <w:r>
        <w:rPr>
          <w:b/>
          <w:bCs/>
          <w:color w:val="auto"/>
        </w:rPr>
        <w:t xml:space="preserve">1. Dewi Kirowati, S.E., M.M   </w:t>
      </w:r>
    </w:p>
    <w:p w14:paraId="7ED588D3">
      <w:pPr>
        <w:spacing w:after="0" w:line="360" w:lineRule="auto"/>
        <w:ind w:left="1494" w:firstLine="666"/>
        <w:rPr>
          <w:b/>
          <w:bCs/>
          <w:color w:val="auto"/>
        </w:rPr>
      </w:pPr>
      <w:r>
        <w:rPr>
          <w:b/>
          <w:bCs/>
          <w:color w:val="auto"/>
        </w:rPr>
        <w:t xml:space="preserve"> 2. Permatasari Cahyaningdyah, S.E., M.Sc.</w:t>
      </w:r>
    </w:p>
    <w:p w14:paraId="4FF2C066">
      <w:pPr>
        <w:spacing w:after="0" w:line="360" w:lineRule="auto"/>
        <w:ind w:left="0" w:firstLine="0"/>
        <w:rPr>
          <w:b/>
          <w:bCs/>
          <w:color w:val="auto"/>
        </w:rPr>
      </w:pPr>
    </w:p>
    <w:p w14:paraId="2ECBEE36">
      <w:pPr>
        <w:spacing w:after="0" w:line="360" w:lineRule="auto"/>
        <w:ind w:left="0" w:firstLine="0"/>
        <w:jc w:val="center"/>
        <w:rPr>
          <w:b/>
          <w:bCs/>
          <w:color w:val="auto"/>
        </w:rPr>
      </w:pPr>
    </w:p>
    <w:p w14:paraId="607E4955">
      <w:pPr>
        <w:spacing w:after="0" w:line="360" w:lineRule="auto"/>
        <w:ind w:left="10" w:right="7"/>
        <w:jc w:val="center"/>
        <w:rPr>
          <w:b/>
          <w:bCs/>
          <w:color w:val="auto"/>
        </w:rPr>
      </w:pPr>
      <w:r>
        <w:rPr>
          <w:b/>
          <w:bCs/>
          <w:color w:val="auto"/>
        </w:rPr>
        <w:t>PROGRAM STUDI AKUNTANSI PERPAJAKAN</w:t>
      </w:r>
    </w:p>
    <w:p w14:paraId="67D0392A">
      <w:pPr>
        <w:spacing w:after="0" w:line="360" w:lineRule="auto"/>
        <w:ind w:left="1152" w:right="1090"/>
        <w:jc w:val="center"/>
        <w:rPr>
          <w:b/>
          <w:bCs/>
          <w:color w:val="auto"/>
        </w:rPr>
      </w:pPr>
      <w:r>
        <w:rPr>
          <w:b/>
          <w:bCs/>
          <w:color w:val="auto"/>
        </w:rPr>
        <w:t>JURUSAN AKUNTANSI</w:t>
      </w:r>
    </w:p>
    <w:p w14:paraId="3A2DE0B1">
      <w:pPr>
        <w:spacing w:after="0" w:line="360" w:lineRule="auto"/>
        <w:ind w:left="1152" w:right="1090"/>
        <w:jc w:val="center"/>
        <w:rPr>
          <w:b/>
          <w:bCs/>
          <w:color w:val="auto"/>
        </w:rPr>
      </w:pPr>
      <w:r>
        <w:rPr>
          <w:b/>
          <w:bCs/>
          <w:color w:val="auto"/>
        </w:rPr>
        <w:t>POLITEKNIK NEGERI MADIUN</w:t>
      </w:r>
    </w:p>
    <w:p w14:paraId="0D11B760">
      <w:pPr>
        <w:spacing w:after="0" w:line="360" w:lineRule="auto"/>
        <w:ind w:left="10" w:right="6"/>
        <w:jc w:val="center"/>
        <w:rPr>
          <w:b/>
          <w:bCs/>
          <w:color w:val="auto"/>
        </w:rPr>
      </w:pPr>
      <w:r>
        <w:rPr>
          <w:b/>
          <w:bCs/>
          <w:color w:val="auto"/>
        </w:rPr>
        <w:t xml:space="preserve"> Juli 2025</w:t>
      </w:r>
    </w:p>
    <w:p w14:paraId="570BF346">
      <w:pPr>
        <w:spacing w:after="160" w:line="259" w:lineRule="auto"/>
        <w:ind w:left="0" w:firstLine="0"/>
        <w:jc w:val="left"/>
        <w:rPr>
          <w:b/>
          <w:bCs/>
          <w:color w:val="auto"/>
          <w:szCs w:val="24"/>
        </w:rPr>
      </w:pPr>
    </w:p>
    <w:p w14:paraId="2521A41E">
      <w:pPr>
        <w:pStyle w:val="2"/>
        <w:rPr>
          <w:b/>
          <w:bCs/>
          <w:color w:val="auto"/>
          <w:szCs w:val="24"/>
        </w:rPr>
      </w:pPr>
      <w:r>
        <w:rPr>
          <w:b/>
          <w:bCs/>
          <w:color w:val="auto"/>
          <w:szCs w:val="24"/>
        </w:rPr>
        <w:t>ABSTRAK</w:t>
      </w:r>
    </w:p>
    <w:p w14:paraId="16A1D0A4">
      <w:pPr>
        <w:spacing w:after="0"/>
        <w:rPr>
          <w:color w:val="auto"/>
          <w:lang w:val="en-US" w:eastAsia="en-US"/>
        </w:rPr>
      </w:pPr>
    </w:p>
    <w:p w14:paraId="58CDF0D4">
      <w:pPr>
        <w:spacing w:after="0" w:line="240" w:lineRule="auto"/>
        <w:jc w:val="center"/>
        <w:rPr>
          <w:color w:val="auto"/>
          <w:szCs w:val="24"/>
        </w:rPr>
      </w:pPr>
      <w:r>
        <w:rPr>
          <w:color w:val="auto"/>
          <w:szCs w:val="24"/>
        </w:rPr>
        <w:t xml:space="preserve">Pengaruh </w:t>
      </w:r>
      <w:r>
        <w:rPr>
          <w:i/>
          <w:iCs/>
          <w:color w:val="auto"/>
          <w:szCs w:val="24"/>
        </w:rPr>
        <w:t>Debt To Equity Ratio</w:t>
      </w:r>
      <w:r>
        <w:rPr>
          <w:color w:val="auto"/>
          <w:szCs w:val="24"/>
        </w:rPr>
        <w:t xml:space="preserve"> (DER) dan </w:t>
      </w:r>
      <w:r>
        <w:rPr>
          <w:i/>
          <w:iCs/>
          <w:color w:val="auto"/>
          <w:szCs w:val="24"/>
        </w:rPr>
        <w:t>Return On Equity</w:t>
      </w:r>
      <w:r>
        <w:rPr>
          <w:color w:val="auto"/>
          <w:szCs w:val="24"/>
        </w:rPr>
        <w:t xml:space="preserve"> (ROE) Terhadap Harga Saham Dengan Kebijakan Dividen Sebagai Variabel Moderasi Pada Perusahaan Manufaktur (Studi Kasus Pada Perusahaan Manufaktur Di Bursa </w:t>
      </w:r>
    </w:p>
    <w:p w14:paraId="6F9CD944">
      <w:pPr>
        <w:spacing w:after="0" w:line="240" w:lineRule="auto"/>
        <w:jc w:val="center"/>
        <w:rPr>
          <w:color w:val="auto"/>
          <w:szCs w:val="24"/>
        </w:rPr>
      </w:pPr>
      <w:r>
        <w:rPr>
          <w:color w:val="auto"/>
          <w:szCs w:val="24"/>
        </w:rPr>
        <w:t>Efek Indonesia (BEI) Tahun 2021-2023)</w:t>
      </w:r>
    </w:p>
    <w:p w14:paraId="6F480740">
      <w:pPr>
        <w:spacing w:after="0" w:line="240" w:lineRule="auto"/>
        <w:rPr>
          <w:b/>
          <w:bCs/>
          <w:color w:val="auto"/>
          <w:szCs w:val="24"/>
        </w:rPr>
      </w:pPr>
    </w:p>
    <w:p w14:paraId="394B24B3">
      <w:pPr>
        <w:spacing w:after="0" w:line="240" w:lineRule="auto"/>
        <w:rPr>
          <w:color w:val="auto"/>
          <w:szCs w:val="24"/>
        </w:rPr>
      </w:pPr>
      <w:r>
        <w:rPr>
          <w:color w:val="auto"/>
          <w:szCs w:val="24"/>
        </w:rPr>
        <w:t xml:space="preserve">Penelitian ini bertujuan untuk menganalisis pengaruh </w:t>
      </w:r>
      <w:r>
        <w:rPr>
          <w:i/>
          <w:iCs/>
          <w:color w:val="auto"/>
          <w:szCs w:val="24"/>
        </w:rPr>
        <w:t>debt to equity ratio</w:t>
      </w:r>
      <w:r>
        <w:rPr>
          <w:color w:val="auto"/>
          <w:szCs w:val="24"/>
        </w:rPr>
        <w:t xml:space="preserve"> (DER) dan </w:t>
      </w:r>
      <w:r>
        <w:rPr>
          <w:i/>
          <w:iCs/>
          <w:color w:val="auto"/>
          <w:szCs w:val="24"/>
        </w:rPr>
        <w:t>return on equity</w:t>
      </w:r>
      <w:r>
        <w:rPr>
          <w:color w:val="auto"/>
          <w:szCs w:val="24"/>
        </w:rPr>
        <w:t xml:space="preserve"> (ROE) terhadap harga saham dengan kebijakan dividen sebagai variabel moderasi. Data yang digunakan adalah data sekunder yang bersifat kuantitatif. Metode analisis yang digunakan adalah analisis regresi linear berganda dengan menggunakan software SPSS 25. Populasi penelitian ini terdiri dari 134 perusahaan yang terdaftar di Bursa Efek Indonesia (BEI) selama periode 2021-2023, dengan sampel yang digunakan sebanyak 76 perusahaan yang dipilih melalui metode </w:t>
      </w:r>
      <w:r>
        <w:rPr>
          <w:i/>
          <w:iCs/>
          <w:color w:val="auto"/>
          <w:szCs w:val="24"/>
        </w:rPr>
        <w:t>purposive sampling</w:t>
      </w:r>
      <w:r>
        <w:rPr>
          <w:color w:val="auto"/>
          <w:szCs w:val="24"/>
        </w:rPr>
        <w:t xml:space="preserve">. Hasil penelitian menunjukkan bahwa </w:t>
      </w:r>
      <w:r>
        <w:rPr>
          <w:i/>
          <w:iCs/>
          <w:color w:val="auto"/>
          <w:szCs w:val="24"/>
        </w:rPr>
        <w:t>debt to equity ratio</w:t>
      </w:r>
      <w:r>
        <w:rPr>
          <w:color w:val="auto"/>
          <w:szCs w:val="24"/>
        </w:rPr>
        <w:t xml:space="preserve"> (DER) dan </w:t>
      </w:r>
      <w:r>
        <w:rPr>
          <w:i/>
          <w:iCs/>
          <w:color w:val="auto"/>
          <w:szCs w:val="24"/>
        </w:rPr>
        <w:t>return on equity</w:t>
      </w:r>
      <w:r>
        <w:rPr>
          <w:color w:val="auto"/>
          <w:szCs w:val="24"/>
        </w:rPr>
        <w:t xml:space="preserve"> (ROE) memiliki pengaruh positif terhadap harga saham. Selain itu, kebijakan dividen terbukti dapat memperkuat pengaruh </w:t>
      </w:r>
      <w:r>
        <w:rPr>
          <w:i/>
          <w:iCs/>
          <w:color w:val="auto"/>
          <w:szCs w:val="24"/>
        </w:rPr>
        <w:t>debt to equity ratio</w:t>
      </w:r>
      <w:r>
        <w:rPr>
          <w:color w:val="auto"/>
          <w:szCs w:val="24"/>
        </w:rPr>
        <w:t xml:space="preserve"> (DER) dan </w:t>
      </w:r>
      <w:r>
        <w:rPr>
          <w:i/>
          <w:iCs/>
          <w:color w:val="auto"/>
          <w:szCs w:val="24"/>
        </w:rPr>
        <w:t>return on equity</w:t>
      </w:r>
      <w:r>
        <w:rPr>
          <w:color w:val="auto"/>
          <w:szCs w:val="24"/>
        </w:rPr>
        <w:t xml:space="preserve"> (ROE) terhadap harga saham. Penelitian ini memberikan implikasi penting dalam memahami faktor-faktor yang memengaruhi harga saham, khususnya peran </w:t>
      </w:r>
      <w:r>
        <w:rPr>
          <w:i/>
          <w:iCs/>
          <w:color w:val="auto"/>
          <w:szCs w:val="24"/>
        </w:rPr>
        <w:t>debt to equity ratio,</w:t>
      </w:r>
      <w:r>
        <w:rPr>
          <w:color w:val="auto"/>
          <w:szCs w:val="24"/>
        </w:rPr>
        <w:t xml:space="preserve"> </w:t>
      </w:r>
      <w:r>
        <w:rPr>
          <w:i/>
          <w:iCs/>
          <w:color w:val="auto"/>
          <w:szCs w:val="24"/>
        </w:rPr>
        <w:t>return on equity</w:t>
      </w:r>
      <w:r>
        <w:rPr>
          <w:color w:val="auto"/>
          <w:szCs w:val="24"/>
        </w:rPr>
        <w:t xml:space="preserve"> dan kebijakan dividen</w:t>
      </w:r>
      <w:r>
        <w:rPr>
          <w:i/>
          <w:iCs/>
          <w:color w:val="auto"/>
          <w:szCs w:val="24"/>
        </w:rPr>
        <w:t>.</w:t>
      </w:r>
      <w:r>
        <w:rPr>
          <w:color w:val="auto"/>
          <w:szCs w:val="24"/>
        </w:rPr>
        <w:t xml:space="preserve"> Temuan ini diharapkan dapat membantu perusahaan dalam meningkatkan kinerja keuangan untuk mencapai harga saham yang lebih baik dan membantu investor dalam membuat keputusan investasi yang lebih tepat.</w:t>
      </w:r>
      <w:r>
        <w:commentReference w:id="0"/>
      </w:r>
    </w:p>
    <w:p w14:paraId="12CBCA03">
      <w:pPr>
        <w:spacing w:after="0" w:line="240" w:lineRule="auto"/>
        <w:rPr>
          <w:color w:val="auto"/>
          <w:szCs w:val="24"/>
        </w:rPr>
      </w:pPr>
    </w:p>
    <w:p w14:paraId="2F11868B">
      <w:pPr>
        <w:rPr>
          <w:color w:val="auto"/>
          <w:szCs w:val="24"/>
        </w:rPr>
      </w:pPr>
      <w:r>
        <w:rPr>
          <w:b/>
          <w:bCs/>
          <w:color w:val="auto"/>
          <w:szCs w:val="24"/>
        </w:rPr>
        <w:t>Kata Kunci</w:t>
      </w:r>
      <w:r>
        <w:rPr>
          <w:color w:val="auto"/>
          <w:szCs w:val="24"/>
        </w:rPr>
        <w:t>: Harga Saham,</w:t>
      </w:r>
      <w:r>
        <w:rPr>
          <w:i/>
          <w:iCs/>
          <w:color w:val="auto"/>
          <w:szCs w:val="24"/>
        </w:rPr>
        <w:t xml:space="preserve"> Debt To Equity Ratio</w:t>
      </w:r>
      <w:r>
        <w:rPr>
          <w:color w:val="auto"/>
          <w:szCs w:val="24"/>
        </w:rPr>
        <w:t xml:space="preserve"> (DER), </w:t>
      </w:r>
      <w:r>
        <w:rPr>
          <w:i/>
          <w:iCs/>
          <w:color w:val="auto"/>
          <w:szCs w:val="24"/>
        </w:rPr>
        <w:t>Return On Equity</w:t>
      </w:r>
      <w:r>
        <w:rPr>
          <w:color w:val="auto"/>
          <w:szCs w:val="24"/>
        </w:rPr>
        <w:t xml:space="preserve"> (ROE), </w:t>
      </w:r>
      <w:r>
        <w:rPr>
          <w:color w:val="auto"/>
          <w:szCs w:val="24"/>
        </w:rPr>
        <w:tab/>
      </w:r>
      <w:r>
        <w:rPr>
          <w:color w:val="auto"/>
          <w:szCs w:val="24"/>
        </w:rPr>
        <w:tab/>
      </w:r>
      <w:r>
        <w:rPr>
          <w:color w:val="auto"/>
          <w:szCs w:val="24"/>
        </w:rPr>
        <w:t>Kebijakan Dividen, Moderasi.</w:t>
      </w:r>
    </w:p>
    <w:p w14:paraId="4E6357D7">
      <w:pPr>
        <w:spacing w:line="259" w:lineRule="auto"/>
        <w:rPr>
          <w:color w:val="auto"/>
          <w:szCs w:val="24"/>
        </w:rPr>
      </w:pPr>
      <w:r>
        <w:rPr>
          <w:color w:val="auto"/>
          <w:szCs w:val="24"/>
        </w:rPr>
        <w:br w:type="page"/>
      </w:r>
    </w:p>
    <w:p w14:paraId="542DA8AC">
      <w:pPr>
        <w:pStyle w:val="2"/>
        <w:rPr>
          <w:b/>
          <w:bCs/>
          <w:i/>
          <w:iCs/>
          <w:color w:val="auto"/>
          <w:szCs w:val="24"/>
        </w:rPr>
      </w:pPr>
      <w:r>
        <w:rPr>
          <w:b/>
          <w:bCs/>
          <w:i/>
          <w:iCs/>
          <w:color w:val="auto"/>
          <w:szCs w:val="24"/>
        </w:rPr>
        <w:t>ABSTRACT</w:t>
      </w:r>
    </w:p>
    <w:p w14:paraId="76ACB8F4">
      <w:pPr>
        <w:spacing w:after="0"/>
        <w:rPr>
          <w:i/>
          <w:iCs/>
          <w:color w:val="auto"/>
          <w:lang w:val="en-US" w:eastAsia="en-US"/>
        </w:rPr>
      </w:pPr>
    </w:p>
    <w:p w14:paraId="5B406D1D">
      <w:pPr>
        <w:spacing w:after="0" w:line="240" w:lineRule="auto"/>
        <w:jc w:val="center"/>
        <w:rPr>
          <w:i/>
          <w:iCs/>
          <w:color w:val="auto"/>
          <w:szCs w:val="24"/>
        </w:rPr>
      </w:pPr>
      <w:r>
        <w:rPr>
          <w:i/>
          <w:iCs/>
          <w:color w:val="auto"/>
          <w:szCs w:val="24"/>
        </w:rPr>
        <w:t xml:space="preserve">The Effect of Debt To Equity Ratio (DER) and Return On Equity (ROE) on Stock Prices with Dividend Policy as a Moderation Variable in Manufacturing </w:t>
      </w:r>
    </w:p>
    <w:p w14:paraId="51A6D0C5">
      <w:pPr>
        <w:spacing w:after="0" w:line="240" w:lineRule="auto"/>
        <w:jc w:val="center"/>
        <w:rPr>
          <w:i/>
          <w:iCs/>
          <w:color w:val="auto"/>
          <w:szCs w:val="24"/>
        </w:rPr>
      </w:pPr>
      <w:r>
        <w:rPr>
          <w:i/>
          <w:iCs/>
          <w:color w:val="auto"/>
          <w:szCs w:val="24"/>
        </w:rPr>
        <w:t xml:space="preserve">Companies (Case Study on Manufacturing Companies on the Exchange </w:t>
      </w:r>
    </w:p>
    <w:p w14:paraId="07A3EA3D">
      <w:pPr>
        <w:spacing w:after="0" w:line="240" w:lineRule="auto"/>
        <w:jc w:val="center"/>
        <w:rPr>
          <w:i/>
          <w:iCs/>
          <w:color w:val="auto"/>
          <w:szCs w:val="24"/>
        </w:rPr>
      </w:pPr>
      <w:r>
        <w:rPr>
          <w:i/>
          <w:iCs/>
          <w:color w:val="auto"/>
          <w:szCs w:val="24"/>
        </w:rPr>
        <w:t>Indonesia Securities (IDX) in 2021-2023)</w:t>
      </w:r>
    </w:p>
    <w:p w14:paraId="365DE361">
      <w:pPr>
        <w:spacing w:after="0" w:line="240" w:lineRule="auto"/>
        <w:rPr>
          <w:b/>
          <w:bCs/>
          <w:i/>
          <w:iCs/>
          <w:color w:val="auto"/>
          <w:szCs w:val="24"/>
        </w:rPr>
      </w:pPr>
    </w:p>
    <w:p w14:paraId="4AE8C313">
      <w:pPr>
        <w:spacing w:after="0" w:line="240" w:lineRule="auto"/>
        <w:rPr>
          <w:i/>
          <w:iCs/>
          <w:color w:val="auto"/>
          <w:szCs w:val="24"/>
        </w:rPr>
      </w:pPr>
      <w:r>
        <w:rPr>
          <w:i/>
          <w:iCs/>
          <w:color w:val="auto"/>
          <w:szCs w:val="24"/>
        </w:rPr>
        <w:t>This study aims to analyze the influence of debt to equity ratio (DER) and return on equity (ROE) on stock prices with dividend policy as a moderation variable. The data used is secondary data that is quantitative. The analysis method used was multiple linear regression analysis using SPSS 25 software. The population of this study consists of 134 companies listed on the Indonesia Stock Exchange (IDX) during the 2021-2023 period, with a sample of 76 companies selected through the purposive sampling method. The results of the study show that debt to equity ratio (DER) and return on equity (ROE) have a positive influence on stock prices. In addition, dividend policies have been proven to strengthen the influence of debt to equity ratio (DER) and return on equity (ROE) on stock prices. This research provides important implications in understanding the factors that affect stock prices, in particular the role of debt to equity ratio, return on equity and dividend policy. These findings are expected to help companies improve financial performance to achieve better stock prices and assist investors in making more informed investment decisions.</w:t>
      </w:r>
    </w:p>
    <w:p w14:paraId="5E908AA4">
      <w:pPr>
        <w:spacing w:after="0" w:line="240" w:lineRule="auto"/>
        <w:rPr>
          <w:i/>
          <w:iCs/>
          <w:color w:val="auto"/>
          <w:szCs w:val="24"/>
        </w:rPr>
      </w:pPr>
    </w:p>
    <w:p w14:paraId="6A238E24">
      <w:pPr>
        <w:spacing w:after="0"/>
        <w:rPr>
          <w:i/>
          <w:iCs/>
          <w:color w:val="auto"/>
          <w:szCs w:val="24"/>
        </w:rPr>
      </w:pPr>
      <w:r>
        <w:rPr>
          <w:b/>
          <w:bCs/>
          <w:i/>
          <w:iCs/>
          <w:color w:val="auto"/>
          <w:szCs w:val="24"/>
        </w:rPr>
        <w:t>Keywords</w:t>
      </w:r>
      <w:r>
        <w:rPr>
          <w:i/>
          <w:iCs/>
          <w:color w:val="auto"/>
          <w:szCs w:val="24"/>
        </w:rPr>
        <w:t xml:space="preserve">: Stock Price, Debt To Equity Ratio (DER), Return On Equity (ROE),  </w:t>
      </w:r>
    </w:p>
    <w:p w14:paraId="7110EFBD">
      <w:pPr>
        <w:spacing w:after="0"/>
        <w:ind w:left="831" w:firstLine="0"/>
        <w:rPr>
          <w:i/>
          <w:iCs/>
          <w:color w:val="auto"/>
          <w:szCs w:val="24"/>
        </w:rPr>
      </w:pPr>
      <w:r>
        <w:rPr>
          <w:b/>
          <w:bCs/>
          <w:i/>
          <w:iCs/>
          <w:color w:val="auto"/>
          <w:szCs w:val="24"/>
        </w:rPr>
        <w:t xml:space="preserve">      </w:t>
      </w:r>
      <w:r>
        <w:rPr>
          <w:i/>
          <w:iCs/>
          <w:color w:val="auto"/>
          <w:szCs w:val="24"/>
        </w:rPr>
        <w:t>Dividend Policy, Moderation.</w:t>
      </w:r>
    </w:p>
    <w:p w14:paraId="31CA1EBF">
      <w:pPr>
        <w:rPr>
          <w:i/>
          <w:iCs/>
          <w:color w:val="auto"/>
        </w:rPr>
      </w:pPr>
    </w:p>
    <w:p w14:paraId="320A4D3E">
      <w:pPr>
        <w:spacing w:after="160" w:line="720" w:lineRule="auto"/>
        <w:ind w:left="0" w:firstLine="0"/>
        <w:jc w:val="center"/>
        <w:rPr>
          <w:rFonts w:eastAsiaTheme="minorHAnsi"/>
          <w:i/>
          <w:iCs/>
          <w:color w:val="auto"/>
          <w:szCs w:val="24"/>
          <w:lang w:eastAsia="en-US"/>
        </w:rPr>
      </w:pPr>
    </w:p>
    <w:p w14:paraId="77B72988">
      <w:pPr>
        <w:spacing w:after="160" w:line="259" w:lineRule="auto"/>
        <w:ind w:left="0" w:firstLine="0"/>
        <w:jc w:val="left"/>
        <w:rPr>
          <w:color w:val="auto"/>
          <w:kern w:val="0"/>
          <w:szCs w:val="24"/>
          <w:lang w:val="en-US" w:eastAsia="zh-TW"/>
          <w14:ligatures w14:val="none"/>
        </w:rPr>
      </w:pPr>
      <w:r>
        <w:rPr>
          <w:color w:val="auto"/>
          <w:kern w:val="0"/>
          <w:szCs w:val="24"/>
          <w:lang w:val="en-US" w:eastAsia="zh-TW"/>
          <w14:ligatures w14:val="none"/>
        </w:rPr>
        <w:br w:type="page"/>
      </w:r>
    </w:p>
    <w:p w14:paraId="48C13DC4">
      <w:pPr>
        <w:pStyle w:val="2"/>
        <w:spacing w:after="0" w:line="720" w:lineRule="auto"/>
        <w:rPr>
          <w:b/>
          <w:bCs/>
          <w:color w:val="auto"/>
        </w:rPr>
      </w:pPr>
      <w:r>
        <w:rPr>
          <w:b/>
          <w:bCs/>
          <w:color w:val="auto"/>
        </w:rPr>
        <w:t xml:space="preserve">PENDAHULUAN </w:t>
      </w:r>
    </w:p>
    <w:p w14:paraId="386B6FAE">
      <w:pPr>
        <w:spacing w:after="0" w:line="480" w:lineRule="auto"/>
        <w:rPr>
          <w:b/>
          <w:bCs/>
          <w:color w:val="auto"/>
        </w:rPr>
      </w:pPr>
      <w:r>
        <w:rPr>
          <w:b/>
          <w:bCs/>
          <w:color w:val="auto"/>
        </w:rPr>
        <w:t>1.1 Latar Belakang</w:t>
      </w:r>
    </w:p>
    <w:p w14:paraId="0030C2B9">
      <w:pPr>
        <w:spacing w:after="0" w:line="480" w:lineRule="auto"/>
        <w:ind w:firstLine="594"/>
        <w:rPr>
          <w:color w:val="auto"/>
        </w:rPr>
      </w:pPr>
      <w:r>
        <w:rPr>
          <w:color w:val="auto"/>
        </w:rPr>
        <w:t xml:space="preserve">Salah satu sektor usaha di pasar modal yang menjadi daya tarik investor merupakan sektor industri manufaktur. Namun industri ini tidak lepas dari tantangan dalam meningkatkan kinerja keuangan dan harga saham. Oleh karena itu banyak investor perlu untuk melakukan pertimbangan dalam mengambil keputusan investasi dari berbagai faktor, termasuk melakukan analisis fundamental perusahaan. Analisis fundamental perusahaan merupakan aktivitas meneliti kondisi keuangan untuk mengetahui lebih baik tentang operasional perusahaan yang mengeluarkan saham. Konsep dasar dari analisis fundamental yaitu bahwa nilai suatu saham perusahaan dapat tercermin dari kinerja perusahaan tersebut (Husnan, 2015). Terdapat beberapa rasio keuangan yang penting dalam melakukan analisis fundamental perusahaan, diantaranya yaitu </w:t>
      </w:r>
      <w:r>
        <w:rPr>
          <w:i/>
          <w:iCs/>
          <w:color w:val="auto"/>
        </w:rPr>
        <w:t>Debt to Equity Ratio</w:t>
      </w:r>
      <w:r>
        <w:rPr>
          <w:color w:val="auto"/>
        </w:rPr>
        <w:t xml:space="preserve"> (DER) dan </w:t>
      </w:r>
      <w:r>
        <w:rPr>
          <w:i/>
          <w:iCs/>
          <w:color w:val="auto"/>
        </w:rPr>
        <w:t>Return On Equity</w:t>
      </w:r>
      <w:r>
        <w:rPr>
          <w:color w:val="auto"/>
        </w:rPr>
        <w:t xml:space="preserve"> (ROE). </w:t>
      </w:r>
    </w:p>
    <w:p w14:paraId="69AAE3D5">
      <w:pPr>
        <w:spacing w:after="0" w:line="480" w:lineRule="auto"/>
        <w:ind w:firstLine="594"/>
        <w:rPr>
          <w:color w:val="auto"/>
        </w:rPr>
      </w:pPr>
      <w:r>
        <w:rPr>
          <w:color w:val="auto"/>
          <w:szCs w:val="24"/>
        </w:rPr>
        <w:t xml:space="preserve">Menurut Sartono (2016) </w:t>
      </w:r>
      <w:r>
        <w:rPr>
          <w:i/>
          <w:iCs/>
          <w:color w:val="auto"/>
        </w:rPr>
        <w:t>Debt to Equity Ratio</w:t>
      </w:r>
      <w:r>
        <w:rPr>
          <w:color w:val="auto"/>
        </w:rPr>
        <w:t xml:space="preserve"> (DER) merupakan satu indikator dalam mengukur kemampuan operasional perusahaan yang stabil dan diukur menggunakan perhitungan kemampuan perusahaan dalam menyelesaikan hutangnya. Sebagian investor menggunakan </w:t>
      </w:r>
      <w:r>
        <w:rPr>
          <w:i/>
          <w:iCs/>
          <w:color w:val="auto"/>
        </w:rPr>
        <w:t>Debt to Equity Ratio</w:t>
      </w:r>
      <w:r>
        <w:rPr>
          <w:color w:val="auto"/>
        </w:rPr>
        <w:t xml:space="preserve"> (DER) dalam mengambil keputusan investasi. </w:t>
      </w:r>
      <w:r>
        <w:t xml:space="preserve">Menurut </w:t>
      </w:r>
      <w:r>
        <w:rPr>
          <w:color w:val="auto"/>
          <w:szCs w:val="24"/>
        </w:rPr>
        <w:t>Sartono (2016)</w:t>
      </w:r>
      <w:r>
        <w:rPr>
          <w:color w:val="auto"/>
        </w:rPr>
        <w:t xml:space="preserve"> </w:t>
      </w:r>
      <w:r>
        <w:rPr>
          <w:i/>
          <w:iCs/>
          <w:color w:val="auto"/>
        </w:rPr>
        <w:t>Return on equity</w:t>
      </w:r>
      <w:r>
        <w:rPr>
          <w:color w:val="auto"/>
        </w:rPr>
        <w:t xml:space="preserve"> (ROE) merupakan salah satu rasio profitabilitas yang digunakan untuk membandingkan laba bersih setelah pajak dengan ekuitas yang telah diinvestasikan oleh pemegang saham. </w:t>
      </w:r>
      <w:r>
        <w:rPr>
          <w:i/>
          <w:iCs/>
          <w:color w:val="auto"/>
        </w:rPr>
        <w:t>Return On Equity</w:t>
      </w:r>
      <w:r>
        <w:rPr>
          <w:color w:val="auto"/>
        </w:rPr>
        <w:t xml:space="preserve"> (ROE) merupakan indikator dalam mengukur suatu kemampuan operasional perusahaan dengan menggunakan ekuitas dalam menghasilkan laba operasional. </w:t>
      </w:r>
      <w:r>
        <w:rPr>
          <w:i/>
          <w:iCs/>
          <w:color w:val="auto"/>
        </w:rPr>
        <w:t>Return On Equity</w:t>
      </w:r>
      <w:r>
        <w:rPr>
          <w:color w:val="auto"/>
        </w:rPr>
        <w:t xml:space="preserve"> (ROE) sendiri juga banyak digunakan oleh sebagian investor dalam mengukur kinerja keuangan dan membantu dalam pengambilan keputusan investasi. Hal ini digunakan untuk mengetahui seberapa besar kemampuan perusahaan dalam menghasilkan laba atau keuntungan serta menunjukkan seberapa efektif perusahaan dalam mengelola modal sendiri untuk menghasilkan keuntungan. </w:t>
      </w:r>
    </w:p>
    <w:p w14:paraId="3D08086D">
      <w:pPr>
        <w:spacing w:after="0" w:line="480" w:lineRule="auto"/>
        <w:ind w:firstLine="594"/>
        <w:rPr>
          <w:color w:val="auto"/>
        </w:rPr>
      </w:pPr>
      <w:r>
        <w:rPr>
          <w:color w:val="auto"/>
        </w:rPr>
        <w:t xml:space="preserve">Investor juga mempertimbangkan faktor lain dalam melakukan analisis fundamental suatu perusahaan, salah satunya yaitu kebijakan dividen. Menurut </w:t>
      </w:r>
      <w:r>
        <w:rPr>
          <w:color w:val="auto"/>
        </w:rPr>
        <w:fldChar w:fldCharType="begin"/>
      </w:r>
      <w:r>
        <w:rPr>
          <w:color w:val="auto"/>
        </w:rPr>
        <w:instrText xml:space="preserve"> ADDIN ZOTERO_ITEM CSL_CITATION {"citationID":"guh1rOMQ","properties":{"formattedCitation":"(Aprilia Puri Astuti &amp; Erma Setiawati, 2024)","plainCitation":"(Aprilia Puri Astuti &amp; Erma Setiawati, 2024)","noteIndex":0},"citationItems":[{"id":10,"uris":["http://zotero.org/users/local/JgAggeuZ/items/RZZTHFKE"],"itemData":{"id":10,"type":"article-journal","abstract":"The Indonesian capital market recovered in 2021 after a decline due to the COVID-19 pandemic in 2020. The role of the capital market is crucial for economic growth, and investors need to pay attention to factors such as financial reports and company performance. Investors in LQ45 companies, consisting of 45 stocks with high liquidity, make selections based on transactions and market capitalization. This research focuses on the influence of Earning Per Share (EPS), Return On Assets (ROA), Debt to Equity Ratio (DER), and Price to Book Value (PBV) on the stock prices of LQ45 companies in the period 2018-2021. The research problem involves questions about the influence of each ratio on stock prices. The research objective is to examine the influence of these ratios. The results of the research are expected to provide important information for readers about the factors affecting stock prices and insights for researchers into the dynamics of the capital market. This research can also serve as a reference for further studies. The results of the analysis indicate that Earning Per Share (EPS), Return On Assets (ROA), Debt to Equity Ratio (DER), and Price to Book Value (PBV) significantly influence the stock prices of LQ45 companies.","container-title":"Jurnal Rimba : Riset Ilmu manajemen Bisnis dan Akuntansi","DOI":"10.61132/rimba.v2i2.697","ISSN":"2988-6880, 2988-7941","issue":"2","journalAbbreviation":"Rimba","language":"id","license":"https://creativecommons.org/licenses/by-nc-sa/4.0","page":"112-126","source":"DOI.org (Crossref)","title":"Pengaruh EPS, ROA, DER Dan PBV Terhadap Harga Saham: Studi Kasus Pada Perusahaan LQ 45 Yang Terdaftar Di Bursa Efek Indonesia Tahun 2018-2021","title-short":"Pengaruh EPS, ROA, DER Dan PBV Terhadap Harga Saham","volume":"2","author":[{"literal":"Aprilia Puri Astuti"},{"literal":"Erma Setiawati"}],"issued":{"date-parts":[["2024",1,26]]}}}],"schema":"https://github.com/citation-style-language/schema/raw/master/csl-citation.json"} </w:instrText>
      </w:r>
      <w:r>
        <w:rPr>
          <w:color w:val="auto"/>
        </w:rPr>
        <w:fldChar w:fldCharType="separate"/>
      </w:r>
      <w:r>
        <w:t>(Aprilia Puri Astuti &amp; Erma Setiawati, 2024)</w:t>
      </w:r>
      <w:r>
        <w:rPr>
          <w:color w:val="auto"/>
        </w:rPr>
        <w:fldChar w:fldCharType="end"/>
      </w:r>
      <w:r>
        <w:rPr>
          <w:color w:val="auto"/>
        </w:rPr>
        <w:t xml:space="preserve"> dividen merupakan salah satu daya tarik investor dalam berinvestasi di pasar modal selain dari selisih harga saham suatu perusahaan. Dividen dibagikan dalam bentuk dividen tunai, dividen saham atau kombinasi keduanya. Kebijakan dividen merupakan kebijakan atau keputusan yang dialokasikan suatu perusahaan dari laba operasional yang diperoleh untuk dibagikan kepada para pemegang saham sebagai bentuk pengembalian investasi.</w:t>
      </w:r>
      <w:r>
        <w:commentReference w:id="1"/>
      </w:r>
    </w:p>
    <w:p w14:paraId="243E992F">
      <w:pPr>
        <w:spacing w:after="0" w:line="480" w:lineRule="auto"/>
        <w:rPr>
          <w:b/>
          <w:bCs/>
          <w:color w:val="auto"/>
          <w:szCs w:val="24"/>
        </w:rPr>
      </w:pPr>
      <w:commentRangeStart w:id="2"/>
      <w:r>
        <w:rPr>
          <w:b/>
          <w:bCs/>
          <w:color w:val="auto"/>
          <w:szCs w:val="24"/>
        </w:rPr>
        <w:t>Landasan Teori</w:t>
      </w:r>
      <w:commentRangeEnd w:id="2"/>
      <w:r>
        <w:commentReference w:id="2"/>
      </w:r>
    </w:p>
    <w:p w14:paraId="22315E9A">
      <w:pPr>
        <w:tabs>
          <w:tab w:val="left" w:pos="1418"/>
        </w:tabs>
        <w:spacing w:after="0" w:line="480" w:lineRule="auto"/>
        <w:rPr>
          <w:color w:val="auto"/>
          <w:szCs w:val="24"/>
        </w:rPr>
      </w:pPr>
      <w:r>
        <w:rPr>
          <w:color w:val="auto"/>
          <w:szCs w:val="24"/>
        </w:rPr>
        <w:t xml:space="preserve">            Penelitian ini menggunakan pendekatan fundamental yang menjelaskan keadaan perusahaan baik dari internal dan eksternal perusahaan. Teori ini juga berfokus pada rasio keuangan atau laporan keuangan perusahaan dengan melihat dan membandingkan laporan periode saat ini dan sebelumnya dengan memeriksa aspek pendapatan, pengeluaran, aset, kewajiban, dan semua aspek keuangan internal perusahaan lainnya untuk mendapatkan wawasan tentang kinerja masa depan perusahaan (Lutfiana &amp; Jhoansyah, 2019) </w:t>
      </w:r>
    </w:p>
    <w:p w14:paraId="4941152D">
      <w:pPr>
        <w:tabs>
          <w:tab w:val="left" w:pos="1418"/>
        </w:tabs>
        <w:spacing w:after="0" w:line="480" w:lineRule="auto"/>
        <w:rPr>
          <w:b/>
          <w:bCs/>
          <w:color w:val="auto"/>
          <w:szCs w:val="24"/>
        </w:rPr>
      </w:pPr>
    </w:p>
    <w:p w14:paraId="132F1134">
      <w:pPr>
        <w:tabs>
          <w:tab w:val="left" w:pos="1418"/>
        </w:tabs>
        <w:spacing w:after="0" w:line="480" w:lineRule="auto"/>
        <w:rPr>
          <w:b/>
          <w:bCs/>
          <w:color w:val="auto"/>
          <w:szCs w:val="24"/>
        </w:rPr>
      </w:pPr>
    </w:p>
    <w:p w14:paraId="0D839CD0">
      <w:pPr>
        <w:tabs>
          <w:tab w:val="left" w:pos="1418"/>
        </w:tabs>
        <w:spacing w:after="0" w:line="480" w:lineRule="auto"/>
        <w:rPr>
          <w:b/>
          <w:bCs/>
          <w:color w:val="auto"/>
          <w:szCs w:val="24"/>
        </w:rPr>
      </w:pPr>
      <w:r>
        <w:rPr>
          <w:b/>
          <w:bCs/>
          <w:color w:val="auto"/>
          <w:szCs w:val="24"/>
        </w:rPr>
        <w:t>Pengambangan Hipotesis</w:t>
      </w:r>
    </w:p>
    <w:p w14:paraId="678AD1B0">
      <w:pPr>
        <w:spacing w:after="0" w:line="480" w:lineRule="auto"/>
        <w:rPr>
          <w:color w:val="auto"/>
          <w:szCs w:val="24"/>
        </w:rPr>
      </w:pPr>
      <w:r>
        <w:rPr>
          <w:i/>
          <w:iCs/>
          <w:color w:val="auto"/>
          <w:szCs w:val="24"/>
        </w:rPr>
        <w:t>Debt to Equity Ratio</w:t>
      </w:r>
      <w:r>
        <w:rPr>
          <w:color w:val="auto"/>
          <w:szCs w:val="24"/>
        </w:rPr>
        <w:t xml:space="preserve"> (DER) merupakan perbandingan antara total hutang dengan total ekuitas, Suatu perusahaan memiliki nilai DER yang tinggi biasanya memiliki risiko yang tinggi juga dalam membayar kewajiban perusahaan, sehingga berpengaruh negatif terhadap harga saham perusahaan begitupun sebaliknya. Aprilia &amp; Erma (2024) bahwa </w:t>
      </w:r>
      <w:r>
        <w:rPr>
          <w:i/>
          <w:iCs/>
          <w:color w:val="auto"/>
          <w:szCs w:val="24"/>
        </w:rPr>
        <w:t>Debt to Equity Ratio</w:t>
      </w:r>
      <w:r>
        <w:rPr>
          <w:color w:val="auto"/>
          <w:szCs w:val="24"/>
        </w:rPr>
        <w:t xml:space="preserve"> DER </w:t>
      </w:r>
      <w:r>
        <w:rPr>
          <w:color w:val="auto"/>
          <w:kern w:val="0"/>
          <w:szCs w:val="24"/>
          <w14:ligatures w14:val="none"/>
        </w:rPr>
        <w:t>berpengaruh secara signifikan terhadap harga saham</w:t>
      </w:r>
    </w:p>
    <w:p w14:paraId="539B45B9">
      <w:pPr>
        <w:spacing w:after="0" w:line="480" w:lineRule="auto"/>
        <w:rPr>
          <w:color w:val="auto"/>
          <w:szCs w:val="24"/>
        </w:rPr>
      </w:pPr>
      <w:r>
        <w:rPr>
          <w:color w:val="auto"/>
          <w:szCs w:val="24"/>
        </w:rPr>
        <w:t>Dari uraian tersebut dapat dirumuskan hipotesis sebagai berikut:</w:t>
      </w:r>
    </w:p>
    <w:p w14:paraId="06CE9C8F">
      <w:pPr>
        <w:spacing w:after="0" w:line="480" w:lineRule="auto"/>
        <w:rPr>
          <w:color w:val="auto"/>
          <w:szCs w:val="24"/>
        </w:rPr>
      </w:pPr>
      <w:r>
        <w:rPr>
          <w:color w:val="auto"/>
          <w:szCs w:val="24"/>
        </w:rPr>
        <w:t xml:space="preserve">H1: </w:t>
      </w:r>
      <w:r>
        <w:rPr>
          <w:i/>
          <w:iCs/>
          <w:color w:val="auto"/>
          <w:szCs w:val="24"/>
        </w:rPr>
        <w:t>Debt to Equity Ratio</w:t>
      </w:r>
      <w:r>
        <w:rPr>
          <w:color w:val="auto"/>
          <w:szCs w:val="24"/>
        </w:rPr>
        <w:t xml:space="preserve"> (DER) berpengaruh positif terhadap harga saham.</w:t>
      </w:r>
    </w:p>
    <w:p w14:paraId="4B570718">
      <w:pPr>
        <w:spacing w:after="0" w:line="480" w:lineRule="auto"/>
        <w:rPr>
          <w:color w:val="auto"/>
          <w:szCs w:val="24"/>
        </w:rPr>
      </w:pPr>
      <w:r>
        <w:rPr>
          <w:color w:val="auto"/>
          <w:szCs w:val="24"/>
        </w:rPr>
        <w:t xml:space="preserve">        </w:t>
      </w:r>
      <w:r>
        <w:rPr>
          <w:i/>
          <w:iCs/>
          <w:color w:val="auto"/>
          <w:szCs w:val="24"/>
        </w:rPr>
        <w:t>Return On Equity</w:t>
      </w:r>
      <w:r>
        <w:rPr>
          <w:color w:val="auto"/>
          <w:szCs w:val="24"/>
        </w:rPr>
        <w:t xml:space="preserve"> digunakan untuk mengukur kemampuan perusahaan memperoleh laba yang tersedia bagi pemegang saham perusahaan. </w:t>
      </w:r>
      <w:r>
        <w:rPr>
          <w:i/>
          <w:iCs/>
          <w:color w:val="auto"/>
          <w:szCs w:val="24"/>
        </w:rPr>
        <w:t>Return On Equity</w:t>
      </w:r>
      <w:r>
        <w:rPr>
          <w:color w:val="auto"/>
          <w:szCs w:val="24"/>
        </w:rPr>
        <w:t xml:space="preserve"> sendiri merupakan salah satu rasio analisis fundamental yang berfokus terhadap laba bersih setelah pajak yang diperoleh suatu perusahaan dan dibandingkan dengan modal perusahaan. Heriansyah (2021) menunjukkan bahwa variabel ROE memiliki pengaruh positif terhadap harga saham</w:t>
      </w:r>
    </w:p>
    <w:p w14:paraId="64747B8E">
      <w:pPr>
        <w:spacing w:after="0" w:line="480" w:lineRule="auto"/>
        <w:rPr>
          <w:color w:val="auto"/>
          <w:szCs w:val="24"/>
        </w:rPr>
      </w:pPr>
      <w:r>
        <w:rPr>
          <w:color w:val="auto"/>
          <w:szCs w:val="24"/>
        </w:rPr>
        <w:t>Dari uraian diatas dapat dirumuskan hipotesis sebagai berikut:</w:t>
      </w:r>
    </w:p>
    <w:p w14:paraId="63B4EF98">
      <w:pPr>
        <w:spacing w:after="0" w:line="480" w:lineRule="auto"/>
        <w:rPr>
          <w:color w:val="auto"/>
          <w:szCs w:val="24"/>
        </w:rPr>
      </w:pPr>
      <w:r>
        <w:rPr>
          <w:color w:val="auto"/>
          <w:szCs w:val="24"/>
        </w:rPr>
        <w:t xml:space="preserve">H2: </w:t>
      </w:r>
      <w:r>
        <w:rPr>
          <w:i/>
          <w:iCs/>
          <w:color w:val="auto"/>
          <w:szCs w:val="24"/>
        </w:rPr>
        <w:t>Return On Equity</w:t>
      </w:r>
      <w:r>
        <w:rPr>
          <w:color w:val="auto"/>
          <w:szCs w:val="24"/>
        </w:rPr>
        <w:t xml:space="preserve"> (ROE) berpengaruh positif terhadap harga saham.</w:t>
      </w:r>
    </w:p>
    <w:p w14:paraId="5CECCC1D">
      <w:pPr>
        <w:tabs>
          <w:tab w:val="left" w:pos="567"/>
        </w:tabs>
        <w:spacing w:after="0" w:line="480" w:lineRule="auto"/>
        <w:rPr>
          <w:color w:val="auto"/>
          <w:szCs w:val="24"/>
        </w:rPr>
      </w:pPr>
      <w:r>
        <w:rPr>
          <w:color w:val="auto"/>
          <w:szCs w:val="24"/>
        </w:rPr>
        <w:t xml:space="preserve">       Berdasarkan teori fundamental, kebijakan dividen sebagai bagian dari strategi pengelolaan keuangan perusahaan dapat mempengaruhi </w:t>
      </w:r>
      <w:r>
        <w:rPr>
          <w:i/>
          <w:iCs/>
          <w:color w:val="auto"/>
          <w:szCs w:val="24"/>
        </w:rPr>
        <w:t>Debt to Equity Ratio</w:t>
      </w:r>
      <w:r>
        <w:rPr>
          <w:color w:val="auto"/>
          <w:szCs w:val="24"/>
        </w:rPr>
        <w:t xml:space="preserve"> (DER) terhadap harga saham. Hal ini dikarenakan dividen mencerminkan kepercayaan manajemen terhadap stabilitas keuangan dan kemampuan perusahaan untuk mendistribusikan keuntungan. Rosnaeni &amp; Sahade (2024) menunjukan kebijakan dividen mempunyai pengaruh positif dan signifikan terhadap harga saham</w:t>
      </w:r>
    </w:p>
    <w:p w14:paraId="4D63CA14">
      <w:pPr>
        <w:tabs>
          <w:tab w:val="left" w:pos="567"/>
        </w:tabs>
        <w:spacing w:after="0" w:line="480" w:lineRule="auto"/>
        <w:rPr>
          <w:color w:val="auto"/>
          <w:szCs w:val="24"/>
        </w:rPr>
      </w:pPr>
      <w:r>
        <w:rPr>
          <w:color w:val="auto"/>
          <w:szCs w:val="24"/>
        </w:rPr>
        <w:t>Dari uraian tersebut dapat dirumuskan hipotesis sebagai berikut:</w:t>
      </w:r>
    </w:p>
    <w:p w14:paraId="29F8A3B7">
      <w:pPr>
        <w:spacing w:after="0" w:line="480" w:lineRule="auto"/>
        <w:rPr>
          <w:color w:val="auto"/>
          <w:szCs w:val="24"/>
        </w:rPr>
      </w:pPr>
      <w:r>
        <w:rPr>
          <w:color w:val="auto"/>
          <w:szCs w:val="24"/>
        </w:rPr>
        <w:t xml:space="preserve">H3: Kebijakan dividen memperkuat pengaruh </w:t>
      </w:r>
      <w:r>
        <w:rPr>
          <w:i/>
          <w:iCs/>
          <w:color w:val="auto"/>
          <w:szCs w:val="24"/>
        </w:rPr>
        <w:t>Debt to Equity Ratio</w:t>
      </w:r>
      <w:r>
        <w:rPr>
          <w:color w:val="auto"/>
          <w:szCs w:val="24"/>
        </w:rPr>
        <w:t xml:space="preserve"> (DER) terhadap harga saham.</w:t>
      </w:r>
    </w:p>
    <w:p w14:paraId="790FE96E">
      <w:pPr>
        <w:spacing w:after="0" w:line="480" w:lineRule="auto"/>
        <w:ind w:firstLine="567"/>
        <w:rPr>
          <w:color w:val="auto"/>
          <w:szCs w:val="24"/>
        </w:rPr>
      </w:pPr>
      <w:r>
        <w:rPr>
          <w:color w:val="auto"/>
          <w:szCs w:val="24"/>
        </w:rPr>
        <w:t xml:space="preserve">Dalam kerangka teori fundamental, kebijakan dividen dapat mempengaruhi </w:t>
      </w:r>
      <w:r>
        <w:rPr>
          <w:i/>
          <w:iCs/>
          <w:color w:val="auto"/>
          <w:szCs w:val="24"/>
        </w:rPr>
        <w:t>Return On Equity</w:t>
      </w:r>
      <w:r>
        <w:rPr>
          <w:color w:val="auto"/>
          <w:szCs w:val="24"/>
        </w:rPr>
        <w:t xml:space="preserve"> (ROE) terhadap harga saham, karena dividen yang konsisten memberikan sinyal positif tentang stabilitas dan potensi pertumbuhan laba perusahaan. Menurut Sartono (2016) </w:t>
      </w:r>
      <w:r>
        <w:rPr>
          <w:i/>
          <w:iCs/>
          <w:color w:val="auto"/>
          <w:szCs w:val="24"/>
        </w:rPr>
        <w:t>Return On Equity</w:t>
      </w:r>
      <w:r>
        <w:rPr>
          <w:color w:val="auto"/>
          <w:szCs w:val="24"/>
        </w:rPr>
        <w:t xml:space="preserve"> digunakan untuk mengukur kemampuan perusahaan memperoleh laba yang tersedia bagi pemegang saham perusahaan. Rasio ini juga dipengaruhi oleh besar kecilnya utang perusahaan, apabila proporsi utang besar maka rasio iniakan besar. Hakami (2019) menunjukan bahwa kebijakan dividen terbukti berpengaruh secara signifikan terhadap harga saham. Dari uraian tersebut dapat dirumuskan hipotesis sebagai berikut:</w:t>
      </w:r>
    </w:p>
    <w:p w14:paraId="727B1CD1">
      <w:pPr>
        <w:spacing w:after="0" w:line="480" w:lineRule="auto"/>
        <w:rPr>
          <w:color w:val="auto"/>
          <w:szCs w:val="24"/>
        </w:rPr>
      </w:pPr>
      <w:r>
        <w:rPr>
          <w:color w:val="auto"/>
          <w:szCs w:val="24"/>
        </w:rPr>
        <w:t xml:space="preserve">H4: Kebijakan dividen memperkuat pengaruh </w:t>
      </w:r>
      <w:r>
        <w:rPr>
          <w:i/>
          <w:iCs/>
          <w:color w:val="auto"/>
          <w:szCs w:val="24"/>
        </w:rPr>
        <w:t>Return On Equity</w:t>
      </w:r>
      <w:r>
        <w:rPr>
          <w:color w:val="auto"/>
          <w:szCs w:val="24"/>
        </w:rPr>
        <w:t xml:space="preserve"> (ROE) terhadap harga saham.</w:t>
      </w:r>
      <w:r>
        <w:commentReference w:id="3"/>
      </w:r>
    </w:p>
    <w:p w14:paraId="40292CBF">
      <w:pPr>
        <w:spacing w:after="0" w:line="480" w:lineRule="auto"/>
        <w:rPr>
          <w:color w:val="auto"/>
          <w:szCs w:val="24"/>
        </w:rPr>
      </w:pPr>
    </w:p>
    <w:p w14:paraId="2DB23E96">
      <w:pPr>
        <w:pStyle w:val="2"/>
        <w:spacing w:after="0" w:line="240" w:lineRule="auto"/>
        <w:jc w:val="both"/>
        <w:rPr>
          <w:b/>
          <w:bCs/>
          <w:color w:val="auto"/>
        </w:rPr>
      </w:pPr>
      <w:bookmarkStart w:id="0" w:name="_Toc170331412"/>
      <w:r>
        <w:rPr>
          <w:b/>
          <w:bCs/>
          <w:color w:val="auto"/>
        </w:rPr>
        <w:t>Metode Penelitian</w:t>
      </w:r>
      <w:bookmarkEnd w:id="0"/>
    </w:p>
    <w:p w14:paraId="654E91B9">
      <w:pPr>
        <w:pStyle w:val="29"/>
        <w:numPr>
          <w:ilvl w:val="0"/>
          <w:numId w:val="0"/>
        </w:numPr>
        <w:rPr>
          <w:color w:val="auto"/>
        </w:rPr>
      </w:pPr>
      <w:bookmarkStart w:id="1" w:name="_Toc170331413"/>
      <w:r>
        <w:rPr>
          <w:color w:val="auto"/>
        </w:rPr>
        <w:t>Jenis Penelitian</w:t>
      </w:r>
      <w:bookmarkEnd w:id="1"/>
    </w:p>
    <w:p w14:paraId="460D0822">
      <w:pPr>
        <w:pStyle w:val="29"/>
        <w:numPr>
          <w:ilvl w:val="0"/>
          <w:numId w:val="0"/>
        </w:numPr>
        <w:jc w:val="both"/>
        <w:rPr>
          <w:b w:val="0"/>
        </w:rPr>
      </w:pPr>
      <w:r>
        <w:rPr>
          <w:color w:val="auto"/>
        </w:rPr>
        <w:tab/>
      </w:r>
      <w:r>
        <w:rPr>
          <w:b w:val="0"/>
        </w:rPr>
        <w:t>Penelitian ini menggunakan metode kuantitatif dengan analisis linear berganda menggunakan aplikasi SPSS 25. Data yang digunakan adalah data sekunder yang diperoleh dari laporan keuangan perusahaan-perusahaan manufaktur yang terdaftar di Bursa Efek Indonesia selama periode 2021-2023.</w:t>
      </w:r>
    </w:p>
    <w:p w14:paraId="23A03F52">
      <w:pPr>
        <w:pStyle w:val="29"/>
        <w:numPr>
          <w:ilvl w:val="0"/>
          <w:numId w:val="0"/>
        </w:numPr>
        <w:ind w:left="426" w:hanging="426"/>
        <w:jc w:val="both"/>
        <w:rPr>
          <w:color w:val="auto"/>
        </w:rPr>
      </w:pPr>
      <w:bookmarkStart w:id="2" w:name="_Toc170331414"/>
    </w:p>
    <w:p w14:paraId="751833D1">
      <w:pPr>
        <w:pStyle w:val="29"/>
        <w:numPr>
          <w:ilvl w:val="0"/>
          <w:numId w:val="0"/>
        </w:numPr>
        <w:ind w:left="426" w:hanging="426"/>
        <w:jc w:val="both"/>
        <w:rPr>
          <w:color w:val="auto"/>
        </w:rPr>
      </w:pPr>
    </w:p>
    <w:p w14:paraId="463559A6">
      <w:pPr>
        <w:pStyle w:val="29"/>
        <w:numPr>
          <w:ilvl w:val="0"/>
          <w:numId w:val="0"/>
        </w:numPr>
        <w:ind w:left="426" w:hanging="426"/>
        <w:jc w:val="both"/>
        <w:rPr>
          <w:color w:val="auto"/>
        </w:rPr>
      </w:pPr>
      <w:r>
        <w:rPr>
          <w:color w:val="auto"/>
        </w:rPr>
        <w:t>Populasi dan Sampel</w:t>
      </w:r>
      <w:bookmarkEnd w:id="2"/>
    </w:p>
    <w:p w14:paraId="0A6E013F">
      <w:pPr>
        <w:pStyle w:val="26"/>
        <w:ind w:firstLine="720"/>
        <w:jc w:val="both"/>
        <w:rPr>
          <w:b w:val="0"/>
          <w:bCs w:val="0"/>
        </w:rPr>
      </w:pPr>
      <w:r>
        <w:rPr>
          <w:b w:val="0"/>
          <w:bCs w:val="0"/>
        </w:rPr>
        <w:t xml:space="preserve">Populasi yang digunakan dalam penelitian adalah 134 perusahaan di industri manufaktur yang telah terdaftar dalam Bursa Efek Indonesia (BEI) dari periode 2021 sampai tahun 2023. Metode pengambilan sampel yang digunakan dalam penelitian ini adalah metode </w:t>
      </w:r>
      <w:r>
        <w:rPr>
          <w:b w:val="0"/>
          <w:bCs w:val="0"/>
          <w:i/>
          <w:iCs/>
        </w:rPr>
        <w:t>purposive sampling</w:t>
      </w:r>
      <w:r>
        <w:rPr>
          <w:b w:val="0"/>
          <w:bCs w:val="0"/>
        </w:rPr>
        <w:t xml:space="preserve"> dengan jumlah total 76 perusahaan dengan j. Kriteria yang digunakan dalam penelitian ini adalah sebagai berikut :</w:t>
      </w:r>
    </w:p>
    <w:p w14:paraId="5B334E0C">
      <w:pPr>
        <w:pStyle w:val="26"/>
        <w:numPr>
          <w:ilvl w:val="0"/>
          <w:numId w:val="3"/>
        </w:numPr>
        <w:ind w:left="527" w:hanging="357"/>
        <w:jc w:val="both"/>
        <w:rPr>
          <w:b w:val="0"/>
          <w:bCs w:val="0"/>
        </w:rPr>
      </w:pPr>
      <w:r>
        <w:rPr>
          <w:b w:val="0"/>
          <w:bCs w:val="0"/>
        </w:rPr>
        <w:t>Perusahaan di bidang industri manufaktur yang terdaftar di Bursa Efek Indonesia (BEI) periode 2021-2023</w:t>
      </w:r>
    </w:p>
    <w:p w14:paraId="39327753">
      <w:pPr>
        <w:pStyle w:val="26"/>
        <w:numPr>
          <w:ilvl w:val="0"/>
          <w:numId w:val="3"/>
        </w:numPr>
        <w:ind w:left="527" w:hanging="357"/>
        <w:jc w:val="both"/>
        <w:rPr>
          <w:b w:val="0"/>
          <w:bCs w:val="0"/>
        </w:rPr>
      </w:pPr>
      <w:r>
        <w:rPr>
          <w:b w:val="0"/>
          <w:bCs w:val="0"/>
        </w:rPr>
        <w:t>Perusahaan di bidang industri manufaktur yang tecatat di Bursa Efek Indonesia (BEI) secara berturut-turut periode 2021-2023</w:t>
      </w:r>
    </w:p>
    <w:p w14:paraId="4983F446">
      <w:pPr>
        <w:pStyle w:val="26"/>
        <w:numPr>
          <w:ilvl w:val="0"/>
          <w:numId w:val="3"/>
        </w:numPr>
        <w:ind w:left="527" w:hanging="357"/>
        <w:jc w:val="both"/>
        <w:rPr>
          <w:b w:val="0"/>
          <w:bCs w:val="0"/>
        </w:rPr>
      </w:pPr>
      <w:r>
        <w:rPr>
          <w:b w:val="0"/>
          <w:bCs w:val="0"/>
        </w:rPr>
        <w:t>Perusahaan yang menerbitkan laporan keuangan tahunan yang diaudit periode 2021-2023</w:t>
      </w:r>
    </w:p>
    <w:p w14:paraId="42944CD0">
      <w:pPr>
        <w:pStyle w:val="26"/>
        <w:ind w:left="527"/>
        <w:jc w:val="both"/>
        <w:rPr>
          <w:b w:val="0"/>
          <w:bCs w:val="0"/>
        </w:rPr>
      </w:pPr>
    </w:p>
    <w:p w14:paraId="79B51A14">
      <w:pPr>
        <w:pStyle w:val="29"/>
        <w:numPr>
          <w:ilvl w:val="0"/>
          <w:numId w:val="0"/>
        </w:numPr>
        <w:rPr>
          <w:color w:val="auto"/>
        </w:rPr>
      </w:pPr>
      <w:bookmarkStart w:id="3" w:name="_Toc170331420"/>
      <w:r>
        <w:rPr>
          <w:color w:val="auto"/>
        </w:rPr>
        <w:t>Pengujian Hipotesis</w:t>
      </w:r>
    </w:p>
    <w:p w14:paraId="5CA768C7">
      <w:pPr>
        <w:pStyle w:val="29"/>
        <w:numPr>
          <w:ilvl w:val="0"/>
          <w:numId w:val="0"/>
        </w:numPr>
        <w:rPr>
          <w:color w:val="auto"/>
        </w:rPr>
      </w:pPr>
      <w:r>
        <w:rPr>
          <w:color w:val="auto"/>
        </w:rPr>
        <w:t>Definisi Operasional Variabel Penelitian</w:t>
      </w:r>
      <w:bookmarkEnd w:id="3"/>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3402"/>
        <w:gridCol w:w="3446"/>
      </w:tblGrid>
      <w:tr w14:paraId="65F9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blHeader/>
          <w:jc w:val="center"/>
        </w:trPr>
        <w:tc>
          <w:tcPr>
            <w:tcW w:w="1413" w:type="dxa"/>
            <w:vAlign w:val="center"/>
          </w:tcPr>
          <w:p w14:paraId="1D6B7E2D">
            <w:pPr>
              <w:pStyle w:val="26"/>
              <w:rPr>
                <w:sz w:val="22"/>
                <w:szCs w:val="22"/>
              </w:rPr>
            </w:pPr>
            <w:r>
              <w:rPr>
                <w:sz w:val="22"/>
                <w:szCs w:val="22"/>
              </w:rPr>
              <w:t>Variabel</w:t>
            </w:r>
          </w:p>
        </w:tc>
        <w:tc>
          <w:tcPr>
            <w:tcW w:w="3402" w:type="dxa"/>
          </w:tcPr>
          <w:p w14:paraId="3FD43CB2">
            <w:pPr>
              <w:pStyle w:val="26"/>
              <w:rPr>
                <w:sz w:val="22"/>
                <w:szCs w:val="22"/>
              </w:rPr>
            </w:pPr>
            <w:r>
              <w:rPr>
                <w:sz w:val="22"/>
                <w:szCs w:val="22"/>
              </w:rPr>
              <w:t>Definisi</w:t>
            </w:r>
          </w:p>
        </w:tc>
        <w:tc>
          <w:tcPr>
            <w:tcW w:w="3446" w:type="dxa"/>
            <w:vAlign w:val="center"/>
          </w:tcPr>
          <w:p w14:paraId="4C2942EB">
            <w:pPr>
              <w:pStyle w:val="26"/>
              <w:rPr>
                <w:sz w:val="22"/>
                <w:szCs w:val="22"/>
              </w:rPr>
            </w:pPr>
            <w:r>
              <w:rPr>
                <w:sz w:val="22"/>
                <w:szCs w:val="22"/>
              </w:rPr>
              <w:t>Indikator</w:t>
            </w:r>
          </w:p>
        </w:tc>
      </w:tr>
      <w:tr w14:paraId="39CB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1413" w:type="dxa"/>
            <w:vMerge w:val="restart"/>
            <w:vAlign w:val="center"/>
          </w:tcPr>
          <w:p w14:paraId="1E3887E7">
            <w:pPr>
              <w:pStyle w:val="26"/>
              <w:jc w:val="both"/>
              <w:rPr>
                <w:b w:val="0"/>
                <w:bCs w:val="0"/>
                <w:sz w:val="20"/>
                <w:szCs w:val="20"/>
              </w:rPr>
            </w:pPr>
            <w:r>
              <w:rPr>
                <w:b w:val="0"/>
                <w:bCs w:val="0"/>
                <w:i/>
                <w:iCs/>
                <w:sz w:val="20"/>
                <w:szCs w:val="20"/>
              </w:rPr>
              <w:t xml:space="preserve">Debt to Equity Ratio </w:t>
            </w:r>
            <w:r>
              <w:rPr>
                <w:b w:val="0"/>
                <w:bCs w:val="0"/>
                <w:sz w:val="20"/>
                <w:szCs w:val="20"/>
              </w:rPr>
              <w:t>(DER)</w:t>
            </w:r>
          </w:p>
        </w:tc>
        <w:tc>
          <w:tcPr>
            <w:tcW w:w="3402" w:type="dxa"/>
          </w:tcPr>
          <w:p w14:paraId="79C275F1">
            <w:pPr>
              <w:pStyle w:val="26"/>
              <w:jc w:val="both"/>
              <w:rPr>
                <w:rFonts w:eastAsia="Calibri"/>
                <w:b w:val="0"/>
                <w:bCs w:val="0"/>
                <w:sz w:val="20"/>
                <w:szCs w:val="20"/>
              </w:rPr>
            </w:pPr>
            <w:r>
              <w:rPr>
                <w:rFonts w:eastAsia="Calibri"/>
                <w:b w:val="0"/>
                <w:bCs w:val="0"/>
                <w:i/>
                <w:iCs/>
                <w:sz w:val="20"/>
                <w:szCs w:val="20"/>
              </w:rPr>
              <w:t>Debt to Equity Ratio</w:t>
            </w:r>
            <w:r>
              <w:rPr>
                <w:rFonts w:eastAsia="Calibri"/>
                <w:b w:val="0"/>
                <w:bCs w:val="0"/>
                <w:sz w:val="20"/>
                <w:szCs w:val="20"/>
              </w:rPr>
              <w:t xml:space="preserve"> (DER) merupakan rasio keuangan yang dihitung dengan membandingkan antara total hutang terhadap ekuitas suatu perusahaan.</w:t>
            </w:r>
          </w:p>
        </w:tc>
        <w:tc>
          <w:tcPr>
            <w:tcW w:w="3446" w:type="dxa"/>
            <w:tcBorders>
              <w:bottom w:val="single" w:color="auto" w:sz="4" w:space="0"/>
            </w:tcBorders>
            <w:vAlign w:val="center"/>
          </w:tcPr>
          <w:p w14:paraId="4AA141C7">
            <w:pPr>
              <w:spacing w:after="0" w:line="480" w:lineRule="auto"/>
              <w:rPr>
                <w:bCs/>
                <w:color w:val="auto"/>
                <w:sz w:val="20"/>
                <w:szCs w:val="20"/>
              </w:rPr>
            </w:pPr>
            <m:oMathPara>
              <m:oMath>
                <m:r>
                  <m:rPr>
                    <m:nor/>
                    <m:sty m:val="p"/>
                  </m:rPr>
                  <w:rPr>
                    <w:bCs/>
                    <w:sz w:val="20"/>
                    <w:szCs w:val="20"/>
                  </w:rPr>
                  <m:t>DER=</m:t>
                </m:r>
                <m:f>
                  <m:fPr>
                    <m:ctrlPr>
                      <w:rPr>
                        <w:rFonts w:ascii="Cambria Math" w:hAnsi="Cambria Math"/>
                        <w:bCs/>
                        <w:iCs/>
                        <w:sz w:val="20"/>
                        <w:szCs w:val="20"/>
                      </w:rPr>
                    </m:ctrlPr>
                  </m:fPr>
                  <m:num>
                    <m:r>
                      <m:rPr>
                        <m:nor/>
                        <m:sty m:val="p"/>
                      </m:rPr>
                      <w:rPr>
                        <w:bCs/>
                        <w:sz w:val="20"/>
                        <w:szCs w:val="20"/>
                      </w:rPr>
                      <m:t>Laba Bersih</m:t>
                    </m:r>
                    <m:ctrlPr>
                      <w:rPr>
                        <w:rFonts w:ascii="Cambria Math" w:hAnsi="Cambria Math"/>
                        <w:bCs/>
                        <w:iCs/>
                        <w:sz w:val="20"/>
                        <w:szCs w:val="20"/>
                      </w:rPr>
                    </m:ctrlPr>
                  </m:num>
                  <m:den>
                    <m:r>
                      <m:rPr>
                        <m:nor/>
                        <m:sty m:val="p"/>
                      </m:rPr>
                      <w:rPr>
                        <w:bCs/>
                        <w:sz w:val="20"/>
                        <w:szCs w:val="20"/>
                      </w:rPr>
                      <m:t>Total Ekuitas</m:t>
                    </m:r>
                    <m:ctrlPr>
                      <w:rPr>
                        <w:rFonts w:ascii="Cambria Math" w:hAnsi="Cambria Math"/>
                        <w:bCs/>
                        <w:iCs/>
                        <w:sz w:val="20"/>
                        <w:szCs w:val="20"/>
                      </w:rPr>
                    </m:ctrlPr>
                  </m:den>
                </m:f>
                <m:r>
                  <m:rPr>
                    <m:nor/>
                    <m:sty m:val="p"/>
                  </m:rPr>
                  <w:rPr>
                    <w:bCs/>
                    <w:iCs/>
                    <w:sz w:val="20"/>
                    <w:szCs w:val="20"/>
                  </w:rPr>
                  <m:t xml:space="preserve"> x 100 %</m:t>
                </m:r>
              </m:oMath>
            </m:oMathPara>
          </w:p>
          <w:p w14:paraId="34339444">
            <w:pPr>
              <w:pStyle w:val="26"/>
              <w:spacing w:line="240" w:lineRule="auto"/>
              <w:jc w:val="both"/>
              <w:rPr>
                <w:b w:val="0"/>
                <w:bCs w:val="0"/>
                <w:sz w:val="20"/>
                <w:szCs w:val="20"/>
              </w:rPr>
            </w:pPr>
          </w:p>
        </w:tc>
      </w:tr>
      <w:tr w14:paraId="709D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1413" w:type="dxa"/>
            <w:vMerge w:val="continue"/>
            <w:vAlign w:val="center"/>
          </w:tcPr>
          <w:p w14:paraId="5710A696">
            <w:pPr>
              <w:pStyle w:val="26"/>
              <w:jc w:val="both"/>
              <w:rPr>
                <w:b w:val="0"/>
                <w:bCs w:val="0"/>
                <w:sz w:val="20"/>
                <w:szCs w:val="20"/>
              </w:rPr>
            </w:pPr>
          </w:p>
        </w:tc>
        <w:tc>
          <w:tcPr>
            <w:tcW w:w="3402" w:type="dxa"/>
            <w:tcBorders>
              <w:right w:val="nil"/>
            </w:tcBorders>
          </w:tcPr>
          <w:p w14:paraId="34D3AAE0">
            <w:pPr>
              <w:pStyle w:val="26"/>
              <w:jc w:val="left"/>
              <w:rPr>
                <w:rFonts w:eastAsia="Calibri"/>
                <w:b w:val="0"/>
                <w:bCs w:val="0"/>
                <w:sz w:val="20"/>
                <w:szCs w:val="20"/>
              </w:rPr>
            </w:pPr>
            <w:r>
              <w:rPr>
                <w:rFonts w:eastAsia="Calibri"/>
                <w:b w:val="0"/>
                <w:bCs w:val="0"/>
                <w:sz w:val="20"/>
                <w:szCs w:val="20"/>
              </w:rPr>
              <w:t>Sumber: Sutrisno (2020)</w:t>
            </w:r>
          </w:p>
        </w:tc>
        <w:tc>
          <w:tcPr>
            <w:tcW w:w="3446" w:type="dxa"/>
            <w:tcBorders>
              <w:left w:val="nil"/>
            </w:tcBorders>
            <w:vAlign w:val="center"/>
          </w:tcPr>
          <w:p w14:paraId="374F19CF">
            <w:pPr>
              <w:pStyle w:val="26"/>
              <w:jc w:val="left"/>
              <w:rPr>
                <w:rFonts w:eastAsia="Calibri"/>
                <w:b w:val="0"/>
                <w:bCs w:val="0"/>
                <w:sz w:val="20"/>
                <w:szCs w:val="20"/>
              </w:rPr>
            </w:pPr>
          </w:p>
        </w:tc>
      </w:tr>
      <w:tr w14:paraId="0659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413" w:type="dxa"/>
            <w:vMerge w:val="restart"/>
            <w:vAlign w:val="center"/>
          </w:tcPr>
          <w:p w14:paraId="752C865F">
            <w:pPr>
              <w:pStyle w:val="26"/>
              <w:jc w:val="both"/>
              <w:rPr>
                <w:b w:val="0"/>
                <w:bCs w:val="0"/>
                <w:sz w:val="20"/>
                <w:szCs w:val="20"/>
              </w:rPr>
            </w:pPr>
            <w:r>
              <w:rPr>
                <w:b w:val="0"/>
                <w:bCs w:val="0"/>
                <w:i/>
                <w:iCs/>
                <w:sz w:val="20"/>
                <w:szCs w:val="20"/>
              </w:rPr>
              <w:t xml:space="preserve">Return on Equity  </w:t>
            </w:r>
            <w:r>
              <w:rPr>
                <w:b w:val="0"/>
                <w:bCs w:val="0"/>
                <w:sz w:val="20"/>
                <w:szCs w:val="20"/>
              </w:rPr>
              <w:t>(ROE)</w:t>
            </w:r>
          </w:p>
        </w:tc>
        <w:tc>
          <w:tcPr>
            <w:tcW w:w="3402" w:type="dxa"/>
          </w:tcPr>
          <w:p w14:paraId="482BF14F">
            <w:pPr>
              <w:pStyle w:val="26"/>
              <w:jc w:val="both"/>
              <w:rPr>
                <w:rFonts w:eastAsia="Times New Roman"/>
                <w:b w:val="0"/>
                <w:bCs w:val="0"/>
                <w:sz w:val="20"/>
                <w:szCs w:val="20"/>
              </w:rPr>
            </w:pPr>
            <w:r>
              <w:rPr>
                <w:rFonts w:eastAsia="Times New Roman"/>
                <w:b w:val="0"/>
                <w:bCs w:val="0"/>
                <w:i/>
                <w:iCs/>
                <w:sz w:val="20"/>
                <w:szCs w:val="20"/>
              </w:rPr>
              <w:t>Return On Equity</w:t>
            </w:r>
            <w:r>
              <w:rPr>
                <w:rFonts w:eastAsia="Times New Roman"/>
                <w:b w:val="0"/>
                <w:bCs w:val="0"/>
                <w:sz w:val="20"/>
                <w:szCs w:val="20"/>
              </w:rPr>
              <w:t xml:space="preserve"> (ROE) merupakan rasio yang dihitung dengan membandingkan laba bersih sesudah pajak dengan ekuitas suatu perusahaan. </w:t>
            </w:r>
          </w:p>
        </w:tc>
        <w:tc>
          <w:tcPr>
            <w:tcW w:w="3446" w:type="dxa"/>
            <w:tcBorders>
              <w:bottom w:val="single" w:color="auto" w:sz="4" w:space="0"/>
            </w:tcBorders>
            <w:vAlign w:val="bottom"/>
          </w:tcPr>
          <w:p w14:paraId="5F77DCED">
            <w:pPr>
              <w:spacing w:after="0" w:line="480" w:lineRule="auto"/>
              <w:rPr>
                <w:bCs/>
                <w:szCs w:val="24"/>
              </w:rPr>
            </w:pPr>
          </w:p>
          <w:p w14:paraId="5B040F20">
            <w:pPr>
              <w:spacing w:after="0" w:line="480" w:lineRule="auto"/>
              <w:rPr>
                <w:bCs/>
                <w:color w:val="auto"/>
                <w:sz w:val="20"/>
                <w:szCs w:val="20"/>
              </w:rPr>
            </w:pPr>
            <m:oMathPara>
              <m:oMath>
                <m:r>
                  <m:rPr>
                    <m:nor/>
                    <m:sty m:val="p"/>
                  </m:rPr>
                  <w:rPr>
                    <w:bCs/>
                    <w:sz w:val="20"/>
                    <w:szCs w:val="20"/>
                  </w:rPr>
                  <m:t>ROE=</m:t>
                </m:r>
                <m:f>
                  <m:fPr>
                    <m:ctrlPr>
                      <w:rPr>
                        <w:rFonts w:ascii="Cambria Math" w:hAnsi="Cambria Math"/>
                        <w:bCs/>
                        <w:iCs/>
                        <w:sz w:val="20"/>
                        <w:szCs w:val="20"/>
                      </w:rPr>
                    </m:ctrlPr>
                  </m:fPr>
                  <m:num>
                    <m:r>
                      <m:rPr>
                        <m:nor/>
                        <m:sty m:val="p"/>
                      </m:rPr>
                      <w:rPr>
                        <w:bCs/>
                        <w:sz w:val="20"/>
                        <w:szCs w:val="20"/>
                      </w:rPr>
                      <m:t>Total Utang</m:t>
                    </m:r>
                    <m:ctrlPr>
                      <w:rPr>
                        <w:rFonts w:ascii="Cambria Math" w:hAnsi="Cambria Math"/>
                        <w:bCs/>
                        <w:iCs/>
                        <w:sz w:val="20"/>
                        <w:szCs w:val="20"/>
                      </w:rPr>
                    </m:ctrlPr>
                  </m:num>
                  <m:den>
                    <m:r>
                      <m:rPr>
                        <m:nor/>
                        <m:sty m:val="p"/>
                      </m:rPr>
                      <w:rPr>
                        <w:bCs/>
                        <w:sz w:val="20"/>
                        <w:szCs w:val="20"/>
                      </w:rPr>
                      <m:t>Total Ekuitas</m:t>
                    </m:r>
                    <m:ctrlPr>
                      <w:rPr>
                        <w:rFonts w:ascii="Cambria Math" w:hAnsi="Cambria Math"/>
                        <w:bCs/>
                        <w:iCs/>
                        <w:sz w:val="20"/>
                        <w:szCs w:val="20"/>
                      </w:rPr>
                    </m:ctrlPr>
                  </m:den>
                </m:f>
                <m:r>
                  <m:rPr>
                    <m:nor/>
                    <m:sty m:val="p"/>
                  </m:rPr>
                  <w:rPr>
                    <w:bCs/>
                    <w:iCs/>
                    <w:sz w:val="20"/>
                    <w:szCs w:val="20"/>
                  </w:rPr>
                  <m:t xml:space="preserve"> x 100 %</m:t>
                </m:r>
              </m:oMath>
            </m:oMathPara>
          </w:p>
          <w:p w14:paraId="58D534D8">
            <w:pPr>
              <w:pStyle w:val="26"/>
              <w:spacing w:after="240" w:line="720" w:lineRule="auto"/>
              <w:jc w:val="both"/>
              <w:rPr>
                <w:b w:val="0"/>
                <w:bCs w:val="0"/>
                <w:sz w:val="20"/>
                <w:szCs w:val="20"/>
              </w:rPr>
            </w:pPr>
          </w:p>
        </w:tc>
      </w:tr>
      <w:tr w14:paraId="436C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 w:hRule="atLeast"/>
          <w:jc w:val="center"/>
        </w:trPr>
        <w:tc>
          <w:tcPr>
            <w:tcW w:w="1413" w:type="dxa"/>
            <w:vMerge w:val="continue"/>
            <w:vAlign w:val="center"/>
          </w:tcPr>
          <w:p w14:paraId="27BEC4E9">
            <w:pPr>
              <w:pStyle w:val="26"/>
              <w:jc w:val="both"/>
              <w:rPr>
                <w:b w:val="0"/>
                <w:bCs w:val="0"/>
                <w:sz w:val="20"/>
                <w:szCs w:val="20"/>
              </w:rPr>
            </w:pPr>
          </w:p>
        </w:tc>
        <w:tc>
          <w:tcPr>
            <w:tcW w:w="3402" w:type="dxa"/>
            <w:tcBorders>
              <w:right w:val="nil"/>
            </w:tcBorders>
          </w:tcPr>
          <w:p w14:paraId="5C94E7C6">
            <w:pPr>
              <w:pStyle w:val="26"/>
              <w:jc w:val="both"/>
              <w:rPr>
                <w:rFonts w:eastAsia="Calibri"/>
                <w:b w:val="0"/>
                <w:bCs w:val="0"/>
                <w:sz w:val="20"/>
                <w:szCs w:val="20"/>
              </w:rPr>
            </w:pPr>
            <w:r>
              <w:rPr>
                <w:rFonts w:eastAsia="Calibri"/>
                <w:b w:val="0"/>
                <w:bCs w:val="0"/>
                <w:sz w:val="20"/>
                <w:szCs w:val="20"/>
              </w:rPr>
              <w:t>Sumber: Sutrisno (2020)</w:t>
            </w:r>
          </w:p>
        </w:tc>
        <w:tc>
          <w:tcPr>
            <w:tcW w:w="3446" w:type="dxa"/>
            <w:tcBorders>
              <w:left w:val="nil"/>
            </w:tcBorders>
            <w:vAlign w:val="center"/>
          </w:tcPr>
          <w:p w14:paraId="578C7B8F">
            <w:pPr>
              <w:pStyle w:val="26"/>
              <w:jc w:val="both"/>
              <w:rPr>
                <w:rFonts w:eastAsia="Calibri"/>
                <w:b w:val="0"/>
                <w:bCs w:val="0"/>
                <w:sz w:val="20"/>
                <w:szCs w:val="20"/>
              </w:rPr>
            </w:pPr>
          </w:p>
        </w:tc>
      </w:tr>
      <w:tr w14:paraId="222F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2" w:hRule="atLeast"/>
          <w:jc w:val="center"/>
        </w:trPr>
        <w:tc>
          <w:tcPr>
            <w:tcW w:w="1413" w:type="dxa"/>
            <w:vMerge w:val="restart"/>
            <w:vAlign w:val="center"/>
          </w:tcPr>
          <w:p w14:paraId="45F118CE">
            <w:pPr>
              <w:pStyle w:val="26"/>
              <w:jc w:val="both"/>
              <w:rPr>
                <w:b w:val="0"/>
                <w:bCs w:val="0"/>
                <w:sz w:val="20"/>
                <w:szCs w:val="20"/>
              </w:rPr>
            </w:pPr>
            <w:r>
              <w:rPr>
                <w:b w:val="0"/>
                <w:bCs w:val="0"/>
                <w:sz w:val="20"/>
                <w:szCs w:val="20"/>
              </w:rPr>
              <w:t>Harga Saham</w:t>
            </w:r>
          </w:p>
        </w:tc>
        <w:tc>
          <w:tcPr>
            <w:tcW w:w="3402" w:type="dxa"/>
          </w:tcPr>
          <w:p w14:paraId="4D5174A5">
            <w:pPr>
              <w:pStyle w:val="26"/>
              <w:jc w:val="both"/>
              <w:rPr>
                <w:b w:val="0"/>
                <w:bCs w:val="0"/>
                <w:sz w:val="20"/>
                <w:szCs w:val="20"/>
              </w:rPr>
            </w:pPr>
            <w:r>
              <w:rPr>
                <w:b w:val="0"/>
                <w:bCs w:val="0"/>
                <w:sz w:val="20"/>
                <w:szCs w:val="20"/>
              </w:rPr>
              <w:t>Harga saham yang terjadi di pasar bursa pada saat tertentu yang ditentukan oleh pelaku pasar dan ditentukan oleh permintaan dan penawaran saham yang bersangkutan di pasar modal.</w:t>
            </w:r>
          </w:p>
          <w:p w14:paraId="48F4C7AA">
            <w:pPr>
              <w:pStyle w:val="26"/>
              <w:jc w:val="both"/>
              <w:rPr>
                <w:b w:val="0"/>
                <w:bCs w:val="0"/>
                <w:sz w:val="20"/>
                <w:szCs w:val="20"/>
              </w:rPr>
            </w:pPr>
          </w:p>
        </w:tc>
        <w:tc>
          <w:tcPr>
            <w:tcW w:w="3446" w:type="dxa"/>
            <w:tcBorders>
              <w:bottom w:val="single" w:color="auto" w:sz="4" w:space="0"/>
            </w:tcBorders>
            <w:vAlign w:val="center"/>
          </w:tcPr>
          <w:p w14:paraId="719CA9E9">
            <w:pPr>
              <w:pStyle w:val="26"/>
              <w:jc w:val="both"/>
              <w:rPr>
                <w:b w:val="0"/>
                <w:bCs w:val="0"/>
                <w:i/>
                <w:sz w:val="20"/>
                <w:szCs w:val="20"/>
              </w:rPr>
            </w:pPr>
            <w:r>
              <w:rPr>
                <w:i/>
                <w:sz w:val="20"/>
                <w:szCs w:val="20"/>
              </w:rPr>
              <w:t xml:space="preserve">                </w:t>
            </w:r>
            <w:r>
              <w:rPr>
                <w:b w:val="0"/>
                <w:bCs w:val="0"/>
                <w:i/>
                <w:sz w:val="20"/>
                <w:szCs w:val="20"/>
              </w:rPr>
              <w:t xml:space="preserve">   Closing Price</w:t>
            </w:r>
          </w:p>
        </w:tc>
      </w:tr>
      <w:tr w14:paraId="6C6E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jc w:val="center"/>
        </w:trPr>
        <w:tc>
          <w:tcPr>
            <w:tcW w:w="1413" w:type="dxa"/>
            <w:vMerge w:val="continue"/>
            <w:vAlign w:val="center"/>
          </w:tcPr>
          <w:p w14:paraId="07937D92">
            <w:pPr>
              <w:pStyle w:val="26"/>
              <w:jc w:val="both"/>
              <w:rPr>
                <w:b w:val="0"/>
                <w:bCs w:val="0"/>
                <w:sz w:val="20"/>
                <w:szCs w:val="20"/>
              </w:rPr>
            </w:pPr>
          </w:p>
        </w:tc>
        <w:tc>
          <w:tcPr>
            <w:tcW w:w="3402" w:type="dxa"/>
            <w:tcBorders>
              <w:right w:val="nil"/>
            </w:tcBorders>
          </w:tcPr>
          <w:p w14:paraId="40450B14">
            <w:pPr>
              <w:pStyle w:val="26"/>
              <w:jc w:val="left"/>
              <w:rPr>
                <w:rFonts w:eastAsia="Calibri"/>
                <w:b w:val="0"/>
                <w:bCs w:val="0"/>
                <w:sz w:val="20"/>
                <w:szCs w:val="20"/>
              </w:rPr>
            </w:pPr>
            <w:r>
              <w:rPr>
                <w:rFonts w:eastAsia="Calibri"/>
                <w:b w:val="0"/>
                <w:bCs w:val="0"/>
                <w:sz w:val="20"/>
                <w:szCs w:val="20"/>
              </w:rPr>
              <w:t>Sumber: Brigham dan Houston (2014)</w:t>
            </w:r>
          </w:p>
        </w:tc>
        <w:tc>
          <w:tcPr>
            <w:tcW w:w="3446" w:type="dxa"/>
            <w:tcBorders>
              <w:left w:val="nil"/>
            </w:tcBorders>
            <w:vAlign w:val="center"/>
          </w:tcPr>
          <w:p w14:paraId="33C6CB38">
            <w:pPr>
              <w:pStyle w:val="26"/>
              <w:jc w:val="left"/>
              <w:rPr>
                <w:rFonts w:eastAsia="Calibri"/>
                <w:b w:val="0"/>
                <w:bCs w:val="0"/>
                <w:sz w:val="20"/>
                <w:szCs w:val="20"/>
              </w:rPr>
            </w:pPr>
          </w:p>
        </w:tc>
      </w:tr>
      <w:tr w14:paraId="5A14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1413" w:type="dxa"/>
            <w:vMerge w:val="restart"/>
            <w:vAlign w:val="center"/>
          </w:tcPr>
          <w:p w14:paraId="765603E0">
            <w:pPr>
              <w:pStyle w:val="26"/>
              <w:jc w:val="both"/>
              <w:rPr>
                <w:b w:val="0"/>
                <w:bCs w:val="0"/>
                <w:sz w:val="20"/>
                <w:szCs w:val="20"/>
              </w:rPr>
            </w:pPr>
            <w:r>
              <w:rPr>
                <w:b w:val="0"/>
                <w:bCs w:val="0"/>
                <w:sz w:val="20"/>
                <w:szCs w:val="20"/>
              </w:rPr>
              <w:t>Kebijakan Dividen</w:t>
            </w:r>
          </w:p>
        </w:tc>
        <w:tc>
          <w:tcPr>
            <w:tcW w:w="3402" w:type="dxa"/>
          </w:tcPr>
          <w:p w14:paraId="5CDFA953">
            <w:pPr>
              <w:pStyle w:val="26"/>
              <w:jc w:val="both"/>
              <w:rPr>
                <w:rFonts w:eastAsia="Calibri"/>
                <w:b w:val="0"/>
                <w:bCs w:val="0"/>
                <w:sz w:val="20"/>
                <w:szCs w:val="20"/>
              </w:rPr>
            </w:pPr>
            <w:r>
              <w:rPr>
                <w:rFonts w:eastAsia="Calibri"/>
                <w:b w:val="0"/>
                <w:bCs w:val="0"/>
                <w:sz w:val="20"/>
                <w:szCs w:val="20"/>
              </w:rPr>
              <w:t xml:space="preserve">Kebijakan dividen diukur dengan Dividen Yield (DY). Dividend Yield adalah ukuran yang menunjukkan seberapa besar imbal hasil yang diperoleh investor dari dividen yang dibayarkan oleh perusahaan. </w:t>
            </w:r>
          </w:p>
        </w:tc>
        <w:tc>
          <w:tcPr>
            <w:tcW w:w="3446" w:type="dxa"/>
            <w:tcBorders>
              <w:bottom w:val="single" w:color="auto" w:sz="4" w:space="0"/>
            </w:tcBorders>
            <w:vAlign w:val="center"/>
          </w:tcPr>
          <w:p w14:paraId="28DCA46A">
            <w:pPr>
              <w:pStyle w:val="26"/>
              <w:jc w:val="both"/>
              <w:rPr>
                <w:rFonts w:eastAsia="Calibri"/>
                <w:b w:val="0"/>
                <w:sz w:val="18"/>
                <w:szCs w:val="18"/>
              </w:rPr>
            </w:pPr>
          </w:p>
          <w:p w14:paraId="339C5152">
            <w:pPr>
              <w:spacing w:after="0" w:line="480" w:lineRule="auto"/>
              <w:rPr>
                <w:bCs/>
                <w:color w:val="auto"/>
                <w:sz w:val="20"/>
                <w:szCs w:val="20"/>
              </w:rPr>
            </w:pPr>
            <m:oMathPara>
              <m:oMath>
                <m:r>
                  <m:rPr>
                    <m:nor/>
                    <m:sty m:val="p"/>
                  </m:rPr>
                  <w:rPr>
                    <w:bCs/>
                    <w:sz w:val="20"/>
                    <w:szCs w:val="20"/>
                  </w:rPr>
                  <m:t>DY=</m:t>
                </m:r>
                <m:f>
                  <m:fPr>
                    <m:ctrlPr>
                      <w:rPr>
                        <w:rFonts w:ascii="Cambria Math" w:hAnsi="Cambria Math"/>
                        <w:bCs/>
                        <w:iCs/>
                        <w:sz w:val="20"/>
                        <w:szCs w:val="20"/>
                      </w:rPr>
                    </m:ctrlPr>
                  </m:fPr>
                  <m:num>
                    <m:r>
                      <m:rPr>
                        <m:nor/>
                        <m:sty m:val="p"/>
                      </m:rPr>
                      <w:rPr>
                        <w:bCs/>
                        <w:sz w:val="20"/>
                        <w:szCs w:val="20"/>
                      </w:rPr>
                      <m:t>Dividen per Saham</m:t>
                    </m:r>
                    <m:ctrlPr>
                      <w:rPr>
                        <w:rFonts w:ascii="Cambria Math" w:hAnsi="Cambria Math"/>
                        <w:bCs/>
                        <w:iCs/>
                        <w:sz w:val="20"/>
                        <w:szCs w:val="20"/>
                      </w:rPr>
                    </m:ctrlPr>
                  </m:num>
                  <m:den>
                    <m:r>
                      <m:rPr>
                        <m:nor/>
                        <m:sty m:val="p"/>
                      </m:rPr>
                      <w:rPr>
                        <w:bCs/>
                        <w:sz w:val="20"/>
                        <w:szCs w:val="20"/>
                      </w:rPr>
                      <m:t>Harga Saham Saat Ini</m:t>
                    </m:r>
                    <m:ctrlPr>
                      <w:rPr>
                        <w:rFonts w:ascii="Cambria Math" w:hAnsi="Cambria Math"/>
                        <w:bCs/>
                        <w:iCs/>
                        <w:sz w:val="20"/>
                        <w:szCs w:val="20"/>
                      </w:rPr>
                    </m:ctrlPr>
                  </m:den>
                </m:f>
                <m:r>
                  <m:rPr>
                    <m:nor/>
                    <m:sty m:val="p"/>
                  </m:rPr>
                  <w:rPr>
                    <w:bCs/>
                    <w:iCs/>
                    <w:sz w:val="20"/>
                    <w:szCs w:val="20"/>
                  </w:rPr>
                  <m:t xml:space="preserve"> x 100 %</m:t>
                </m:r>
              </m:oMath>
            </m:oMathPara>
          </w:p>
          <w:p w14:paraId="0B6FC639">
            <w:pPr>
              <w:pStyle w:val="26"/>
              <w:jc w:val="both"/>
              <w:rPr>
                <w:rFonts w:eastAsia="Calibri"/>
                <w:b w:val="0"/>
                <w:sz w:val="18"/>
                <w:szCs w:val="18"/>
              </w:rPr>
            </w:pPr>
          </w:p>
        </w:tc>
      </w:tr>
      <w:tr w14:paraId="12BC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413" w:type="dxa"/>
            <w:vMerge w:val="continue"/>
            <w:vAlign w:val="center"/>
          </w:tcPr>
          <w:p w14:paraId="537CB269">
            <w:pPr>
              <w:pStyle w:val="26"/>
              <w:jc w:val="both"/>
              <w:rPr>
                <w:b w:val="0"/>
                <w:bCs w:val="0"/>
                <w:sz w:val="20"/>
                <w:szCs w:val="20"/>
              </w:rPr>
            </w:pPr>
          </w:p>
        </w:tc>
        <w:tc>
          <w:tcPr>
            <w:tcW w:w="3402" w:type="dxa"/>
            <w:tcBorders>
              <w:right w:val="nil"/>
            </w:tcBorders>
          </w:tcPr>
          <w:p w14:paraId="71D5356A">
            <w:pPr>
              <w:pStyle w:val="26"/>
              <w:jc w:val="left"/>
              <w:rPr>
                <w:rFonts w:eastAsia="Calibri"/>
                <w:b w:val="0"/>
                <w:bCs w:val="0"/>
                <w:sz w:val="20"/>
                <w:szCs w:val="20"/>
              </w:rPr>
            </w:pPr>
            <w:r>
              <w:rPr>
                <w:rFonts w:eastAsia="Calibri"/>
                <w:b w:val="0"/>
                <w:bCs w:val="0"/>
                <w:sz w:val="20"/>
                <w:szCs w:val="20"/>
              </w:rPr>
              <w:t>Sumber: Khurniaji (2013)</w:t>
            </w:r>
          </w:p>
        </w:tc>
        <w:tc>
          <w:tcPr>
            <w:tcW w:w="3446" w:type="dxa"/>
            <w:tcBorders>
              <w:left w:val="nil"/>
            </w:tcBorders>
            <w:vAlign w:val="center"/>
          </w:tcPr>
          <w:p w14:paraId="1B6F2A75">
            <w:pPr>
              <w:pStyle w:val="26"/>
              <w:jc w:val="left"/>
              <w:rPr>
                <w:rFonts w:eastAsia="Calibri"/>
                <w:b w:val="0"/>
                <w:bCs w:val="0"/>
                <w:sz w:val="20"/>
                <w:szCs w:val="20"/>
              </w:rPr>
            </w:pPr>
          </w:p>
        </w:tc>
      </w:tr>
    </w:tbl>
    <w:p w14:paraId="4B6B19D5">
      <w:pPr>
        <w:pStyle w:val="2"/>
        <w:spacing w:before="240" w:after="0" w:line="240" w:lineRule="auto"/>
        <w:ind w:left="0" w:firstLine="0"/>
        <w:jc w:val="both"/>
        <w:rPr>
          <w:b/>
          <w:bCs/>
        </w:rPr>
      </w:pPr>
      <w:r>
        <w:commentReference w:id="4"/>
      </w:r>
    </w:p>
    <w:p w14:paraId="651085FF"/>
    <w:p w14:paraId="5C9F042A"/>
    <w:p w14:paraId="67C092AB"/>
    <w:p w14:paraId="4151812E"/>
    <w:p w14:paraId="15E24932"/>
    <w:p w14:paraId="2A73155F"/>
    <w:p w14:paraId="34964887">
      <w:pPr>
        <w:pStyle w:val="2"/>
        <w:spacing w:after="0" w:line="240" w:lineRule="auto"/>
        <w:jc w:val="both"/>
        <w:rPr>
          <w:szCs w:val="24"/>
        </w:rPr>
      </w:pPr>
      <w:r>
        <w:rPr>
          <w:b/>
          <w:bCs/>
        </w:rPr>
        <w:t>Pembahasan</w:t>
      </w:r>
    </w:p>
    <w:p w14:paraId="311C5145">
      <w:pPr>
        <w:ind w:left="0" w:firstLine="0"/>
      </w:pPr>
      <w:r>
        <w:t>Hasil Analisis Data</w:t>
      </w:r>
    </w:p>
    <w:p w14:paraId="046938FD">
      <w:pPr>
        <w:pStyle w:val="23"/>
        <w:numPr>
          <w:ilvl w:val="0"/>
          <w:numId w:val="4"/>
        </w:numPr>
        <w:spacing w:after="200" w:line="480" w:lineRule="auto"/>
        <w:ind w:left="426" w:hanging="426"/>
        <w:rPr>
          <w:b/>
        </w:rPr>
      </w:pPr>
      <w:r>
        <w:rPr>
          <w:b/>
        </w:rPr>
        <w:t>Uji Normalitas</w:t>
      </w:r>
    </w:p>
    <w:p w14:paraId="53BC027F">
      <w:pPr>
        <w:pStyle w:val="23"/>
        <w:spacing w:after="0"/>
        <w:ind w:left="426" w:firstLine="294"/>
        <w:rPr>
          <w:b/>
        </w:rPr>
      </w:pPr>
      <w:r>
        <w:rPr>
          <w:szCs w:val="24"/>
        </w:rPr>
        <w:t xml:space="preserve">Uji normalitas menggunakan Kolmogorov-Smirnov (K-S). Jika nilai sig &gt; 0,05, maka hal ini berarti bahwa data tersebut terdistribusi normal sedangkan jika nilai sig &lt; 0,05, maka hal ini berarti data tersebut tidak terdistribusi normal </w:t>
      </w:r>
      <w:r>
        <w:rPr>
          <w:szCs w:val="24"/>
        </w:rPr>
        <w:fldChar w:fldCharType="begin" w:fldLock="1"/>
      </w:r>
      <w:r>
        <w:rPr>
          <w:szCs w:val="24"/>
        </w:rPr>
        <w:instrText xml:space="preserve">ADDIN CSL_CITATION {"citationItems":[{"id":"ITEM-1","itemData":{"author":[{"dropping-particle":"","family":"Ghozali","given":"Imam","non-dropping-particle":"","parse-names":false,"suffix":""}],"id":"ITEM-1","issued":{"date-parts":[["2018"]]},"publisher":"Semarang : Universitas Diponegoro","title":"Aplikasi Analisis Multivariate Dengan Program IBM SPSS 25","type":"book"},"uris":["http://www.mendeley.com/documents/?uuid=e811e0a4-364d-403d-ab53-a8f539b88664"]}],"mendeley":{"formattedCitation":"(Ghozali, 2018)","plainTextFormattedCitation":"(Ghozali, 2018)","previouslyFormattedCitation":"(Ghozali, 2018)"},"properties":{"noteIndex":0},"schema":"https://github.com/citation-style-language/schema/raw/master/csl-citation.json"}</w:instrText>
      </w:r>
      <w:r>
        <w:rPr>
          <w:szCs w:val="24"/>
        </w:rPr>
        <w:fldChar w:fldCharType="separate"/>
      </w:r>
      <w:r>
        <w:rPr>
          <w:szCs w:val="24"/>
        </w:rPr>
        <w:t>(Ghozali, 2013)</w:t>
      </w:r>
      <w:r>
        <w:rPr>
          <w:szCs w:val="24"/>
        </w:rPr>
        <w:fldChar w:fldCharType="end"/>
      </w:r>
      <w:r>
        <w:rPr>
          <w:szCs w:val="24"/>
        </w:rPr>
        <w:t>. Berikut adalah hasil uji normalitas pada penelitian ini:</w:t>
      </w:r>
    </w:p>
    <w:p w14:paraId="6EB8B201">
      <w:pPr>
        <w:pStyle w:val="8"/>
        <w:spacing w:after="0" w:line="480" w:lineRule="auto"/>
        <w:jc w:val="center"/>
        <w:rPr>
          <w:rFonts w:ascii="Times New Roman" w:hAnsi="Times New Roman" w:cs="Times New Roman"/>
          <w:b/>
          <w:color w:val="auto"/>
          <w:sz w:val="24"/>
        </w:rPr>
      </w:pPr>
      <w:commentRangeStart w:id="5"/>
      <w:r>
        <w:rPr>
          <w:rFonts w:ascii="Times New Roman" w:hAnsi="Times New Roman" w:cs="Times New Roman"/>
          <w:color w:val="auto"/>
          <w:sz w:val="24"/>
        </w:rPr>
        <w:t xml:space="preserve">Tabel 4. </w:t>
      </w:r>
      <w:r>
        <w:rPr>
          <w:rFonts w:ascii="Times New Roman" w:hAnsi="Times New Roman" w:cs="Times New Roman"/>
          <w:b/>
          <w:color w:val="auto"/>
          <w:sz w:val="24"/>
        </w:rPr>
        <w:fldChar w:fldCharType="begin"/>
      </w:r>
      <w:r>
        <w:rPr>
          <w:rFonts w:ascii="Times New Roman" w:hAnsi="Times New Roman" w:cs="Times New Roman"/>
          <w:color w:val="auto"/>
          <w:sz w:val="24"/>
        </w:rPr>
        <w:instrText xml:space="preserve"> SEQ Tabel_4. \* ARABIC </w:instrText>
      </w:r>
      <w:r>
        <w:rPr>
          <w:rFonts w:ascii="Times New Roman" w:hAnsi="Times New Roman" w:cs="Times New Roman"/>
          <w:b/>
          <w:color w:val="auto"/>
          <w:sz w:val="24"/>
        </w:rPr>
        <w:fldChar w:fldCharType="separate"/>
      </w:r>
      <w:r>
        <w:rPr>
          <w:rFonts w:ascii="Times New Roman" w:hAnsi="Times New Roman" w:cs="Times New Roman"/>
          <w:color w:val="auto"/>
          <w:sz w:val="24"/>
        </w:rPr>
        <w:t>3</w:t>
      </w:r>
      <w:r>
        <w:rPr>
          <w:rFonts w:ascii="Times New Roman" w:hAnsi="Times New Roman" w:cs="Times New Roman"/>
          <w:b/>
          <w:color w:val="auto"/>
          <w:sz w:val="24"/>
        </w:rPr>
        <w:fldChar w:fldCharType="end"/>
      </w:r>
      <w:commentRangeEnd w:id="5"/>
      <w:r>
        <w:commentReference w:id="5"/>
      </w:r>
      <w:r>
        <w:rPr>
          <w:rFonts w:ascii="Times New Roman" w:hAnsi="Times New Roman" w:cs="Times New Roman"/>
          <w:color w:val="auto"/>
          <w:sz w:val="24"/>
        </w:rPr>
        <w:t xml:space="preserve"> Hasil Uji Normalitas</w:t>
      </w:r>
    </w:p>
    <w:tbl>
      <w:tblPr>
        <w:tblStyle w:val="6"/>
        <w:tblW w:w="53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45"/>
        <w:gridCol w:w="1445"/>
        <w:gridCol w:w="1475"/>
      </w:tblGrid>
      <w:tr w14:paraId="7652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5365" w:type="dxa"/>
            <w:gridSpan w:val="3"/>
            <w:shd w:val="clear" w:color="auto" w:fill="auto"/>
            <w:vAlign w:val="center"/>
          </w:tcPr>
          <w:p w14:paraId="3E91B179">
            <w:pPr>
              <w:autoSpaceDE w:val="0"/>
              <w:autoSpaceDN w:val="0"/>
              <w:adjustRightInd w:val="0"/>
              <w:spacing w:after="0" w:line="320" w:lineRule="atLeast"/>
              <w:ind w:left="60" w:right="60"/>
              <w:jc w:val="center"/>
            </w:pPr>
            <w:r>
              <w:rPr>
                <w:b/>
                <w:bCs/>
              </w:rPr>
              <w:t>One-Sample Kolmogorov-Smirnov Test</w:t>
            </w:r>
          </w:p>
        </w:tc>
      </w:tr>
      <w:tr w14:paraId="1432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3890" w:type="dxa"/>
            <w:gridSpan w:val="2"/>
            <w:shd w:val="clear" w:color="auto" w:fill="auto"/>
            <w:vAlign w:val="bottom"/>
          </w:tcPr>
          <w:p w14:paraId="4A55B319">
            <w:pPr>
              <w:autoSpaceDE w:val="0"/>
              <w:autoSpaceDN w:val="0"/>
              <w:adjustRightInd w:val="0"/>
              <w:spacing w:after="0" w:line="240" w:lineRule="auto"/>
              <w:rPr>
                <w:szCs w:val="24"/>
              </w:rPr>
            </w:pPr>
          </w:p>
        </w:tc>
        <w:tc>
          <w:tcPr>
            <w:tcW w:w="1475" w:type="dxa"/>
            <w:shd w:val="clear" w:color="auto" w:fill="auto"/>
            <w:vAlign w:val="bottom"/>
          </w:tcPr>
          <w:p w14:paraId="54C4926F">
            <w:pPr>
              <w:autoSpaceDE w:val="0"/>
              <w:autoSpaceDN w:val="0"/>
              <w:adjustRightInd w:val="0"/>
              <w:spacing w:after="0" w:line="320" w:lineRule="atLeast"/>
              <w:ind w:left="60" w:right="60"/>
              <w:jc w:val="center"/>
              <w:rPr>
                <w:sz w:val="18"/>
                <w:szCs w:val="18"/>
              </w:rPr>
            </w:pPr>
            <w:r>
              <w:rPr>
                <w:sz w:val="18"/>
                <w:szCs w:val="18"/>
              </w:rPr>
              <w:t>Unstandardized Residual</w:t>
            </w:r>
          </w:p>
        </w:tc>
      </w:tr>
      <w:tr w14:paraId="5B9B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3890" w:type="dxa"/>
            <w:gridSpan w:val="2"/>
            <w:shd w:val="clear" w:color="auto" w:fill="auto"/>
          </w:tcPr>
          <w:p w14:paraId="71D8E4D9">
            <w:pPr>
              <w:autoSpaceDE w:val="0"/>
              <w:autoSpaceDN w:val="0"/>
              <w:adjustRightInd w:val="0"/>
              <w:spacing w:after="0" w:line="320" w:lineRule="atLeast"/>
              <w:ind w:left="60" w:right="60"/>
              <w:rPr>
                <w:sz w:val="18"/>
                <w:szCs w:val="18"/>
              </w:rPr>
            </w:pPr>
            <w:r>
              <w:rPr>
                <w:sz w:val="18"/>
                <w:szCs w:val="18"/>
              </w:rPr>
              <w:t>N</w:t>
            </w:r>
          </w:p>
        </w:tc>
        <w:tc>
          <w:tcPr>
            <w:tcW w:w="1475" w:type="dxa"/>
            <w:shd w:val="clear" w:color="auto" w:fill="auto"/>
          </w:tcPr>
          <w:p w14:paraId="28D056B7">
            <w:pPr>
              <w:autoSpaceDE w:val="0"/>
              <w:autoSpaceDN w:val="0"/>
              <w:adjustRightInd w:val="0"/>
              <w:spacing w:after="0" w:line="320" w:lineRule="atLeast"/>
              <w:ind w:left="60" w:right="60"/>
              <w:jc w:val="right"/>
              <w:rPr>
                <w:sz w:val="18"/>
                <w:szCs w:val="18"/>
              </w:rPr>
            </w:pPr>
            <w:r>
              <w:rPr>
                <w:sz w:val="18"/>
                <w:szCs w:val="18"/>
              </w:rPr>
              <w:t>228</w:t>
            </w:r>
          </w:p>
        </w:tc>
      </w:tr>
      <w:tr w14:paraId="305F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445" w:type="dxa"/>
            <w:vMerge w:val="restart"/>
            <w:shd w:val="clear" w:color="auto" w:fill="auto"/>
          </w:tcPr>
          <w:p w14:paraId="73564754">
            <w:pPr>
              <w:autoSpaceDE w:val="0"/>
              <w:autoSpaceDN w:val="0"/>
              <w:adjustRightInd w:val="0"/>
              <w:spacing w:after="0" w:line="320" w:lineRule="atLeast"/>
              <w:ind w:left="60" w:right="60"/>
              <w:rPr>
                <w:sz w:val="18"/>
                <w:szCs w:val="18"/>
              </w:rPr>
            </w:pPr>
            <w:r>
              <w:rPr>
                <w:sz w:val="18"/>
                <w:szCs w:val="18"/>
              </w:rPr>
              <w:t>Normal Parameters</w:t>
            </w:r>
            <w:r>
              <w:rPr>
                <w:sz w:val="18"/>
                <w:szCs w:val="18"/>
                <w:vertAlign w:val="superscript"/>
              </w:rPr>
              <w:t>a,b</w:t>
            </w:r>
          </w:p>
        </w:tc>
        <w:tc>
          <w:tcPr>
            <w:tcW w:w="1445" w:type="dxa"/>
            <w:shd w:val="clear" w:color="auto" w:fill="auto"/>
          </w:tcPr>
          <w:p w14:paraId="4FFB4A7D">
            <w:pPr>
              <w:autoSpaceDE w:val="0"/>
              <w:autoSpaceDN w:val="0"/>
              <w:adjustRightInd w:val="0"/>
              <w:spacing w:after="0" w:line="320" w:lineRule="atLeast"/>
              <w:ind w:left="60" w:right="60"/>
              <w:rPr>
                <w:sz w:val="18"/>
                <w:szCs w:val="18"/>
              </w:rPr>
            </w:pPr>
            <w:r>
              <w:rPr>
                <w:sz w:val="18"/>
                <w:szCs w:val="18"/>
              </w:rPr>
              <w:t>Mean</w:t>
            </w:r>
          </w:p>
        </w:tc>
        <w:tc>
          <w:tcPr>
            <w:tcW w:w="1475" w:type="dxa"/>
            <w:shd w:val="clear" w:color="auto" w:fill="auto"/>
          </w:tcPr>
          <w:p w14:paraId="766589AE">
            <w:pPr>
              <w:autoSpaceDE w:val="0"/>
              <w:autoSpaceDN w:val="0"/>
              <w:adjustRightInd w:val="0"/>
              <w:spacing w:after="0" w:line="320" w:lineRule="atLeast"/>
              <w:ind w:left="60" w:right="60"/>
              <w:jc w:val="right"/>
              <w:rPr>
                <w:sz w:val="18"/>
                <w:szCs w:val="18"/>
              </w:rPr>
            </w:pPr>
            <w:r>
              <w:rPr>
                <w:sz w:val="18"/>
                <w:szCs w:val="18"/>
              </w:rPr>
              <w:t>.0000000</w:t>
            </w:r>
          </w:p>
        </w:tc>
      </w:tr>
      <w:tr w14:paraId="5CA2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445" w:type="dxa"/>
            <w:vMerge w:val="continue"/>
            <w:shd w:val="clear" w:color="auto" w:fill="auto"/>
          </w:tcPr>
          <w:p w14:paraId="64F32F3A">
            <w:pPr>
              <w:autoSpaceDE w:val="0"/>
              <w:autoSpaceDN w:val="0"/>
              <w:adjustRightInd w:val="0"/>
              <w:spacing w:after="0" w:line="240" w:lineRule="auto"/>
              <w:rPr>
                <w:sz w:val="18"/>
                <w:szCs w:val="18"/>
              </w:rPr>
            </w:pPr>
          </w:p>
        </w:tc>
        <w:tc>
          <w:tcPr>
            <w:tcW w:w="1445" w:type="dxa"/>
            <w:shd w:val="clear" w:color="auto" w:fill="auto"/>
          </w:tcPr>
          <w:p w14:paraId="6067A1BB">
            <w:pPr>
              <w:autoSpaceDE w:val="0"/>
              <w:autoSpaceDN w:val="0"/>
              <w:adjustRightInd w:val="0"/>
              <w:spacing w:after="0" w:line="320" w:lineRule="atLeast"/>
              <w:ind w:left="60" w:right="60"/>
              <w:rPr>
                <w:sz w:val="18"/>
                <w:szCs w:val="18"/>
              </w:rPr>
            </w:pPr>
            <w:r>
              <w:rPr>
                <w:sz w:val="18"/>
                <w:szCs w:val="18"/>
              </w:rPr>
              <w:t>Std. Deviation</w:t>
            </w:r>
          </w:p>
        </w:tc>
        <w:tc>
          <w:tcPr>
            <w:tcW w:w="1475" w:type="dxa"/>
            <w:shd w:val="clear" w:color="auto" w:fill="auto"/>
          </w:tcPr>
          <w:p w14:paraId="02B45EBA">
            <w:pPr>
              <w:autoSpaceDE w:val="0"/>
              <w:autoSpaceDN w:val="0"/>
              <w:adjustRightInd w:val="0"/>
              <w:spacing w:after="0" w:line="320" w:lineRule="atLeast"/>
              <w:ind w:left="60" w:right="60"/>
              <w:jc w:val="right"/>
              <w:rPr>
                <w:sz w:val="18"/>
                <w:szCs w:val="18"/>
              </w:rPr>
            </w:pPr>
            <w:r>
              <w:rPr>
                <w:sz w:val="18"/>
                <w:szCs w:val="18"/>
              </w:rPr>
              <w:t>2012.76374015</w:t>
            </w:r>
          </w:p>
        </w:tc>
      </w:tr>
      <w:tr w14:paraId="3FDF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445" w:type="dxa"/>
            <w:vMerge w:val="restart"/>
            <w:shd w:val="clear" w:color="auto" w:fill="auto"/>
          </w:tcPr>
          <w:p w14:paraId="66D0537E">
            <w:pPr>
              <w:autoSpaceDE w:val="0"/>
              <w:autoSpaceDN w:val="0"/>
              <w:adjustRightInd w:val="0"/>
              <w:spacing w:after="0" w:line="320" w:lineRule="atLeast"/>
              <w:ind w:left="60" w:right="60"/>
              <w:rPr>
                <w:sz w:val="18"/>
                <w:szCs w:val="18"/>
              </w:rPr>
            </w:pPr>
            <w:r>
              <w:rPr>
                <w:sz w:val="18"/>
                <w:szCs w:val="18"/>
              </w:rPr>
              <w:t>Most Extreme Differences</w:t>
            </w:r>
          </w:p>
        </w:tc>
        <w:tc>
          <w:tcPr>
            <w:tcW w:w="1445" w:type="dxa"/>
            <w:shd w:val="clear" w:color="auto" w:fill="auto"/>
          </w:tcPr>
          <w:p w14:paraId="611FF7BE">
            <w:pPr>
              <w:autoSpaceDE w:val="0"/>
              <w:autoSpaceDN w:val="0"/>
              <w:adjustRightInd w:val="0"/>
              <w:spacing w:after="0" w:line="320" w:lineRule="atLeast"/>
              <w:ind w:left="60" w:right="60"/>
              <w:rPr>
                <w:sz w:val="18"/>
                <w:szCs w:val="18"/>
              </w:rPr>
            </w:pPr>
            <w:r>
              <w:rPr>
                <w:sz w:val="18"/>
                <w:szCs w:val="18"/>
              </w:rPr>
              <w:t>Absolute</w:t>
            </w:r>
          </w:p>
        </w:tc>
        <w:tc>
          <w:tcPr>
            <w:tcW w:w="1475" w:type="dxa"/>
            <w:shd w:val="clear" w:color="auto" w:fill="auto"/>
          </w:tcPr>
          <w:p w14:paraId="22700E3D">
            <w:pPr>
              <w:autoSpaceDE w:val="0"/>
              <w:autoSpaceDN w:val="0"/>
              <w:adjustRightInd w:val="0"/>
              <w:spacing w:after="0" w:line="320" w:lineRule="atLeast"/>
              <w:ind w:left="60" w:right="60"/>
              <w:jc w:val="right"/>
              <w:rPr>
                <w:sz w:val="18"/>
                <w:szCs w:val="18"/>
              </w:rPr>
            </w:pPr>
            <w:r>
              <w:rPr>
                <w:sz w:val="18"/>
                <w:szCs w:val="18"/>
              </w:rPr>
              <w:t>.260</w:t>
            </w:r>
          </w:p>
        </w:tc>
      </w:tr>
      <w:tr w14:paraId="7C7C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445" w:type="dxa"/>
            <w:vMerge w:val="continue"/>
            <w:shd w:val="clear" w:color="auto" w:fill="auto"/>
          </w:tcPr>
          <w:p w14:paraId="6A4EA9D8">
            <w:pPr>
              <w:autoSpaceDE w:val="0"/>
              <w:autoSpaceDN w:val="0"/>
              <w:adjustRightInd w:val="0"/>
              <w:spacing w:after="0" w:line="240" w:lineRule="auto"/>
              <w:rPr>
                <w:sz w:val="18"/>
                <w:szCs w:val="18"/>
              </w:rPr>
            </w:pPr>
          </w:p>
        </w:tc>
        <w:tc>
          <w:tcPr>
            <w:tcW w:w="1445" w:type="dxa"/>
            <w:shd w:val="clear" w:color="auto" w:fill="auto"/>
          </w:tcPr>
          <w:p w14:paraId="66D6B9EE">
            <w:pPr>
              <w:autoSpaceDE w:val="0"/>
              <w:autoSpaceDN w:val="0"/>
              <w:adjustRightInd w:val="0"/>
              <w:spacing w:after="0" w:line="320" w:lineRule="atLeast"/>
              <w:ind w:left="60" w:right="60"/>
              <w:rPr>
                <w:sz w:val="18"/>
                <w:szCs w:val="18"/>
              </w:rPr>
            </w:pPr>
            <w:r>
              <w:rPr>
                <w:sz w:val="18"/>
                <w:szCs w:val="18"/>
              </w:rPr>
              <w:t>Positive</w:t>
            </w:r>
          </w:p>
        </w:tc>
        <w:tc>
          <w:tcPr>
            <w:tcW w:w="1475" w:type="dxa"/>
            <w:shd w:val="clear" w:color="auto" w:fill="auto"/>
          </w:tcPr>
          <w:p w14:paraId="56A7BFF8">
            <w:pPr>
              <w:autoSpaceDE w:val="0"/>
              <w:autoSpaceDN w:val="0"/>
              <w:adjustRightInd w:val="0"/>
              <w:spacing w:after="0" w:line="320" w:lineRule="atLeast"/>
              <w:ind w:left="60" w:right="60"/>
              <w:jc w:val="right"/>
              <w:rPr>
                <w:sz w:val="18"/>
                <w:szCs w:val="18"/>
              </w:rPr>
            </w:pPr>
            <w:r>
              <w:rPr>
                <w:sz w:val="18"/>
                <w:szCs w:val="18"/>
              </w:rPr>
              <w:t>.260</w:t>
            </w:r>
          </w:p>
        </w:tc>
      </w:tr>
      <w:tr w14:paraId="4A27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445" w:type="dxa"/>
            <w:vMerge w:val="continue"/>
            <w:shd w:val="clear" w:color="auto" w:fill="auto"/>
          </w:tcPr>
          <w:p w14:paraId="4B40B399">
            <w:pPr>
              <w:autoSpaceDE w:val="0"/>
              <w:autoSpaceDN w:val="0"/>
              <w:adjustRightInd w:val="0"/>
              <w:spacing w:after="0" w:line="240" w:lineRule="auto"/>
              <w:rPr>
                <w:sz w:val="18"/>
                <w:szCs w:val="18"/>
              </w:rPr>
            </w:pPr>
          </w:p>
        </w:tc>
        <w:tc>
          <w:tcPr>
            <w:tcW w:w="1445" w:type="dxa"/>
            <w:shd w:val="clear" w:color="auto" w:fill="auto"/>
          </w:tcPr>
          <w:p w14:paraId="0C36E44E">
            <w:pPr>
              <w:autoSpaceDE w:val="0"/>
              <w:autoSpaceDN w:val="0"/>
              <w:adjustRightInd w:val="0"/>
              <w:spacing w:after="0" w:line="320" w:lineRule="atLeast"/>
              <w:ind w:left="60" w:right="60"/>
              <w:rPr>
                <w:sz w:val="18"/>
                <w:szCs w:val="18"/>
              </w:rPr>
            </w:pPr>
            <w:r>
              <w:rPr>
                <w:sz w:val="18"/>
                <w:szCs w:val="18"/>
              </w:rPr>
              <w:t>Negative</w:t>
            </w:r>
          </w:p>
        </w:tc>
        <w:tc>
          <w:tcPr>
            <w:tcW w:w="1475" w:type="dxa"/>
            <w:shd w:val="clear" w:color="auto" w:fill="auto"/>
          </w:tcPr>
          <w:p w14:paraId="30E13125">
            <w:pPr>
              <w:autoSpaceDE w:val="0"/>
              <w:autoSpaceDN w:val="0"/>
              <w:adjustRightInd w:val="0"/>
              <w:spacing w:after="0" w:line="320" w:lineRule="atLeast"/>
              <w:ind w:left="60" w:right="60"/>
              <w:jc w:val="right"/>
              <w:rPr>
                <w:sz w:val="18"/>
                <w:szCs w:val="18"/>
              </w:rPr>
            </w:pPr>
            <w:r>
              <w:rPr>
                <w:sz w:val="18"/>
                <w:szCs w:val="18"/>
              </w:rPr>
              <w:t>-.187</w:t>
            </w:r>
          </w:p>
        </w:tc>
      </w:tr>
      <w:tr w14:paraId="39BC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3890" w:type="dxa"/>
            <w:gridSpan w:val="2"/>
            <w:shd w:val="clear" w:color="auto" w:fill="auto"/>
          </w:tcPr>
          <w:p w14:paraId="5A931EEA">
            <w:pPr>
              <w:autoSpaceDE w:val="0"/>
              <w:autoSpaceDN w:val="0"/>
              <w:adjustRightInd w:val="0"/>
              <w:spacing w:after="0" w:line="320" w:lineRule="atLeast"/>
              <w:ind w:left="60" w:right="60"/>
              <w:rPr>
                <w:sz w:val="18"/>
                <w:szCs w:val="18"/>
              </w:rPr>
            </w:pPr>
            <w:r>
              <w:rPr>
                <w:sz w:val="18"/>
                <w:szCs w:val="18"/>
              </w:rPr>
              <w:t>Test Statistic</w:t>
            </w:r>
          </w:p>
        </w:tc>
        <w:tc>
          <w:tcPr>
            <w:tcW w:w="1475" w:type="dxa"/>
            <w:shd w:val="clear" w:color="auto" w:fill="auto"/>
          </w:tcPr>
          <w:p w14:paraId="5915F09D">
            <w:pPr>
              <w:autoSpaceDE w:val="0"/>
              <w:autoSpaceDN w:val="0"/>
              <w:adjustRightInd w:val="0"/>
              <w:spacing w:after="0" w:line="320" w:lineRule="atLeast"/>
              <w:ind w:left="60" w:right="60"/>
              <w:jc w:val="right"/>
              <w:rPr>
                <w:sz w:val="18"/>
                <w:szCs w:val="18"/>
              </w:rPr>
            </w:pPr>
            <w:r>
              <w:rPr>
                <w:sz w:val="18"/>
                <w:szCs w:val="18"/>
              </w:rPr>
              <w:t>.260</w:t>
            </w:r>
          </w:p>
        </w:tc>
      </w:tr>
      <w:tr w14:paraId="7C2F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3890" w:type="dxa"/>
            <w:gridSpan w:val="2"/>
            <w:shd w:val="clear" w:color="auto" w:fill="auto"/>
          </w:tcPr>
          <w:p w14:paraId="16AC1DE6">
            <w:pPr>
              <w:autoSpaceDE w:val="0"/>
              <w:autoSpaceDN w:val="0"/>
              <w:adjustRightInd w:val="0"/>
              <w:spacing w:after="0" w:line="320" w:lineRule="atLeast"/>
              <w:ind w:left="60" w:right="60"/>
              <w:rPr>
                <w:sz w:val="18"/>
                <w:szCs w:val="18"/>
              </w:rPr>
            </w:pPr>
            <w:r>
              <w:rPr>
                <w:sz w:val="18"/>
                <w:szCs w:val="18"/>
              </w:rPr>
              <w:t>Asymp. Sig. (2-tailed)</w:t>
            </w:r>
          </w:p>
        </w:tc>
        <w:tc>
          <w:tcPr>
            <w:tcW w:w="1475" w:type="dxa"/>
            <w:shd w:val="clear" w:color="auto" w:fill="auto"/>
          </w:tcPr>
          <w:p w14:paraId="6403ADCF">
            <w:pPr>
              <w:autoSpaceDE w:val="0"/>
              <w:autoSpaceDN w:val="0"/>
              <w:adjustRightInd w:val="0"/>
              <w:spacing w:after="0" w:line="320" w:lineRule="atLeast"/>
              <w:ind w:left="60" w:right="60"/>
              <w:jc w:val="right"/>
              <w:rPr>
                <w:sz w:val="18"/>
                <w:szCs w:val="18"/>
              </w:rPr>
            </w:pPr>
            <w:r>
              <w:rPr>
                <w:sz w:val="18"/>
                <w:szCs w:val="18"/>
              </w:rPr>
              <w:t>.156</w:t>
            </w:r>
            <w:r>
              <w:rPr>
                <w:sz w:val="18"/>
                <w:szCs w:val="18"/>
                <w:vertAlign w:val="superscript"/>
              </w:rPr>
              <w:t>c</w:t>
            </w:r>
          </w:p>
        </w:tc>
      </w:tr>
    </w:tbl>
    <w:p w14:paraId="51CA7A3B">
      <w:pPr>
        <w:ind w:left="720" w:firstLine="720"/>
        <w:rPr>
          <w:sz w:val="22"/>
        </w:rPr>
      </w:pPr>
      <w:r>
        <w:rPr>
          <w:sz w:val="22"/>
        </w:rPr>
        <w:t>Data diolah, 2025</w:t>
      </w:r>
    </w:p>
    <w:p w14:paraId="5FBFFF13">
      <w:pPr>
        <w:ind w:left="426" w:firstLine="283"/>
      </w:pPr>
      <w:r>
        <w:t xml:space="preserve">Dari tabel 4.3 hasil uji normalitas </w:t>
      </w:r>
      <w:r>
        <w:rPr>
          <w:i/>
        </w:rPr>
        <w:t>one-sample kolmogorov- smirnov test</w:t>
      </w:r>
      <w:r>
        <w:t xml:space="preserve"> di atas, nilai asymp sig (2-tailed) sebesar 0,156. Dengan tingkat signifikansi 0,156 &gt; 0,05, maka dapat memiliki arti bahwa data dalam penelitian ini memiliki nilai residual yang berdistribusi secara normal dan dapat dilanjutkan uji-uji selanjutnya.</w:t>
      </w:r>
      <w:r>
        <w:commentReference w:id="6"/>
      </w:r>
    </w:p>
    <w:p w14:paraId="29A460DB">
      <w:pPr>
        <w:spacing w:after="200" w:line="480" w:lineRule="auto"/>
        <w:jc w:val="left"/>
        <w:rPr>
          <w:b/>
        </w:rPr>
      </w:pPr>
      <w:r>
        <w:rPr>
          <w:b/>
        </w:rPr>
        <w:t>Uji Hipotesis</w:t>
      </w:r>
    </w:p>
    <w:p w14:paraId="22248AA7">
      <w:pPr>
        <w:pStyle w:val="23"/>
        <w:spacing w:before="240" w:after="0"/>
        <w:ind w:left="567" w:firstLine="153"/>
        <w:rPr>
          <w:szCs w:val="24"/>
        </w:rPr>
      </w:pPr>
      <w:r>
        <w:t xml:space="preserve">Uji hipotesis dalam statistik memiliki fungsi penting dalam proses pengambilan keputusan berdasarkan data. Secara umum, uji hipotesis digunakan untuk menguji kebenaran suatu dugaan atau klaim terhadap parameter populasi berdasarkan data sampel. (Ghozali, 2013). </w:t>
      </w:r>
      <w:r>
        <w:rPr>
          <w:szCs w:val="24"/>
        </w:rPr>
        <w:t>Hasil uji hipotesis pada penelitian ini akan dijabarkan sebagai berikut:</w:t>
      </w:r>
    </w:p>
    <w:p w14:paraId="6EE7DB04">
      <w:pPr>
        <w:spacing w:after="0"/>
      </w:pPr>
      <w:r>
        <w:rPr>
          <w:b/>
          <w:bCs/>
          <w:szCs w:val="24"/>
        </w:rPr>
        <w:t xml:space="preserve">1. </w:t>
      </w:r>
      <w:r>
        <w:rPr>
          <w:b/>
          <w:bCs/>
        </w:rPr>
        <w:t>Uji t</w:t>
      </w:r>
    </w:p>
    <w:p w14:paraId="26289816">
      <w:pPr>
        <w:pStyle w:val="23"/>
        <w:ind w:left="567" w:firstLine="153"/>
        <w:rPr>
          <w:b/>
        </w:rPr>
      </w:pPr>
      <w:r>
        <w:t>Uji t pada dasarnya menunjukkan seberapa jauh pengaruh satu variabel penjelas atau independen secara individual dalam menerangkan variasi variabel dependen. Jika nilai probability &lt; 0,05 maka variabel independen berpengaruh signifikan terhadap variabel dependen dan jika nilai probability &gt; 0,05 maka menunjukkan variabel independen tidak berpengaruh signifikan terhadap variabel dependen (Ghozali, 2018). Hasil uji t penelitian ini sebagai berikut :</w:t>
      </w:r>
    </w:p>
    <w:p w14:paraId="19E282A4">
      <w:pPr>
        <w:pStyle w:val="8"/>
        <w:spacing w:after="0" w:line="480" w:lineRule="auto"/>
        <w:jc w:val="center"/>
        <w:rPr>
          <w:rFonts w:ascii="Times New Roman" w:hAnsi="Times New Roman" w:cs="Times New Roman"/>
          <w:b/>
          <w:color w:val="auto"/>
          <w:sz w:val="24"/>
        </w:rPr>
      </w:pPr>
      <w:r>
        <w:rPr>
          <w:rFonts w:ascii="Times New Roman" w:hAnsi="Times New Roman" w:cs="Times New Roman"/>
          <w:color w:val="auto"/>
          <w:sz w:val="24"/>
        </w:rPr>
        <w:t>Tabel 4.11 Hasil Uji t</w:t>
      </w:r>
    </w:p>
    <w:tbl>
      <w:tblPr>
        <w:tblStyle w:val="6"/>
        <w:tblW w:w="81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36"/>
        <w:gridCol w:w="1184"/>
        <w:gridCol w:w="1338"/>
        <w:gridCol w:w="1338"/>
        <w:gridCol w:w="1476"/>
        <w:gridCol w:w="1030"/>
        <w:gridCol w:w="1030"/>
      </w:tblGrid>
      <w:tr w14:paraId="0F2B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8127" w:type="dxa"/>
            <w:gridSpan w:val="7"/>
            <w:shd w:val="clear" w:color="auto" w:fill="auto"/>
            <w:vAlign w:val="center"/>
          </w:tcPr>
          <w:p w14:paraId="21BA9D27">
            <w:pPr>
              <w:autoSpaceDE w:val="0"/>
              <w:autoSpaceDN w:val="0"/>
              <w:adjustRightInd w:val="0"/>
              <w:spacing w:after="0" w:line="320" w:lineRule="atLeast"/>
              <w:ind w:left="60" w:right="60"/>
              <w:jc w:val="center"/>
            </w:pPr>
            <w:r>
              <w:rPr>
                <w:b/>
                <w:bCs/>
              </w:rPr>
              <w:t>Coefficients</w:t>
            </w:r>
            <w:r>
              <w:rPr>
                <w:b/>
                <w:bCs/>
                <w:vertAlign w:val="superscript"/>
              </w:rPr>
              <w:t>a</w:t>
            </w:r>
          </w:p>
        </w:tc>
      </w:tr>
      <w:tr w14:paraId="65066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920" w:type="dxa"/>
            <w:gridSpan w:val="2"/>
            <w:vMerge w:val="restart"/>
            <w:shd w:val="clear" w:color="auto" w:fill="auto"/>
            <w:vAlign w:val="bottom"/>
          </w:tcPr>
          <w:p w14:paraId="1B2253DE">
            <w:pPr>
              <w:autoSpaceDE w:val="0"/>
              <w:autoSpaceDN w:val="0"/>
              <w:adjustRightInd w:val="0"/>
              <w:spacing w:after="0" w:line="320" w:lineRule="atLeast"/>
              <w:ind w:left="60" w:right="60"/>
              <w:rPr>
                <w:sz w:val="18"/>
                <w:szCs w:val="18"/>
              </w:rPr>
            </w:pPr>
            <w:r>
              <w:rPr>
                <w:sz w:val="18"/>
                <w:szCs w:val="18"/>
              </w:rPr>
              <w:t>Model</w:t>
            </w:r>
          </w:p>
        </w:tc>
        <w:tc>
          <w:tcPr>
            <w:tcW w:w="2674" w:type="dxa"/>
            <w:gridSpan w:val="2"/>
            <w:shd w:val="clear" w:color="auto" w:fill="auto"/>
            <w:vAlign w:val="bottom"/>
          </w:tcPr>
          <w:p w14:paraId="0EF82CEA">
            <w:pPr>
              <w:autoSpaceDE w:val="0"/>
              <w:autoSpaceDN w:val="0"/>
              <w:adjustRightInd w:val="0"/>
              <w:spacing w:after="0" w:line="320" w:lineRule="atLeast"/>
              <w:ind w:left="60" w:right="60"/>
              <w:jc w:val="center"/>
              <w:rPr>
                <w:sz w:val="18"/>
                <w:szCs w:val="18"/>
              </w:rPr>
            </w:pPr>
            <w:r>
              <w:rPr>
                <w:sz w:val="18"/>
                <w:szCs w:val="18"/>
              </w:rPr>
              <w:t>Unstandardized Coefficients</w:t>
            </w:r>
          </w:p>
        </w:tc>
        <w:tc>
          <w:tcPr>
            <w:tcW w:w="1475" w:type="dxa"/>
            <w:shd w:val="clear" w:color="auto" w:fill="auto"/>
            <w:vAlign w:val="bottom"/>
          </w:tcPr>
          <w:p w14:paraId="61DFC880">
            <w:pPr>
              <w:autoSpaceDE w:val="0"/>
              <w:autoSpaceDN w:val="0"/>
              <w:adjustRightInd w:val="0"/>
              <w:spacing w:after="0" w:line="320" w:lineRule="atLeast"/>
              <w:ind w:left="60" w:right="60"/>
              <w:jc w:val="center"/>
              <w:rPr>
                <w:sz w:val="18"/>
                <w:szCs w:val="18"/>
              </w:rPr>
            </w:pPr>
            <w:r>
              <w:rPr>
                <w:sz w:val="18"/>
                <w:szCs w:val="18"/>
              </w:rPr>
              <w:t>Standardized Coefficients</w:t>
            </w:r>
          </w:p>
        </w:tc>
        <w:tc>
          <w:tcPr>
            <w:tcW w:w="1029" w:type="dxa"/>
            <w:vMerge w:val="restart"/>
            <w:shd w:val="clear" w:color="auto" w:fill="auto"/>
            <w:vAlign w:val="bottom"/>
          </w:tcPr>
          <w:p w14:paraId="611BB8E1">
            <w:pPr>
              <w:autoSpaceDE w:val="0"/>
              <w:autoSpaceDN w:val="0"/>
              <w:adjustRightInd w:val="0"/>
              <w:spacing w:after="0" w:line="320" w:lineRule="atLeast"/>
              <w:ind w:left="60" w:right="60"/>
              <w:jc w:val="center"/>
              <w:rPr>
                <w:sz w:val="18"/>
                <w:szCs w:val="18"/>
              </w:rPr>
            </w:pPr>
            <w:r>
              <w:rPr>
                <w:sz w:val="18"/>
                <w:szCs w:val="18"/>
              </w:rPr>
              <w:t>T</w:t>
            </w:r>
          </w:p>
        </w:tc>
        <w:tc>
          <w:tcPr>
            <w:tcW w:w="1029" w:type="dxa"/>
            <w:vMerge w:val="restart"/>
            <w:shd w:val="clear" w:color="auto" w:fill="auto"/>
            <w:vAlign w:val="bottom"/>
          </w:tcPr>
          <w:p w14:paraId="7F907C88">
            <w:pPr>
              <w:autoSpaceDE w:val="0"/>
              <w:autoSpaceDN w:val="0"/>
              <w:adjustRightInd w:val="0"/>
              <w:spacing w:after="0" w:line="320" w:lineRule="atLeast"/>
              <w:ind w:left="60" w:right="60"/>
              <w:jc w:val="center"/>
              <w:rPr>
                <w:sz w:val="18"/>
                <w:szCs w:val="18"/>
              </w:rPr>
            </w:pPr>
            <w:r>
              <w:rPr>
                <w:sz w:val="18"/>
                <w:szCs w:val="18"/>
              </w:rPr>
              <w:t>Sig.</w:t>
            </w:r>
          </w:p>
        </w:tc>
      </w:tr>
      <w:tr w14:paraId="3049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1920" w:type="dxa"/>
            <w:gridSpan w:val="2"/>
            <w:vMerge w:val="continue"/>
            <w:shd w:val="clear" w:color="auto" w:fill="auto"/>
            <w:vAlign w:val="bottom"/>
          </w:tcPr>
          <w:p w14:paraId="412C5C7D">
            <w:pPr>
              <w:autoSpaceDE w:val="0"/>
              <w:autoSpaceDN w:val="0"/>
              <w:adjustRightInd w:val="0"/>
              <w:spacing w:after="0" w:line="240" w:lineRule="auto"/>
              <w:rPr>
                <w:sz w:val="18"/>
                <w:szCs w:val="18"/>
              </w:rPr>
            </w:pPr>
          </w:p>
        </w:tc>
        <w:tc>
          <w:tcPr>
            <w:tcW w:w="1337" w:type="dxa"/>
            <w:shd w:val="clear" w:color="auto" w:fill="auto"/>
            <w:vAlign w:val="bottom"/>
          </w:tcPr>
          <w:p w14:paraId="5DE50EA9">
            <w:pPr>
              <w:autoSpaceDE w:val="0"/>
              <w:autoSpaceDN w:val="0"/>
              <w:adjustRightInd w:val="0"/>
              <w:spacing w:after="0" w:line="320" w:lineRule="atLeast"/>
              <w:ind w:left="60" w:right="60"/>
              <w:jc w:val="center"/>
              <w:rPr>
                <w:sz w:val="18"/>
                <w:szCs w:val="18"/>
              </w:rPr>
            </w:pPr>
            <w:r>
              <w:rPr>
                <w:sz w:val="18"/>
                <w:szCs w:val="18"/>
              </w:rPr>
              <w:t>B</w:t>
            </w:r>
          </w:p>
        </w:tc>
        <w:tc>
          <w:tcPr>
            <w:tcW w:w="1337" w:type="dxa"/>
            <w:shd w:val="clear" w:color="auto" w:fill="auto"/>
            <w:vAlign w:val="bottom"/>
          </w:tcPr>
          <w:p w14:paraId="37704EC6">
            <w:pPr>
              <w:autoSpaceDE w:val="0"/>
              <w:autoSpaceDN w:val="0"/>
              <w:adjustRightInd w:val="0"/>
              <w:spacing w:after="0" w:line="320" w:lineRule="atLeast"/>
              <w:ind w:left="60" w:right="60"/>
              <w:jc w:val="center"/>
              <w:rPr>
                <w:sz w:val="18"/>
                <w:szCs w:val="18"/>
              </w:rPr>
            </w:pPr>
            <w:r>
              <w:rPr>
                <w:sz w:val="18"/>
                <w:szCs w:val="18"/>
              </w:rPr>
              <w:t>Std. Error</w:t>
            </w:r>
          </w:p>
        </w:tc>
        <w:tc>
          <w:tcPr>
            <w:tcW w:w="1475" w:type="dxa"/>
            <w:shd w:val="clear" w:color="auto" w:fill="auto"/>
            <w:vAlign w:val="bottom"/>
          </w:tcPr>
          <w:p w14:paraId="6A8AD28D">
            <w:pPr>
              <w:autoSpaceDE w:val="0"/>
              <w:autoSpaceDN w:val="0"/>
              <w:adjustRightInd w:val="0"/>
              <w:spacing w:after="0" w:line="320" w:lineRule="atLeast"/>
              <w:ind w:left="60" w:right="60"/>
              <w:jc w:val="center"/>
              <w:rPr>
                <w:sz w:val="18"/>
                <w:szCs w:val="18"/>
              </w:rPr>
            </w:pPr>
            <w:r>
              <w:rPr>
                <w:sz w:val="18"/>
                <w:szCs w:val="18"/>
              </w:rPr>
              <w:t>Beta</w:t>
            </w:r>
          </w:p>
        </w:tc>
        <w:tc>
          <w:tcPr>
            <w:tcW w:w="1029" w:type="dxa"/>
            <w:vMerge w:val="continue"/>
            <w:shd w:val="clear" w:color="auto" w:fill="auto"/>
            <w:vAlign w:val="bottom"/>
          </w:tcPr>
          <w:p w14:paraId="6ABC5625">
            <w:pPr>
              <w:autoSpaceDE w:val="0"/>
              <w:autoSpaceDN w:val="0"/>
              <w:adjustRightInd w:val="0"/>
              <w:spacing w:after="0" w:line="240" w:lineRule="auto"/>
              <w:rPr>
                <w:sz w:val="18"/>
                <w:szCs w:val="18"/>
              </w:rPr>
            </w:pPr>
          </w:p>
        </w:tc>
        <w:tc>
          <w:tcPr>
            <w:tcW w:w="1029" w:type="dxa"/>
            <w:vMerge w:val="continue"/>
            <w:shd w:val="clear" w:color="auto" w:fill="auto"/>
            <w:vAlign w:val="bottom"/>
          </w:tcPr>
          <w:p w14:paraId="5641AAFF">
            <w:pPr>
              <w:autoSpaceDE w:val="0"/>
              <w:autoSpaceDN w:val="0"/>
              <w:adjustRightInd w:val="0"/>
              <w:spacing w:after="0" w:line="240" w:lineRule="auto"/>
              <w:rPr>
                <w:sz w:val="18"/>
                <w:szCs w:val="18"/>
              </w:rPr>
            </w:pPr>
          </w:p>
        </w:tc>
      </w:tr>
      <w:tr w14:paraId="37F1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7" w:type="dxa"/>
            <w:vMerge w:val="restart"/>
            <w:shd w:val="clear" w:color="auto" w:fill="auto"/>
          </w:tcPr>
          <w:p w14:paraId="1DF68325">
            <w:pPr>
              <w:autoSpaceDE w:val="0"/>
              <w:autoSpaceDN w:val="0"/>
              <w:adjustRightInd w:val="0"/>
              <w:spacing w:after="0" w:line="320" w:lineRule="atLeast"/>
              <w:ind w:left="60" w:right="60"/>
              <w:rPr>
                <w:sz w:val="18"/>
                <w:szCs w:val="18"/>
              </w:rPr>
            </w:pPr>
            <w:r>
              <w:rPr>
                <w:sz w:val="18"/>
                <w:szCs w:val="18"/>
              </w:rPr>
              <w:t>1</w:t>
            </w:r>
          </w:p>
        </w:tc>
        <w:tc>
          <w:tcPr>
            <w:tcW w:w="1183" w:type="dxa"/>
            <w:shd w:val="clear" w:color="auto" w:fill="auto"/>
          </w:tcPr>
          <w:p w14:paraId="1511F0E5">
            <w:pPr>
              <w:autoSpaceDE w:val="0"/>
              <w:autoSpaceDN w:val="0"/>
              <w:adjustRightInd w:val="0"/>
              <w:spacing w:after="0" w:line="320" w:lineRule="atLeast"/>
              <w:ind w:left="60" w:right="60"/>
              <w:rPr>
                <w:sz w:val="18"/>
                <w:szCs w:val="18"/>
              </w:rPr>
            </w:pPr>
            <w:r>
              <w:rPr>
                <w:sz w:val="18"/>
                <w:szCs w:val="18"/>
              </w:rPr>
              <w:t>(Constant)</w:t>
            </w:r>
          </w:p>
        </w:tc>
        <w:tc>
          <w:tcPr>
            <w:tcW w:w="1337" w:type="dxa"/>
            <w:shd w:val="clear" w:color="auto" w:fill="auto"/>
          </w:tcPr>
          <w:p w14:paraId="6C533B7C">
            <w:pPr>
              <w:autoSpaceDE w:val="0"/>
              <w:autoSpaceDN w:val="0"/>
              <w:adjustRightInd w:val="0"/>
              <w:spacing w:after="0" w:line="320" w:lineRule="atLeast"/>
              <w:ind w:left="60" w:right="60"/>
              <w:jc w:val="right"/>
              <w:rPr>
                <w:sz w:val="18"/>
                <w:szCs w:val="18"/>
              </w:rPr>
            </w:pPr>
            <w:r>
              <w:rPr>
                <w:sz w:val="18"/>
                <w:szCs w:val="18"/>
              </w:rPr>
              <w:t>895.909</w:t>
            </w:r>
          </w:p>
        </w:tc>
        <w:tc>
          <w:tcPr>
            <w:tcW w:w="1337" w:type="dxa"/>
            <w:shd w:val="clear" w:color="auto" w:fill="auto"/>
          </w:tcPr>
          <w:p w14:paraId="501DEA06">
            <w:pPr>
              <w:autoSpaceDE w:val="0"/>
              <w:autoSpaceDN w:val="0"/>
              <w:adjustRightInd w:val="0"/>
              <w:spacing w:after="0" w:line="320" w:lineRule="atLeast"/>
              <w:ind w:left="60" w:right="60"/>
              <w:jc w:val="right"/>
              <w:rPr>
                <w:sz w:val="18"/>
                <w:szCs w:val="18"/>
              </w:rPr>
            </w:pPr>
            <w:r>
              <w:rPr>
                <w:sz w:val="18"/>
                <w:szCs w:val="18"/>
              </w:rPr>
              <w:t>153.848</w:t>
            </w:r>
          </w:p>
        </w:tc>
        <w:tc>
          <w:tcPr>
            <w:tcW w:w="1475" w:type="dxa"/>
            <w:shd w:val="clear" w:color="auto" w:fill="auto"/>
            <w:vAlign w:val="center"/>
          </w:tcPr>
          <w:p w14:paraId="26A7CA43">
            <w:pPr>
              <w:autoSpaceDE w:val="0"/>
              <w:autoSpaceDN w:val="0"/>
              <w:adjustRightInd w:val="0"/>
              <w:spacing w:after="0" w:line="240" w:lineRule="auto"/>
              <w:rPr>
                <w:szCs w:val="24"/>
              </w:rPr>
            </w:pPr>
          </w:p>
        </w:tc>
        <w:tc>
          <w:tcPr>
            <w:tcW w:w="1029" w:type="dxa"/>
            <w:shd w:val="clear" w:color="auto" w:fill="auto"/>
          </w:tcPr>
          <w:p w14:paraId="0E073D44">
            <w:pPr>
              <w:autoSpaceDE w:val="0"/>
              <w:autoSpaceDN w:val="0"/>
              <w:adjustRightInd w:val="0"/>
              <w:spacing w:after="0" w:line="320" w:lineRule="atLeast"/>
              <w:ind w:left="60" w:right="60"/>
              <w:jc w:val="right"/>
              <w:rPr>
                <w:sz w:val="18"/>
                <w:szCs w:val="18"/>
              </w:rPr>
            </w:pPr>
            <w:r>
              <w:rPr>
                <w:sz w:val="18"/>
                <w:szCs w:val="18"/>
              </w:rPr>
              <w:t>5.823</w:t>
            </w:r>
          </w:p>
        </w:tc>
        <w:tc>
          <w:tcPr>
            <w:tcW w:w="1029" w:type="dxa"/>
            <w:shd w:val="clear" w:color="auto" w:fill="auto"/>
          </w:tcPr>
          <w:p w14:paraId="46C613C6">
            <w:pPr>
              <w:autoSpaceDE w:val="0"/>
              <w:autoSpaceDN w:val="0"/>
              <w:adjustRightInd w:val="0"/>
              <w:spacing w:after="0" w:line="320" w:lineRule="atLeast"/>
              <w:ind w:left="60" w:right="60"/>
              <w:jc w:val="right"/>
              <w:rPr>
                <w:sz w:val="18"/>
                <w:szCs w:val="18"/>
              </w:rPr>
            </w:pPr>
            <w:r>
              <w:rPr>
                <w:sz w:val="18"/>
                <w:szCs w:val="18"/>
              </w:rPr>
              <w:t>.000</w:t>
            </w:r>
          </w:p>
        </w:tc>
      </w:tr>
      <w:tr w14:paraId="6046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7" w:type="dxa"/>
            <w:vMerge w:val="continue"/>
            <w:shd w:val="clear" w:color="auto" w:fill="auto"/>
          </w:tcPr>
          <w:p w14:paraId="4296425F">
            <w:pPr>
              <w:autoSpaceDE w:val="0"/>
              <w:autoSpaceDN w:val="0"/>
              <w:adjustRightInd w:val="0"/>
              <w:spacing w:after="0" w:line="240" w:lineRule="auto"/>
              <w:rPr>
                <w:sz w:val="18"/>
                <w:szCs w:val="18"/>
              </w:rPr>
            </w:pPr>
          </w:p>
        </w:tc>
        <w:tc>
          <w:tcPr>
            <w:tcW w:w="1183" w:type="dxa"/>
            <w:shd w:val="clear" w:color="auto" w:fill="auto"/>
          </w:tcPr>
          <w:p w14:paraId="197CFF58">
            <w:pPr>
              <w:autoSpaceDE w:val="0"/>
              <w:autoSpaceDN w:val="0"/>
              <w:adjustRightInd w:val="0"/>
              <w:spacing w:after="0" w:line="320" w:lineRule="atLeast"/>
              <w:ind w:left="60" w:right="60"/>
              <w:rPr>
                <w:sz w:val="18"/>
                <w:szCs w:val="18"/>
              </w:rPr>
            </w:pPr>
            <w:r>
              <w:rPr>
                <w:sz w:val="18"/>
                <w:szCs w:val="18"/>
              </w:rPr>
              <w:t>DER</w:t>
            </w:r>
          </w:p>
        </w:tc>
        <w:tc>
          <w:tcPr>
            <w:tcW w:w="1337" w:type="dxa"/>
            <w:shd w:val="clear" w:color="auto" w:fill="auto"/>
          </w:tcPr>
          <w:p w14:paraId="6B5C9BB9">
            <w:pPr>
              <w:autoSpaceDE w:val="0"/>
              <w:autoSpaceDN w:val="0"/>
              <w:adjustRightInd w:val="0"/>
              <w:spacing w:after="0" w:line="320" w:lineRule="atLeast"/>
              <w:ind w:left="60" w:right="60"/>
              <w:jc w:val="right"/>
              <w:rPr>
                <w:sz w:val="18"/>
                <w:szCs w:val="18"/>
              </w:rPr>
            </w:pPr>
            <w:r>
              <w:rPr>
                <w:sz w:val="18"/>
                <w:szCs w:val="18"/>
              </w:rPr>
              <w:t>208.831</w:t>
            </w:r>
          </w:p>
        </w:tc>
        <w:tc>
          <w:tcPr>
            <w:tcW w:w="1337" w:type="dxa"/>
            <w:shd w:val="clear" w:color="auto" w:fill="auto"/>
          </w:tcPr>
          <w:p w14:paraId="5ACEF05B">
            <w:pPr>
              <w:autoSpaceDE w:val="0"/>
              <w:autoSpaceDN w:val="0"/>
              <w:adjustRightInd w:val="0"/>
              <w:spacing w:after="0" w:line="320" w:lineRule="atLeast"/>
              <w:ind w:left="60" w:right="60"/>
              <w:jc w:val="right"/>
              <w:rPr>
                <w:sz w:val="18"/>
                <w:szCs w:val="18"/>
              </w:rPr>
            </w:pPr>
            <w:r>
              <w:rPr>
                <w:sz w:val="18"/>
                <w:szCs w:val="18"/>
              </w:rPr>
              <w:t>54.867</w:t>
            </w:r>
          </w:p>
        </w:tc>
        <w:tc>
          <w:tcPr>
            <w:tcW w:w="1475" w:type="dxa"/>
            <w:shd w:val="clear" w:color="auto" w:fill="auto"/>
          </w:tcPr>
          <w:p w14:paraId="4FE7BF7B">
            <w:pPr>
              <w:autoSpaceDE w:val="0"/>
              <w:autoSpaceDN w:val="0"/>
              <w:adjustRightInd w:val="0"/>
              <w:spacing w:after="0" w:line="320" w:lineRule="atLeast"/>
              <w:ind w:left="60" w:right="60"/>
              <w:jc w:val="right"/>
              <w:rPr>
                <w:sz w:val="18"/>
                <w:szCs w:val="18"/>
              </w:rPr>
            </w:pPr>
            <w:r>
              <w:rPr>
                <w:sz w:val="18"/>
                <w:szCs w:val="18"/>
              </w:rPr>
              <w:t>.246</w:t>
            </w:r>
          </w:p>
        </w:tc>
        <w:tc>
          <w:tcPr>
            <w:tcW w:w="1029" w:type="dxa"/>
            <w:shd w:val="clear" w:color="auto" w:fill="auto"/>
          </w:tcPr>
          <w:p w14:paraId="08A9A528">
            <w:pPr>
              <w:autoSpaceDE w:val="0"/>
              <w:autoSpaceDN w:val="0"/>
              <w:adjustRightInd w:val="0"/>
              <w:spacing w:after="0" w:line="320" w:lineRule="atLeast"/>
              <w:ind w:left="60" w:right="60"/>
              <w:jc w:val="right"/>
              <w:rPr>
                <w:sz w:val="18"/>
                <w:szCs w:val="18"/>
              </w:rPr>
            </w:pPr>
            <w:r>
              <w:rPr>
                <w:sz w:val="18"/>
                <w:szCs w:val="18"/>
              </w:rPr>
              <w:t>3.806</w:t>
            </w:r>
          </w:p>
        </w:tc>
        <w:tc>
          <w:tcPr>
            <w:tcW w:w="1029" w:type="dxa"/>
            <w:shd w:val="clear" w:color="auto" w:fill="auto"/>
          </w:tcPr>
          <w:p w14:paraId="6F31B057">
            <w:pPr>
              <w:autoSpaceDE w:val="0"/>
              <w:autoSpaceDN w:val="0"/>
              <w:adjustRightInd w:val="0"/>
              <w:spacing w:after="0" w:line="320" w:lineRule="atLeast"/>
              <w:ind w:left="60" w:right="60"/>
              <w:jc w:val="right"/>
              <w:rPr>
                <w:sz w:val="18"/>
                <w:szCs w:val="18"/>
              </w:rPr>
            </w:pPr>
            <w:r>
              <w:rPr>
                <w:sz w:val="18"/>
                <w:szCs w:val="18"/>
              </w:rPr>
              <w:t>.000</w:t>
            </w:r>
          </w:p>
        </w:tc>
      </w:tr>
      <w:tr w14:paraId="158E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7" w:type="dxa"/>
            <w:vMerge w:val="continue"/>
            <w:shd w:val="clear" w:color="auto" w:fill="auto"/>
          </w:tcPr>
          <w:p w14:paraId="1E99A3FC">
            <w:pPr>
              <w:autoSpaceDE w:val="0"/>
              <w:autoSpaceDN w:val="0"/>
              <w:adjustRightInd w:val="0"/>
              <w:spacing w:after="0" w:line="240" w:lineRule="auto"/>
              <w:rPr>
                <w:sz w:val="18"/>
                <w:szCs w:val="18"/>
              </w:rPr>
            </w:pPr>
          </w:p>
        </w:tc>
        <w:tc>
          <w:tcPr>
            <w:tcW w:w="1183" w:type="dxa"/>
            <w:shd w:val="clear" w:color="auto" w:fill="auto"/>
          </w:tcPr>
          <w:p w14:paraId="0734BEBC">
            <w:pPr>
              <w:autoSpaceDE w:val="0"/>
              <w:autoSpaceDN w:val="0"/>
              <w:adjustRightInd w:val="0"/>
              <w:spacing w:after="0" w:line="320" w:lineRule="atLeast"/>
              <w:ind w:left="60" w:right="60"/>
              <w:rPr>
                <w:sz w:val="18"/>
                <w:szCs w:val="18"/>
              </w:rPr>
            </w:pPr>
            <w:r>
              <w:rPr>
                <w:sz w:val="18"/>
                <w:szCs w:val="18"/>
              </w:rPr>
              <w:t>ROE</w:t>
            </w:r>
          </w:p>
        </w:tc>
        <w:tc>
          <w:tcPr>
            <w:tcW w:w="1337" w:type="dxa"/>
            <w:shd w:val="clear" w:color="auto" w:fill="auto"/>
          </w:tcPr>
          <w:p w14:paraId="0D85F104">
            <w:pPr>
              <w:autoSpaceDE w:val="0"/>
              <w:autoSpaceDN w:val="0"/>
              <w:adjustRightInd w:val="0"/>
              <w:spacing w:after="0" w:line="320" w:lineRule="atLeast"/>
              <w:ind w:left="60" w:right="60"/>
              <w:jc w:val="right"/>
              <w:rPr>
                <w:sz w:val="18"/>
                <w:szCs w:val="18"/>
              </w:rPr>
            </w:pPr>
            <w:r>
              <w:rPr>
                <w:sz w:val="18"/>
                <w:szCs w:val="18"/>
              </w:rPr>
              <w:t>1555.720</w:t>
            </w:r>
          </w:p>
        </w:tc>
        <w:tc>
          <w:tcPr>
            <w:tcW w:w="1337" w:type="dxa"/>
            <w:shd w:val="clear" w:color="auto" w:fill="auto"/>
          </w:tcPr>
          <w:p w14:paraId="667BDB33">
            <w:pPr>
              <w:autoSpaceDE w:val="0"/>
              <w:autoSpaceDN w:val="0"/>
              <w:adjustRightInd w:val="0"/>
              <w:spacing w:after="0" w:line="320" w:lineRule="atLeast"/>
              <w:ind w:left="60" w:right="60"/>
              <w:jc w:val="right"/>
              <w:rPr>
                <w:sz w:val="18"/>
                <w:szCs w:val="18"/>
              </w:rPr>
            </w:pPr>
            <w:r>
              <w:rPr>
                <w:sz w:val="18"/>
                <w:szCs w:val="18"/>
              </w:rPr>
              <w:t>723.695</w:t>
            </w:r>
          </w:p>
        </w:tc>
        <w:tc>
          <w:tcPr>
            <w:tcW w:w="1475" w:type="dxa"/>
            <w:shd w:val="clear" w:color="auto" w:fill="auto"/>
          </w:tcPr>
          <w:p w14:paraId="38952EEF">
            <w:pPr>
              <w:autoSpaceDE w:val="0"/>
              <w:autoSpaceDN w:val="0"/>
              <w:adjustRightInd w:val="0"/>
              <w:spacing w:after="0" w:line="320" w:lineRule="atLeast"/>
              <w:ind w:left="60" w:right="60"/>
              <w:jc w:val="right"/>
              <w:rPr>
                <w:sz w:val="18"/>
                <w:szCs w:val="18"/>
              </w:rPr>
            </w:pPr>
            <w:r>
              <w:rPr>
                <w:sz w:val="18"/>
                <w:szCs w:val="18"/>
              </w:rPr>
              <w:t>.139</w:t>
            </w:r>
          </w:p>
        </w:tc>
        <w:tc>
          <w:tcPr>
            <w:tcW w:w="1029" w:type="dxa"/>
            <w:shd w:val="clear" w:color="auto" w:fill="auto"/>
          </w:tcPr>
          <w:p w14:paraId="4E3666E2">
            <w:pPr>
              <w:autoSpaceDE w:val="0"/>
              <w:autoSpaceDN w:val="0"/>
              <w:adjustRightInd w:val="0"/>
              <w:spacing w:after="0" w:line="320" w:lineRule="atLeast"/>
              <w:ind w:left="60" w:right="60"/>
              <w:jc w:val="right"/>
              <w:rPr>
                <w:sz w:val="18"/>
                <w:szCs w:val="18"/>
              </w:rPr>
            </w:pPr>
            <w:r>
              <w:rPr>
                <w:sz w:val="18"/>
                <w:szCs w:val="18"/>
              </w:rPr>
              <w:t>2.150</w:t>
            </w:r>
          </w:p>
        </w:tc>
        <w:tc>
          <w:tcPr>
            <w:tcW w:w="1029" w:type="dxa"/>
            <w:shd w:val="clear" w:color="auto" w:fill="auto"/>
          </w:tcPr>
          <w:p w14:paraId="1815C0B3">
            <w:pPr>
              <w:autoSpaceDE w:val="0"/>
              <w:autoSpaceDN w:val="0"/>
              <w:adjustRightInd w:val="0"/>
              <w:spacing w:after="0" w:line="320" w:lineRule="atLeast"/>
              <w:ind w:left="60" w:right="60"/>
              <w:jc w:val="right"/>
              <w:rPr>
                <w:sz w:val="18"/>
                <w:szCs w:val="18"/>
              </w:rPr>
            </w:pPr>
            <w:r>
              <w:rPr>
                <w:sz w:val="18"/>
                <w:szCs w:val="18"/>
              </w:rPr>
              <w:t>.033</w:t>
            </w:r>
          </w:p>
        </w:tc>
      </w:tr>
      <w:tr w14:paraId="5C03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8127" w:type="dxa"/>
            <w:gridSpan w:val="7"/>
            <w:shd w:val="clear" w:color="auto" w:fill="auto"/>
          </w:tcPr>
          <w:p w14:paraId="0E9DEFC1">
            <w:pPr>
              <w:autoSpaceDE w:val="0"/>
              <w:autoSpaceDN w:val="0"/>
              <w:adjustRightInd w:val="0"/>
              <w:spacing w:after="0" w:line="320" w:lineRule="atLeast"/>
              <w:ind w:left="60" w:right="60"/>
              <w:rPr>
                <w:sz w:val="18"/>
                <w:szCs w:val="18"/>
              </w:rPr>
            </w:pPr>
            <w:r>
              <w:rPr>
                <w:sz w:val="18"/>
                <w:szCs w:val="18"/>
              </w:rPr>
              <w:t>a. Dependent Variable: Harga Saham</w:t>
            </w:r>
          </w:p>
        </w:tc>
      </w:tr>
    </w:tbl>
    <w:p w14:paraId="0B63FBA0">
      <w:pPr>
        <w:spacing w:after="0"/>
        <w:ind w:firstLine="284"/>
        <w:rPr>
          <w:sz w:val="22"/>
        </w:rPr>
      </w:pPr>
      <w:r>
        <w:rPr>
          <w:sz w:val="22"/>
        </w:rPr>
        <w:t>Data diolah, 2025</w:t>
      </w:r>
    </w:p>
    <w:p w14:paraId="15B8E5AC">
      <w:pPr>
        <w:ind w:left="426" w:firstLine="283"/>
      </w:pPr>
      <w:r>
        <w:t>Berdasarkan hasil uji t pada tabel 4.11 di atas, menunjukkan bahwa pengaruh masing-masing variabel independen adalah sebagai berikut:</w:t>
      </w:r>
    </w:p>
    <w:p w14:paraId="714FA1F7">
      <w:pPr>
        <w:pStyle w:val="23"/>
        <w:numPr>
          <w:ilvl w:val="0"/>
          <w:numId w:val="5"/>
        </w:numPr>
        <w:spacing w:after="200" w:line="480" w:lineRule="auto"/>
        <w:ind w:left="851" w:hanging="425"/>
      </w:pPr>
      <w:r>
        <w:t xml:space="preserve">Variabel </w:t>
      </w:r>
      <w:r>
        <w:rPr>
          <w:i/>
        </w:rPr>
        <w:t>Debt To Equity Ratio</w:t>
      </w:r>
      <w:r>
        <w:t xml:space="preserve"> (DER) memiliki nilai t-statistic sebesar 3,806 dengan nilai sig. sebesar 0.000 &lt; 0,05 sehingga dapat disimpulkan bahwa variabel </w:t>
      </w:r>
      <w:r>
        <w:rPr>
          <w:i/>
        </w:rPr>
        <w:t>Debt To Equity Ratio</w:t>
      </w:r>
      <w:r>
        <w:t xml:space="preserve"> (DER) berpengaruh positif terhadap harga saham.</w:t>
      </w:r>
    </w:p>
    <w:p w14:paraId="17058090">
      <w:pPr>
        <w:pStyle w:val="23"/>
        <w:numPr>
          <w:ilvl w:val="0"/>
          <w:numId w:val="5"/>
        </w:numPr>
        <w:spacing w:after="0" w:line="480" w:lineRule="auto"/>
        <w:ind w:left="851" w:hanging="425"/>
      </w:pPr>
      <w:r>
        <w:t xml:space="preserve">Variabel </w:t>
      </w:r>
      <w:r>
        <w:rPr>
          <w:i/>
        </w:rPr>
        <w:t>Return On Equity</w:t>
      </w:r>
      <w:r>
        <w:t xml:space="preserve"> (ROE) memiliki nilai t-statistic sebesar 2,150 dengan nilai sig. sebesar 0.033 &lt; 0,05 sehingga dapat disimpulkan bahwa variabel </w:t>
      </w:r>
      <w:r>
        <w:rPr>
          <w:i/>
        </w:rPr>
        <w:t>Return On Equity</w:t>
      </w:r>
      <w:r>
        <w:t xml:space="preserve"> (ROE) berpengaruh positif terhadap harga saham</w:t>
      </w:r>
    </w:p>
    <w:p w14:paraId="4921C34B">
      <w:pPr>
        <w:spacing w:after="0"/>
        <w:rPr>
          <w:szCs w:val="24"/>
        </w:rPr>
      </w:pPr>
      <w:r>
        <w:rPr>
          <w:b/>
          <w:bCs/>
        </w:rPr>
        <w:t>2. Uji</w:t>
      </w:r>
      <w:r>
        <w:rPr>
          <w:b/>
        </w:rPr>
        <w:t xml:space="preserve"> Regresi Moderasi</w:t>
      </w:r>
    </w:p>
    <w:p w14:paraId="2F4DE9D1">
      <w:pPr>
        <w:pStyle w:val="23"/>
        <w:ind w:left="567" w:firstLine="153"/>
      </w:pPr>
      <w:r>
        <w:t xml:space="preserve">Variabel moderasi adalah variabel yang akan memperkuat atau memperlemah hubungan antara variabel independen terhadap variabel dependen. (Ghozali, 2013). Dalam penelitian ini yang menjadi variabel moderasi adalah kebijakan dividen. Kebijakan dividen akan memoderasi hubungan antara </w:t>
      </w:r>
      <w:r>
        <w:rPr>
          <w:i/>
        </w:rPr>
        <w:t>Debt To Equity Ratio</w:t>
      </w:r>
      <w:r>
        <w:t xml:space="preserve"> (DER) terhadap harga saham dan </w:t>
      </w:r>
      <w:r>
        <w:rPr>
          <w:i/>
        </w:rPr>
        <w:t>Return On Equity</w:t>
      </w:r>
      <w:r>
        <w:t xml:space="preserve"> (ROE) terhadap harga saham. Adapun hasil uji regresi moderasi pada penelitian ini akan dipaparkan pada tabel berikut:</w:t>
      </w:r>
    </w:p>
    <w:p w14:paraId="5B0FBB09">
      <w:pPr>
        <w:pStyle w:val="8"/>
        <w:spacing w:after="0" w:line="480" w:lineRule="auto"/>
        <w:jc w:val="center"/>
        <w:rPr>
          <w:rFonts w:ascii="Times New Roman" w:hAnsi="Times New Roman" w:cs="Times New Roman"/>
          <w:b/>
          <w:color w:val="auto"/>
          <w:sz w:val="24"/>
        </w:rPr>
      </w:pPr>
      <w:r>
        <w:rPr>
          <w:rFonts w:ascii="Times New Roman" w:hAnsi="Times New Roman" w:cs="Times New Roman"/>
          <w:color w:val="auto"/>
          <w:sz w:val="24"/>
        </w:rPr>
        <w:t>Tabel 4.12 Hasil Uji Regresi Moderasi</w:t>
      </w:r>
    </w:p>
    <w:tbl>
      <w:tblPr>
        <w:tblStyle w:val="6"/>
        <w:tblW w:w="87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36"/>
        <w:gridCol w:w="1814"/>
        <w:gridCol w:w="1338"/>
        <w:gridCol w:w="1338"/>
        <w:gridCol w:w="1476"/>
        <w:gridCol w:w="1030"/>
        <w:gridCol w:w="1030"/>
      </w:tblGrid>
      <w:tr w14:paraId="2CD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762" w:type="dxa"/>
            <w:gridSpan w:val="7"/>
            <w:shd w:val="clear" w:color="auto" w:fill="auto"/>
            <w:vAlign w:val="center"/>
          </w:tcPr>
          <w:p w14:paraId="05872662">
            <w:pPr>
              <w:autoSpaceDE w:val="0"/>
              <w:autoSpaceDN w:val="0"/>
              <w:adjustRightInd w:val="0"/>
              <w:spacing w:after="0" w:line="320" w:lineRule="atLeast"/>
              <w:ind w:left="60" w:right="60"/>
              <w:jc w:val="center"/>
            </w:pPr>
            <w:r>
              <w:rPr>
                <w:b/>
                <w:bCs/>
              </w:rPr>
              <w:t>Coefficients</w:t>
            </w:r>
            <w:r>
              <w:rPr>
                <w:b/>
                <w:bCs/>
                <w:vertAlign w:val="superscript"/>
              </w:rPr>
              <w:t>a</w:t>
            </w:r>
          </w:p>
        </w:tc>
      </w:tr>
      <w:tr w14:paraId="4556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550" w:type="dxa"/>
            <w:gridSpan w:val="2"/>
            <w:vMerge w:val="restart"/>
            <w:shd w:val="clear" w:color="auto" w:fill="auto"/>
            <w:vAlign w:val="bottom"/>
          </w:tcPr>
          <w:p w14:paraId="7DAE949F">
            <w:pPr>
              <w:autoSpaceDE w:val="0"/>
              <w:autoSpaceDN w:val="0"/>
              <w:adjustRightInd w:val="0"/>
              <w:spacing w:after="0" w:line="320" w:lineRule="atLeast"/>
              <w:ind w:left="60" w:right="60"/>
              <w:rPr>
                <w:sz w:val="18"/>
                <w:szCs w:val="18"/>
              </w:rPr>
            </w:pPr>
            <w:r>
              <w:rPr>
                <w:sz w:val="18"/>
                <w:szCs w:val="18"/>
              </w:rPr>
              <w:t>Model</w:t>
            </w:r>
          </w:p>
        </w:tc>
        <w:tc>
          <w:tcPr>
            <w:tcW w:w="2676" w:type="dxa"/>
            <w:gridSpan w:val="2"/>
            <w:shd w:val="clear" w:color="auto" w:fill="auto"/>
            <w:vAlign w:val="bottom"/>
          </w:tcPr>
          <w:p w14:paraId="2D88A1B5">
            <w:pPr>
              <w:autoSpaceDE w:val="0"/>
              <w:autoSpaceDN w:val="0"/>
              <w:adjustRightInd w:val="0"/>
              <w:spacing w:after="0" w:line="320" w:lineRule="atLeast"/>
              <w:ind w:left="60" w:right="60"/>
              <w:jc w:val="center"/>
              <w:rPr>
                <w:sz w:val="18"/>
                <w:szCs w:val="18"/>
              </w:rPr>
            </w:pPr>
            <w:r>
              <w:rPr>
                <w:sz w:val="18"/>
                <w:szCs w:val="18"/>
              </w:rPr>
              <w:t>Unstandardized Coefficients</w:t>
            </w:r>
          </w:p>
        </w:tc>
        <w:tc>
          <w:tcPr>
            <w:tcW w:w="1476" w:type="dxa"/>
            <w:shd w:val="clear" w:color="auto" w:fill="auto"/>
            <w:vAlign w:val="bottom"/>
          </w:tcPr>
          <w:p w14:paraId="6DB05FAA">
            <w:pPr>
              <w:autoSpaceDE w:val="0"/>
              <w:autoSpaceDN w:val="0"/>
              <w:adjustRightInd w:val="0"/>
              <w:spacing w:after="0" w:line="320" w:lineRule="atLeast"/>
              <w:ind w:left="60" w:right="60"/>
              <w:jc w:val="center"/>
              <w:rPr>
                <w:sz w:val="18"/>
                <w:szCs w:val="18"/>
              </w:rPr>
            </w:pPr>
            <w:r>
              <w:rPr>
                <w:sz w:val="18"/>
                <w:szCs w:val="18"/>
              </w:rPr>
              <w:t>Standardized Coefficients</w:t>
            </w:r>
          </w:p>
        </w:tc>
        <w:tc>
          <w:tcPr>
            <w:tcW w:w="1030" w:type="dxa"/>
            <w:vMerge w:val="restart"/>
            <w:shd w:val="clear" w:color="auto" w:fill="auto"/>
            <w:vAlign w:val="bottom"/>
          </w:tcPr>
          <w:p w14:paraId="2252DE77">
            <w:pPr>
              <w:autoSpaceDE w:val="0"/>
              <w:autoSpaceDN w:val="0"/>
              <w:adjustRightInd w:val="0"/>
              <w:spacing w:after="0" w:line="320" w:lineRule="atLeast"/>
              <w:ind w:left="60" w:right="60"/>
              <w:jc w:val="center"/>
              <w:rPr>
                <w:sz w:val="18"/>
                <w:szCs w:val="18"/>
              </w:rPr>
            </w:pPr>
            <w:r>
              <w:rPr>
                <w:sz w:val="18"/>
                <w:szCs w:val="18"/>
              </w:rPr>
              <w:t>T</w:t>
            </w:r>
          </w:p>
        </w:tc>
        <w:tc>
          <w:tcPr>
            <w:tcW w:w="1030" w:type="dxa"/>
            <w:vMerge w:val="restart"/>
            <w:shd w:val="clear" w:color="auto" w:fill="auto"/>
            <w:vAlign w:val="bottom"/>
          </w:tcPr>
          <w:p w14:paraId="602D4FAC">
            <w:pPr>
              <w:autoSpaceDE w:val="0"/>
              <w:autoSpaceDN w:val="0"/>
              <w:adjustRightInd w:val="0"/>
              <w:spacing w:after="0" w:line="320" w:lineRule="atLeast"/>
              <w:ind w:left="60" w:right="60"/>
              <w:jc w:val="center"/>
              <w:rPr>
                <w:sz w:val="18"/>
                <w:szCs w:val="18"/>
              </w:rPr>
            </w:pPr>
            <w:r>
              <w:rPr>
                <w:sz w:val="18"/>
                <w:szCs w:val="18"/>
              </w:rPr>
              <w:t>Sig.</w:t>
            </w:r>
          </w:p>
        </w:tc>
      </w:tr>
      <w:tr w14:paraId="1175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2550" w:type="dxa"/>
            <w:gridSpan w:val="2"/>
            <w:vMerge w:val="continue"/>
            <w:shd w:val="clear" w:color="auto" w:fill="auto"/>
            <w:vAlign w:val="bottom"/>
          </w:tcPr>
          <w:p w14:paraId="1FDAD9E2">
            <w:pPr>
              <w:autoSpaceDE w:val="0"/>
              <w:autoSpaceDN w:val="0"/>
              <w:adjustRightInd w:val="0"/>
              <w:spacing w:after="0" w:line="240" w:lineRule="auto"/>
              <w:rPr>
                <w:sz w:val="18"/>
                <w:szCs w:val="18"/>
              </w:rPr>
            </w:pPr>
          </w:p>
        </w:tc>
        <w:tc>
          <w:tcPr>
            <w:tcW w:w="1338" w:type="dxa"/>
            <w:shd w:val="clear" w:color="auto" w:fill="auto"/>
            <w:vAlign w:val="bottom"/>
          </w:tcPr>
          <w:p w14:paraId="29E5665B">
            <w:pPr>
              <w:autoSpaceDE w:val="0"/>
              <w:autoSpaceDN w:val="0"/>
              <w:adjustRightInd w:val="0"/>
              <w:spacing w:after="0" w:line="320" w:lineRule="atLeast"/>
              <w:ind w:left="60" w:right="60"/>
              <w:jc w:val="center"/>
              <w:rPr>
                <w:sz w:val="18"/>
                <w:szCs w:val="18"/>
              </w:rPr>
            </w:pPr>
            <w:r>
              <w:rPr>
                <w:sz w:val="18"/>
                <w:szCs w:val="18"/>
              </w:rPr>
              <w:t>B</w:t>
            </w:r>
          </w:p>
        </w:tc>
        <w:tc>
          <w:tcPr>
            <w:tcW w:w="1338" w:type="dxa"/>
            <w:shd w:val="clear" w:color="auto" w:fill="auto"/>
            <w:vAlign w:val="bottom"/>
          </w:tcPr>
          <w:p w14:paraId="60946DD3">
            <w:pPr>
              <w:autoSpaceDE w:val="0"/>
              <w:autoSpaceDN w:val="0"/>
              <w:adjustRightInd w:val="0"/>
              <w:spacing w:after="0" w:line="320" w:lineRule="atLeast"/>
              <w:ind w:left="60" w:right="60"/>
              <w:jc w:val="center"/>
              <w:rPr>
                <w:sz w:val="18"/>
                <w:szCs w:val="18"/>
              </w:rPr>
            </w:pPr>
            <w:r>
              <w:rPr>
                <w:sz w:val="18"/>
                <w:szCs w:val="18"/>
              </w:rPr>
              <w:t>Std. Error</w:t>
            </w:r>
          </w:p>
        </w:tc>
        <w:tc>
          <w:tcPr>
            <w:tcW w:w="1476" w:type="dxa"/>
            <w:shd w:val="clear" w:color="auto" w:fill="auto"/>
            <w:vAlign w:val="bottom"/>
          </w:tcPr>
          <w:p w14:paraId="39461D68">
            <w:pPr>
              <w:autoSpaceDE w:val="0"/>
              <w:autoSpaceDN w:val="0"/>
              <w:adjustRightInd w:val="0"/>
              <w:spacing w:after="0" w:line="320" w:lineRule="atLeast"/>
              <w:ind w:left="60" w:right="60"/>
              <w:jc w:val="center"/>
              <w:rPr>
                <w:sz w:val="18"/>
                <w:szCs w:val="18"/>
              </w:rPr>
            </w:pPr>
            <w:r>
              <w:rPr>
                <w:sz w:val="18"/>
                <w:szCs w:val="18"/>
              </w:rPr>
              <w:t>Beta</w:t>
            </w:r>
          </w:p>
        </w:tc>
        <w:tc>
          <w:tcPr>
            <w:tcW w:w="1030" w:type="dxa"/>
            <w:vMerge w:val="continue"/>
            <w:shd w:val="clear" w:color="auto" w:fill="auto"/>
            <w:vAlign w:val="bottom"/>
          </w:tcPr>
          <w:p w14:paraId="51E2EBE2">
            <w:pPr>
              <w:autoSpaceDE w:val="0"/>
              <w:autoSpaceDN w:val="0"/>
              <w:adjustRightInd w:val="0"/>
              <w:spacing w:after="0" w:line="240" w:lineRule="auto"/>
              <w:rPr>
                <w:sz w:val="18"/>
                <w:szCs w:val="18"/>
              </w:rPr>
            </w:pPr>
          </w:p>
        </w:tc>
        <w:tc>
          <w:tcPr>
            <w:tcW w:w="1030" w:type="dxa"/>
            <w:vMerge w:val="continue"/>
            <w:shd w:val="clear" w:color="auto" w:fill="auto"/>
            <w:vAlign w:val="bottom"/>
          </w:tcPr>
          <w:p w14:paraId="0980136C">
            <w:pPr>
              <w:autoSpaceDE w:val="0"/>
              <w:autoSpaceDN w:val="0"/>
              <w:adjustRightInd w:val="0"/>
              <w:spacing w:after="0" w:line="240" w:lineRule="auto"/>
              <w:rPr>
                <w:sz w:val="18"/>
                <w:szCs w:val="18"/>
              </w:rPr>
            </w:pPr>
          </w:p>
        </w:tc>
      </w:tr>
      <w:tr w14:paraId="6C751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6" w:type="dxa"/>
            <w:vMerge w:val="restart"/>
            <w:shd w:val="clear" w:color="auto" w:fill="auto"/>
          </w:tcPr>
          <w:p w14:paraId="70380C3C">
            <w:pPr>
              <w:autoSpaceDE w:val="0"/>
              <w:autoSpaceDN w:val="0"/>
              <w:adjustRightInd w:val="0"/>
              <w:spacing w:after="0" w:line="320" w:lineRule="atLeast"/>
              <w:ind w:left="60" w:right="60"/>
              <w:rPr>
                <w:sz w:val="18"/>
                <w:szCs w:val="18"/>
              </w:rPr>
            </w:pPr>
            <w:r>
              <w:rPr>
                <w:sz w:val="18"/>
                <w:szCs w:val="18"/>
              </w:rPr>
              <w:t>1</w:t>
            </w:r>
          </w:p>
        </w:tc>
        <w:tc>
          <w:tcPr>
            <w:tcW w:w="1814" w:type="dxa"/>
            <w:shd w:val="clear" w:color="auto" w:fill="auto"/>
          </w:tcPr>
          <w:p w14:paraId="313A3CC7">
            <w:pPr>
              <w:autoSpaceDE w:val="0"/>
              <w:autoSpaceDN w:val="0"/>
              <w:adjustRightInd w:val="0"/>
              <w:spacing w:after="0" w:line="320" w:lineRule="atLeast"/>
              <w:ind w:left="60" w:right="60"/>
              <w:rPr>
                <w:sz w:val="18"/>
                <w:szCs w:val="18"/>
              </w:rPr>
            </w:pPr>
            <w:r>
              <w:rPr>
                <w:sz w:val="18"/>
                <w:szCs w:val="18"/>
              </w:rPr>
              <w:t>(Constant)</w:t>
            </w:r>
          </w:p>
        </w:tc>
        <w:tc>
          <w:tcPr>
            <w:tcW w:w="1338" w:type="dxa"/>
            <w:shd w:val="clear" w:color="auto" w:fill="auto"/>
          </w:tcPr>
          <w:p w14:paraId="223A7630">
            <w:pPr>
              <w:autoSpaceDE w:val="0"/>
              <w:autoSpaceDN w:val="0"/>
              <w:adjustRightInd w:val="0"/>
              <w:spacing w:after="0" w:line="320" w:lineRule="atLeast"/>
              <w:ind w:left="60" w:right="60"/>
              <w:jc w:val="right"/>
              <w:rPr>
                <w:sz w:val="18"/>
                <w:szCs w:val="18"/>
              </w:rPr>
            </w:pPr>
            <w:r>
              <w:rPr>
                <w:sz w:val="18"/>
                <w:szCs w:val="18"/>
              </w:rPr>
              <w:t>870.279</w:t>
            </w:r>
          </w:p>
        </w:tc>
        <w:tc>
          <w:tcPr>
            <w:tcW w:w="1338" w:type="dxa"/>
            <w:shd w:val="clear" w:color="auto" w:fill="auto"/>
          </w:tcPr>
          <w:p w14:paraId="37D4C563">
            <w:pPr>
              <w:autoSpaceDE w:val="0"/>
              <w:autoSpaceDN w:val="0"/>
              <w:adjustRightInd w:val="0"/>
              <w:spacing w:after="0" w:line="320" w:lineRule="atLeast"/>
              <w:ind w:left="60" w:right="60"/>
              <w:jc w:val="right"/>
              <w:rPr>
                <w:sz w:val="18"/>
                <w:szCs w:val="18"/>
              </w:rPr>
            </w:pPr>
            <w:r>
              <w:rPr>
                <w:sz w:val="18"/>
                <w:szCs w:val="18"/>
              </w:rPr>
              <w:t>178.762</w:t>
            </w:r>
          </w:p>
        </w:tc>
        <w:tc>
          <w:tcPr>
            <w:tcW w:w="1476" w:type="dxa"/>
            <w:shd w:val="clear" w:color="auto" w:fill="auto"/>
            <w:vAlign w:val="center"/>
          </w:tcPr>
          <w:p w14:paraId="78A53869">
            <w:pPr>
              <w:autoSpaceDE w:val="0"/>
              <w:autoSpaceDN w:val="0"/>
              <w:adjustRightInd w:val="0"/>
              <w:spacing w:after="0" w:line="240" w:lineRule="auto"/>
              <w:rPr>
                <w:szCs w:val="24"/>
              </w:rPr>
            </w:pPr>
          </w:p>
        </w:tc>
        <w:tc>
          <w:tcPr>
            <w:tcW w:w="1030" w:type="dxa"/>
            <w:shd w:val="clear" w:color="auto" w:fill="auto"/>
          </w:tcPr>
          <w:p w14:paraId="7571FEFD">
            <w:pPr>
              <w:autoSpaceDE w:val="0"/>
              <w:autoSpaceDN w:val="0"/>
              <w:adjustRightInd w:val="0"/>
              <w:spacing w:after="0" w:line="320" w:lineRule="atLeast"/>
              <w:ind w:left="60" w:right="60"/>
              <w:jc w:val="right"/>
              <w:rPr>
                <w:sz w:val="18"/>
                <w:szCs w:val="18"/>
              </w:rPr>
            </w:pPr>
            <w:r>
              <w:rPr>
                <w:sz w:val="18"/>
                <w:szCs w:val="18"/>
              </w:rPr>
              <w:t>4.868</w:t>
            </w:r>
          </w:p>
        </w:tc>
        <w:tc>
          <w:tcPr>
            <w:tcW w:w="1030" w:type="dxa"/>
            <w:shd w:val="clear" w:color="auto" w:fill="auto"/>
          </w:tcPr>
          <w:p w14:paraId="31503103">
            <w:pPr>
              <w:autoSpaceDE w:val="0"/>
              <w:autoSpaceDN w:val="0"/>
              <w:adjustRightInd w:val="0"/>
              <w:spacing w:after="0" w:line="320" w:lineRule="atLeast"/>
              <w:ind w:left="60" w:right="60"/>
              <w:jc w:val="right"/>
              <w:rPr>
                <w:sz w:val="18"/>
                <w:szCs w:val="18"/>
              </w:rPr>
            </w:pPr>
            <w:r>
              <w:rPr>
                <w:sz w:val="18"/>
                <w:szCs w:val="18"/>
              </w:rPr>
              <w:t>.000</w:t>
            </w:r>
          </w:p>
        </w:tc>
      </w:tr>
      <w:tr w14:paraId="37AA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6" w:type="dxa"/>
            <w:vMerge w:val="continue"/>
            <w:shd w:val="clear" w:color="auto" w:fill="auto"/>
          </w:tcPr>
          <w:p w14:paraId="63429333">
            <w:pPr>
              <w:autoSpaceDE w:val="0"/>
              <w:autoSpaceDN w:val="0"/>
              <w:adjustRightInd w:val="0"/>
              <w:spacing w:after="0" w:line="240" w:lineRule="auto"/>
              <w:rPr>
                <w:sz w:val="18"/>
                <w:szCs w:val="18"/>
              </w:rPr>
            </w:pPr>
          </w:p>
        </w:tc>
        <w:tc>
          <w:tcPr>
            <w:tcW w:w="1814" w:type="dxa"/>
            <w:shd w:val="clear" w:color="auto" w:fill="auto"/>
          </w:tcPr>
          <w:p w14:paraId="0C1600A5">
            <w:pPr>
              <w:autoSpaceDE w:val="0"/>
              <w:autoSpaceDN w:val="0"/>
              <w:adjustRightInd w:val="0"/>
              <w:spacing w:after="0" w:line="320" w:lineRule="atLeast"/>
              <w:ind w:left="60" w:right="60"/>
              <w:rPr>
                <w:sz w:val="18"/>
                <w:szCs w:val="18"/>
              </w:rPr>
            </w:pPr>
            <w:r>
              <w:rPr>
                <w:sz w:val="18"/>
                <w:szCs w:val="18"/>
              </w:rPr>
              <w:t>DER</w:t>
            </w:r>
          </w:p>
        </w:tc>
        <w:tc>
          <w:tcPr>
            <w:tcW w:w="1338" w:type="dxa"/>
            <w:shd w:val="clear" w:color="auto" w:fill="auto"/>
          </w:tcPr>
          <w:p w14:paraId="432369BF">
            <w:pPr>
              <w:autoSpaceDE w:val="0"/>
              <w:autoSpaceDN w:val="0"/>
              <w:adjustRightInd w:val="0"/>
              <w:spacing w:after="0" w:line="320" w:lineRule="atLeast"/>
              <w:ind w:left="60" w:right="60"/>
              <w:jc w:val="right"/>
              <w:rPr>
                <w:sz w:val="18"/>
                <w:szCs w:val="18"/>
              </w:rPr>
            </w:pPr>
            <w:r>
              <w:rPr>
                <w:sz w:val="18"/>
                <w:szCs w:val="18"/>
              </w:rPr>
              <w:t>240.814</w:t>
            </w:r>
          </w:p>
        </w:tc>
        <w:tc>
          <w:tcPr>
            <w:tcW w:w="1338" w:type="dxa"/>
            <w:shd w:val="clear" w:color="auto" w:fill="auto"/>
          </w:tcPr>
          <w:p w14:paraId="409C99E1">
            <w:pPr>
              <w:autoSpaceDE w:val="0"/>
              <w:autoSpaceDN w:val="0"/>
              <w:adjustRightInd w:val="0"/>
              <w:spacing w:after="0" w:line="320" w:lineRule="atLeast"/>
              <w:ind w:left="60" w:right="60"/>
              <w:jc w:val="right"/>
              <w:rPr>
                <w:sz w:val="18"/>
                <w:szCs w:val="18"/>
              </w:rPr>
            </w:pPr>
            <w:r>
              <w:rPr>
                <w:sz w:val="18"/>
                <w:szCs w:val="18"/>
              </w:rPr>
              <w:t>57.970</w:t>
            </w:r>
          </w:p>
        </w:tc>
        <w:tc>
          <w:tcPr>
            <w:tcW w:w="1476" w:type="dxa"/>
            <w:shd w:val="clear" w:color="auto" w:fill="auto"/>
          </w:tcPr>
          <w:p w14:paraId="52C8303E">
            <w:pPr>
              <w:autoSpaceDE w:val="0"/>
              <w:autoSpaceDN w:val="0"/>
              <w:adjustRightInd w:val="0"/>
              <w:spacing w:after="0" w:line="320" w:lineRule="atLeast"/>
              <w:ind w:left="60" w:right="60"/>
              <w:jc w:val="right"/>
              <w:rPr>
                <w:sz w:val="18"/>
                <w:szCs w:val="18"/>
              </w:rPr>
            </w:pPr>
            <w:r>
              <w:rPr>
                <w:sz w:val="18"/>
                <w:szCs w:val="18"/>
              </w:rPr>
              <w:t>.284</w:t>
            </w:r>
          </w:p>
        </w:tc>
        <w:tc>
          <w:tcPr>
            <w:tcW w:w="1030" w:type="dxa"/>
            <w:shd w:val="clear" w:color="auto" w:fill="auto"/>
          </w:tcPr>
          <w:p w14:paraId="64EF9CC1">
            <w:pPr>
              <w:autoSpaceDE w:val="0"/>
              <w:autoSpaceDN w:val="0"/>
              <w:adjustRightInd w:val="0"/>
              <w:spacing w:after="0" w:line="320" w:lineRule="atLeast"/>
              <w:ind w:left="60" w:right="60"/>
              <w:jc w:val="right"/>
              <w:rPr>
                <w:sz w:val="18"/>
                <w:szCs w:val="18"/>
              </w:rPr>
            </w:pPr>
            <w:r>
              <w:rPr>
                <w:sz w:val="18"/>
                <w:szCs w:val="18"/>
              </w:rPr>
              <w:t>4.154</w:t>
            </w:r>
          </w:p>
        </w:tc>
        <w:tc>
          <w:tcPr>
            <w:tcW w:w="1030" w:type="dxa"/>
            <w:shd w:val="clear" w:color="auto" w:fill="auto"/>
          </w:tcPr>
          <w:p w14:paraId="575D76F9">
            <w:pPr>
              <w:autoSpaceDE w:val="0"/>
              <w:autoSpaceDN w:val="0"/>
              <w:adjustRightInd w:val="0"/>
              <w:spacing w:after="0" w:line="320" w:lineRule="atLeast"/>
              <w:ind w:left="60" w:right="60"/>
              <w:jc w:val="right"/>
              <w:rPr>
                <w:sz w:val="18"/>
                <w:szCs w:val="18"/>
              </w:rPr>
            </w:pPr>
            <w:r>
              <w:rPr>
                <w:sz w:val="18"/>
                <w:szCs w:val="18"/>
              </w:rPr>
              <w:t>.000</w:t>
            </w:r>
          </w:p>
        </w:tc>
      </w:tr>
      <w:tr w14:paraId="656D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6" w:type="dxa"/>
            <w:vMerge w:val="continue"/>
            <w:shd w:val="clear" w:color="auto" w:fill="auto"/>
          </w:tcPr>
          <w:p w14:paraId="10CDE021">
            <w:pPr>
              <w:autoSpaceDE w:val="0"/>
              <w:autoSpaceDN w:val="0"/>
              <w:adjustRightInd w:val="0"/>
              <w:spacing w:after="0" w:line="240" w:lineRule="auto"/>
              <w:rPr>
                <w:sz w:val="18"/>
                <w:szCs w:val="18"/>
              </w:rPr>
            </w:pPr>
          </w:p>
        </w:tc>
        <w:tc>
          <w:tcPr>
            <w:tcW w:w="1814" w:type="dxa"/>
            <w:shd w:val="clear" w:color="auto" w:fill="auto"/>
          </w:tcPr>
          <w:p w14:paraId="451C12F3">
            <w:pPr>
              <w:autoSpaceDE w:val="0"/>
              <w:autoSpaceDN w:val="0"/>
              <w:adjustRightInd w:val="0"/>
              <w:spacing w:after="0" w:line="320" w:lineRule="atLeast"/>
              <w:ind w:left="60" w:right="60"/>
              <w:rPr>
                <w:sz w:val="18"/>
                <w:szCs w:val="18"/>
              </w:rPr>
            </w:pPr>
            <w:r>
              <w:rPr>
                <w:sz w:val="18"/>
                <w:szCs w:val="18"/>
              </w:rPr>
              <w:t>ROE</w:t>
            </w:r>
          </w:p>
        </w:tc>
        <w:tc>
          <w:tcPr>
            <w:tcW w:w="1338" w:type="dxa"/>
            <w:shd w:val="clear" w:color="auto" w:fill="auto"/>
          </w:tcPr>
          <w:p w14:paraId="610FE09F">
            <w:pPr>
              <w:autoSpaceDE w:val="0"/>
              <w:autoSpaceDN w:val="0"/>
              <w:adjustRightInd w:val="0"/>
              <w:spacing w:after="0" w:line="320" w:lineRule="atLeast"/>
              <w:ind w:left="60" w:right="60"/>
              <w:jc w:val="right"/>
              <w:rPr>
                <w:sz w:val="18"/>
                <w:szCs w:val="18"/>
              </w:rPr>
            </w:pPr>
            <w:r>
              <w:rPr>
                <w:sz w:val="18"/>
                <w:szCs w:val="18"/>
              </w:rPr>
              <w:t>167.250</w:t>
            </w:r>
          </w:p>
        </w:tc>
        <w:tc>
          <w:tcPr>
            <w:tcW w:w="1338" w:type="dxa"/>
            <w:shd w:val="clear" w:color="auto" w:fill="auto"/>
          </w:tcPr>
          <w:p w14:paraId="392926A1">
            <w:pPr>
              <w:autoSpaceDE w:val="0"/>
              <w:autoSpaceDN w:val="0"/>
              <w:adjustRightInd w:val="0"/>
              <w:spacing w:after="0" w:line="320" w:lineRule="atLeast"/>
              <w:ind w:left="60" w:right="60"/>
              <w:jc w:val="right"/>
              <w:rPr>
                <w:sz w:val="18"/>
                <w:szCs w:val="18"/>
              </w:rPr>
            </w:pPr>
            <w:r>
              <w:rPr>
                <w:sz w:val="18"/>
                <w:szCs w:val="18"/>
              </w:rPr>
              <w:t>940.053</w:t>
            </w:r>
          </w:p>
        </w:tc>
        <w:tc>
          <w:tcPr>
            <w:tcW w:w="1476" w:type="dxa"/>
            <w:shd w:val="clear" w:color="auto" w:fill="auto"/>
          </w:tcPr>
          <w:p w14:paraId="7ABBB36B">
            <w:pPr>
              <w:autoSpaceDE w:val="0"/>
              <w:autoSpaceDN w:val="0"/>
              <w:adjustRightInd w:val="0"/>
              <w:spacing w:after="0" w:line="320" w:lineRule="atLeast"/>
              <w:ind w:left="60" w:right="60"/>
              <w:jc w:val="right"/>
              <w:rPr>
                <w:sz w:val="18"/>
                <w:szCs w:val="18"/>
              </w:rPr>
            </w:pPr>
            <w:r>
              <w:rPr>
                <w:sz w:val="18"/>
                <w:szCs w:val="18"/>
              </w:rPr>
              <w:t>.149</w:t>
            </w:r>
          </w:p>
        </w:tc>
        <w:tc>
          <w:tcPr>
            <w:tcW w:w="1030" w:type="dxa"/>
            <w:shd w:val="clear" w:color="auto" w:fill="auto"/>
          </w:tcPr>
          <w:p w14:paraId="0DDF1446">
            <w:pPr>
              <w:autoSpaceDE w:val="0"/>
              <w:autoSpaceDN w:val="0"/>
              <w:adjustRightInd w:val="0"/>
              <w:spacing w:after="0" w:line="320" w:lineRule="atLeast"/>
              <w:ind w:left="60" w:right="60"/>
              <w:jc w:val="right"/>
              <w:rPr>
                <w:sz w:val="18"/>
                <w:szCs w:val="18"/>
              </w:rPr>
            </w:pPr>
            <w:r>
              <w:rPr>
                <w:sz w:val="18"/>
                <w:szCs w:val="18"/>
              </w:rPr>
              <w:t>1.778</w:t>
            </w:r>
          </w:p>
        </w:tc>
        <w:tc>
          <w:tcPr>
            <w:tcW w:w="1030" w:type="dxa"/>
            <w:shd w:val="clear" w:color="auto" w:fill="auto"/>
          </w:tcPr>
          <w:p w14:paraId="42197368">
            <w:pPr>
              <w:autoSpaceDE w:val="0"/>
              <w:autoSpaceDN w:val="0"/>
              <w:adjustRightInd w:val="0"/>
              <w:spacing w:after="0" w:line="320" w:lineRule="atLeast"/>
              <w:ind w:left="60" w:right="60"/>
              <w:jc w:val="right"/>
              <w:rPr>
                <w:sz w:val="18"/>
                <w:szCs w:val="18"/>
              </w:rPr>
            </w:pPr>
            <w:r>
              <w:rPr>
                <w:sz w:val="18"/>
                <w:szCs w:val="18"/>
              </w:rPr>
              <w:t>.007</w:t>
            </w:r>
          </w:p>
        </w:tc>
      </w:tr>
      <w:tr w14:paraId="03EF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6" w:type="dxa"/>
            <w:vMerge w:val="continue"/>
            <w:shd w:val="clear" w:color="auto" w:fill="auto"/>
          </w:tcPr>
          <w:p w14:paraId="2AB85938">
            <w:pPr>
              <w:autoSpaceDE w:val="0"/>
              <w:autoSpaceDN w:val="0"/>
              <w:adjustRightInd w:val="0"/>
              <w:spacing w:after="0" w:line="240" w:lineRule="auto"/>
              <w:rPr>
                <w:sz w:val="18"/>
                <w:szCs w:val="18"/>
              </w:rPr>
            </w:pPr>
          </w:p>
        </w:tc>
        <w:tc>
          <w:tcPr>
            <w:tcW w:w="1814" w:type="dxa"/>
            <w:shd w:val="clear" w:color="auto" w:fill="auto"/>
          </w:tcPr>
          <w:p w14:paraId="7D438013">
            <w:pPr>
              <w:autoSpaceDE w:val="0"/>
              <w:autoSpaceDN w:val="0"/>
              <w:adjustRightInd w:val="0"/>
              <w:spacing w:after="0" w:line="320" w:lineRule="atLeast"/>
              <w:ind w:left="60" w:right="60"/>
              <w:rPr>
                <w:sz w:val="18"/>
                <w:szCs w:val="18"/>
              </w:rPr>
            </w:pPr>
            <w:r>
              <w:rPr>
                <w:sz w:val="18"/>
                <w:szCs w:val="18"/>
              </w:rPr>
              <w:t>DER*KD</w:t>
            </w:r>
          </w:p>
        </w:tc>
        <w:tc>
          <w:tcPr>
            <w:tcW w:w="1338" w:type="dxa"/>
            <w:shd w:val="clear" w:color="auto" w:fill="auto"/>
          </w:tcPr>
          <w:p w14:paraId="219544BA">
            <w:pPr>
              <w:autoSpaceDE w:val="0"/>
              <w:autoSpaceDN w:val="0"/>
              <w:adjustRightInd w:val="0"/>
              <w:spacing w:after="0" w:line="320" w:lineRule="atLeast"/>
              <w:ind w:left="60" w:right="60"/>
              <w:jc w:val="right"/>
              <w:rPr>
                <w:sz w:val="18"/>
                <w:szCs w:val="18"/>
              </w:rPr>
            </w:pPr>
            <w:r>
              <w:rPr>
                <w:sz w:val="18"/>
                <w:szCs w:val="18"/>
              </w:rPr>
              <w:t>716.491</w:t>
            </w:r>
          </w:p>
        </w:tc>
        <w:tc>
          <w:tcPr>
            <w:tcW w:w="1338" w:type="dxa"/>
            <w:shd w:val="clear" w:color="auto" w:fill="auto"/>
          </w:tcPr>
          <w:p w14:paraId="767A55BB">
            <w:pPr>
              <w:autoSpaceDE w:val="0"/>
              <w:autoSpaceDN w:val="0"/>
              <w:adjustRightInd w:val="0"/>
              <w:spacing w:after="0" w:line="320" w:lineRule="atLeast"/>
              <w:ind w:left="60" w:right="60"/>
              <w:jc w:val="right"/>
              <w:rPr>
                <w:sz w:val="18"/>
                <w:szCs w:val="18"/>
              </w:rPr>
            </w:pPr>
            <w:r>
              <w:rPr>
                <w:sz w:val="18"/>
                <w:szCs w:val="18"/>
              </w:rPr>
              <w:t>4017.234</w:t>
            </w:r>
          </w:p>
        </w:tc>
        <w:tc>
          <w:tcPr>
            <w:tcW w:w="1476" w:type="dxa"/>
            <w:shd w:val="clear" w:color="auto" w:fill="auto"/>
          </w:tcPr>
          <w:p w14:paraId="4E37CFAF">
            <w:pPr>
              <w:autoSpaceDE w:val="0"/>
              <w:autoSpaceDN w:val="0"/>
              <w:adjustRightInd w:val="0"/>
              <w:spacing w:after="0" w:line="320" w:lineRule="atLeast"/>
              <w:ind w:left="60" w:right="60"/>
              <w:jc w:val="right"/>
              <w:rPr>
                <w:sz w:val="18"/>
                <w:szCs w:val="18"/>
              </w:rPr>
            </w:pPr>
            <w:r>
              <w:rPr>
                <w:sz w:val="18"/>
                <w:szCs w:val="18"/>
              </w:rPr>
              <w:t>.137</w:t>
            </w:r>
          </w:p>
        </w:tc>
        <w:tc>
          <w:tcPr>
            <w:tcW w:w="1030" w:type="dxa"/>
            <w:shd w:val="clear" w:color="auto" w:fill="auto"/>
          </w:tcPr>
          <w:p w14:paraId="4E274404">
            <w:pPr>
              <w:autoSpaceDE w:val="0"/>
              <w:autoSpaceDN w:val="0"/>
              <w:adjustRightInd w:val="0"/>
              <w:spacing w:after="0" w:line="320" w:lineRule="atLeast"/>
              <w:ind w:left="60" w:right="60"/>
              <w:jc w:val="right"/>
              <w:rPr>
                <w:sz w:val="18"/>
                <w:szCs w:val="18"/>
              </w:rPr>
            </w:pPr>
            <w:r>
              <w:rPr>
                <w:sz w:val="18"/>
                <w:szCs w:val="18"/>
              </w:rPr>
              <w:t>1.784</w:t>
            </w:r>
          </w:p>
        </w:tc>
        <w:tc>
          <w:tcPr>
            <w:tcW w:w="1030" w:type="dxa"/>
            <w:shd w:val="clear" w:color="auto" w:fill="auto"/>
          </w:tcPr>
          <w:p w14:paraId="53692651">
            <w:pPr>
              <w:autoSpaceDE w:val="0"/>
              <w:autoSpaceDN w:val="0"/>
              <w:adjustRightInd w:val="0"/>
              <w:spacing w:after="0" w:line="320" w:lineRule="atLeast"/>
              <w:ind w:left="60" w:right="60"/>
              <w:jc w:val="right"/>
              <w:rPr>
                <w:sz w:val="18"/>
                <w:szCs w:val="18"/>
              </w:rPr>
            </w:pPr>
            <w:r>
              <w:rPr>
                <w:sz w:val="18"/>
                <w:szCs w:val="18"/>
              </w:rPr>
              <w:t>.006</w:t>
            </w:r>
          </w:p>
        </w:tc>
      </w:tr>
      <w:tr w14:paraId="611A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jc w:val="center"/>
        </w:trPr>
        <w:tc>
          <w:tcPr>
            <w:tcW w:w="736" w:type="dxa"/>
            <w:vMerge w:val="continue"/>
            <w:shd w:val="clear" w:color="auto" w:fill="auto"/>
          </w:tcPr>
          <w:p w14:paraId="23C8652F">
            <w:pPr>
              <w:autoSpaceDE w:val="0"/>
              <w:autoSpaceDN w:val="0"/>
              <w:adjustRightInd w:val="0"/>
              <w:spacing w:after="0" w:line="240" w:lineRule="auto"/>
              <w:rPr>
                <w:sz w:val="18"/>
                <w:szCs w:val="18"/>
              </w:rPr>
            </w:pPr>
          </w:p>
        </w:tc>
        <w:tc>
          <w:tcPr>
            <w:tcW w:w="1814" w:type="dxa"/>
            <w:shd w:val="clear" w:color="auto" w:fill="auto"/>
          </w:tcPr>
          <w:p w14:paraId="59DE856E">
            <w:pPr>
              <w:autoSpaceDE w:val="0"/>
              <w:autoSpaceDN w:val="0"/>
              <w:adjustRightInd w:val="0"/>
              <w:spacing w:after="0" w:line="320" w:lineRule="atLeast"/>
              <w:ind w:left="60" w:right="60"/>
              <w:rPr>
                <w:sz w:val="18"/>
                <w:szCs w:val="18"/>
              </w:rPr>
            </w:pPr>
            <w:r>
              <w:rPr>
                <w:sz w:val="18"/>
                <w:szCs w:val="18"/>
              </w:rPr>
              <w:t>ROE*KD</w:t>
            </w:r>
          </w:p>
        </w:tc>
        <w:tc>
          <w:tcPr>
            <w:tcW w:w="1338" w:type="dxa"/>
            <w:shd w:val="clear" w:color="auto" w:fill="auto"/>
          </w:tcPr>
          <w:p w14:paraId="48B1A022">
            <w:pPr>
              <w:autoSpaceDE w:val="0"/>
              <w:autoSpaceDN w:val="0"/>
              <w:adjustRightInd w:val="0"/>
              <w:spacing w:after="0" w:line="320" w:lineRule="atLeast"/>
              <w:ind w:left="60" w:right="60"/>
              <w:jc w:val="right"/>
              <w:rPr>
                <w:sz w:val="18"/>
                <w:szCs w:val="18"/>
              </w:rPr>
            </w:pPr>
            <w:r>
              <w:rPr>
                <w:sz w:val="18"/>
                <w:szCs w:val="18"/>
              </w:rPr>
              <w:t>322.724</w:t>
            </w:r>
          </w:p>
        </w:tc>
        <w:tc>
          <w:tcPr>
            <w:tcW w:w="1338" w:type="dxa"/>
            <w:shd w:val="clear" w:color="auto" w:fill="auto"/>
          </w:tcPr>
          <w:p w14:paraId="615903A7">
            <w:pPr>
              <w:autoSpaceDE w:val="0"/>
              <w:autoSpaceDN w:val="0"/>
              <w:adjustRightInd w:val="0"/>
              <w:spacing w:after="0" w:line="320" w:lineRule="atLeast"/>
              <w:ind w:left="60" w:right="60"/>
              <w:jc w:val="right"/>
              <w:rPr>
                <w:sz w:val="18"/>
                <w:szCs w:val="18"/>
              </w:rPr>
            </w:pPr>
            <w:r>
              <w:rPr>
                <w:sz w:val="18"/>
                <w:szCs w:val="18"/>
              </w:rPr>
              <w:t>60287.487</w:t>
            </w:r>
          </w:p>
        </w:tc>
        <w:tc>
          <w:tcPr>
            <w:tcW w:w="1476" w:type="dxa"/>
            <w:shd w:val="clear" w:color="auto" w:fill="auto"/>
          </w:tcPr>
          <w:p w14:paraId="2EEE0C90">
            <w:pPr>
              <w:autoSpaceDE w:val="0"/>
              <w:autoSpaceDN w:val="0"/>
              <w:adjustRightInd w:val="0"/>
              <w:spacing w:after="0" w:line="320" w:lineRule="atLeast"/>
              <w:ind w:left="60" w:right="60"/>
              <w:jc w:val="right"/>
              <w:rPr>
                <w:sz w:val="18"/>
                <w:szCs w:val="18"/>
              </w:rPr>
            </w:pPr>
            <w:r>
              <w:rPr>
                <w:sz w:val="18"/>
                <w:szCs w:val="18"/>
              </w:rPr>
              <w:t>.060</w:t>
            </w:r>
          </w:p>
        </w:tc>
        <w:tc>
          <w:tcPr>
            <w:tcW w:w="1030" w:type="dxa"/>
            <w:shd w:val="clear" w:color="auto" w:fill="auto"/>
          </w:tcPr>
          <w:p w14:paraId="7D64C38E">
            <w:pPr>
              <w:autoSpaceDE w:val="0"/>
              <w:autoSpaceDN w:val="0"/>
              <w:adjustRightInd w:val="0"/>
              <w:spacing w:after="0" w:line="320" w:lineRule="atLeast"/>
              <w:ind w:left="60" w:right="60"/>
              <w:jc w:val="right"/>
              <w:rPr>
                <w:sz w:val="18"/>
                <w:szCs w:val="18"/>
              </w:rPr>
            </w:pPr>
            <w:r>
              <w:rPr>
                <w:sz w:val="18"/>
                <w:szCs w:val="18"/>
              </w:rPr>
              <w:t>1.535</w:t>
            </w:r>
          </w:p>
        </w:tc>
        <w:tc>
          <w:tcPr>
            <w:tcW w:w="1030" w:type="dxa"/>
            <w:shd w:val="clear" w:color="auto" w:fill="auto"/>
          </w:tcPr>
          <w:p w14:paraId="1DAF1739">
            <w:pPr>
              <w:autoSpaceDE w:val="0"/>
              <w:autoSpaceDN w:val="0"/>
              <w:adjustRightInd w:val="0"/>
              <w:spacing w:after="0" w:line="320" w:lineRule="atLeast"/>
              <w:ind w:left="60" w:right="60"/>
              <w:jc w:val="right"/>
              <w:rPr>
                <w:sz w:val="18"/>
                <w:szCs w:val="18"/>
              </w:rPr>
            </w:pPr>
            <w:r>
              <w:rPr>
                <w:sz w:val="18"/>
                <w:szCs w:val="18"/>
              </w:rPr>
              <w:t>.000</w:t>
            </w:r>
          </w:p>
        </w:tc>
      </w:tr>
    </w:tbl>
    <w:p w14:paraId="5702D442">
      <w:pPr>
        <w:spacing w:after="0"/>
        <w:ind w:firstLine="284"/>
        <w:rPr>
          <w:sz w:val="22"/>
        </w:rPr>
      </w:pPr>
      <w:r>
        <w:rPr>
          <w:sz w:val="22"/>
        </w:rPr>
        <w:t>Data diolah, 2025</w:t>
      </w:r>
    </w:p>
    <w:p w14:paraId="2295D4D9">
      <w:pPr>
        <w:ind w:left="426" w:firstLine="283"/>
      </w:pPr>
      <w:r>
        <w:t xml:space="preserve">Berdasarkan hasil regeresi pada table 4.12 di atas, maka dapat dijelaskan yaitu sebagai berikut: </w:t>
      </w:r>
    </w:p>
    <w:p w14:paraId="69135FBF">
      <w:pPr>
        <w:pStyle w:val="23"/>
        <w:numPr>
          <w:ilvl w:val="0"/>
          <w:numId w:val="6"/>
        </w:numPr>
        <w:spacing w:after="200" w:line="480" w:lineRule="auto"/>
        <w:ind w:left="851" w:hanging="425"/>
      </w:pPr>
      <w:r>
        <w:t xml:space="preserve">Koefisien regresi moderasi pada variabel </w:t>
      </w:r>
      <w:r>
        <w:rPr>
          <w:i/>
        </w:rPr>
        <w:t>Debt To Equity Ratio</w:t>
      </w:r>
      <w:r>
        <w:t xml:space="preserve"> (DER) dengan variabel kebijakan dividen sebagai moderasi (X1Z) senilai 716,491 dengan nilai sig. 0,006 &lt; 0,05. Nilai ini bersifat positif sehingga kebijakan dividen memperkuat pengaruh antara </w:t>
      </w:r>
      <w:r>
        <w:rPr>
          <w:i/>
        </w:rPr>
        <w:t>Debt To Equity Ratio</w:t>
      </w:r>
      <w:r>
        <w:t xml:space="preserve"> (DER) terhadap harga saham. </w:t>
      </w:r>
    </w:p>
    <w:p w14:paraId="6BC8510D">
      <w:pPr>
        <w:pStyle w:val="23"/>
        <w:numPr>
          <w:ilvl w:val="0"/>
          <w:numId w:val="6"/>
        </w:numPr>
        <w:spacing w:after="200" w:line="480" w:lineRule="auto"/>
        <w:ind w:left="851" w:hanging="425"/>
      </w:pPr>
      <w:r>
        <w:t xml:space="preserve">Koefisien regresi moderasi pada variabel </w:t>
      </w:r>
      <w:r>
        <w:rPr>
          <w:i/>
        </w:rPr>
        <w:t>Return On Equity</w:t>
      </w:r>
      <w:r>
        <w:t xml:space="preserve"> (ROE) dengan variabel kebijakan dividen sebagai moderasi (X2Z) senilai 322,724 dengan nilai sig. 0,000 &lt; 0,05. Nilai ini bersifat positif sehingga kebijakan dividen memperkuat pengaruh antara </w:t>
      </w:r>
      <w:r>
        <w:rPr>
          <w:i/>
        </w:rPr>
        <w:t>Return On Equity</w:t>
      </w:r>
      <w:r>
        <w:t xml:space="preserve"> (ROE) terhadap harga saham. </w:t>
      </w:r>
    </w:p>
    <w:p w14:paraId="7EDA41BA">
      <w:pPr>
        <w:spacing w:after="200" w:line="480" w:lineRule="auto"/>
        <w:jc w:val="left"/>
        <w:rPr>
          <w:b/>
          <w:bCs/>
        </w:rPr>
      </w:pPr>
      <w:r>
        <w:rPr>
          <w:b/>
          <w:bCs/>
        </w:rPr>
        <w:t xml:space="preserve">Pembahasan </w:t>
      </w:r>
    </w:p>
    <w:p w14:paraId="16186CE4">
      <w:pPr>
        <w:pStyle w:val="23"/>
        <w:ind w:left="426" w:firstLine="425"/>
      </w:pPr>
      <w:r>
        <w:t xml:space="preserve">Penelitian ini merupakan penelitian yang membahas mengenai kinerja keuangan. Dalam penelitian ini menggunakan 2 variabel independen yaitu </w:t>
      </w:r>
      <w:r>
        <w:rPr>
          <w:i/>
        </w:rPr>
        <w:t>Debt to Equity Ratio</w:t>
      </w:r>
      <w:r>
        <w:t xml:space="preserve"> (DER) dan </w:t>
      </w:r>
      <w:r>
        <w:rPr>
          <w:i/>
        </w:rPr>
        <w:t>Return On Equity</w:t>
      </w:r>
      <w:r>
        <w:t xml:space="preserve"> (ROE), serta variabel moderasi yaitu kebijakan dividen. Berdasarkan hasil penelitian yang telah dilakukan di atas pada sampel penelitian perusahaan manufaktur yang terdaftar di bursa efek indonesia tahun 2021-2023, maka hasilnya sebagai berikut:</w:t>
      </w:r>
    </w:p>
    <w:p w14:paraId="42162518">
      <w:pPr>
        <w:spacing w:after="200" w:line="480" w:lineRule="auto"/>
        <w:jc w:val="left"/>
        <w:rPr>
          <w:b/>
        </w:rPr>
      </w:pPr>
      <w:r>
        <w:rPr>
          <w:b/>
        </w:rPr>
        <w:t xml:space="preserve">Pengaruh </w:t>
      </w:r>
      <w:r>
        <w:rPr>
          <w:b/>
          <w:i/>
        </w:rPr>
        <w:t>Debt to Equity Ratio</w:t>
      </w:r>
      <w:r>
        <w:rPr>
          <w:b/>
        </w:rPr>
        <w:t xml:space="preserve"> (DER) Terhadap Harga Saham</w:t>
      </w:r>
    </w:p>
    <w:p w14:paraId="6699E162">
      <w:pPr>
        <w:pStyle w:val="23"/>
        <w:ind w:left="567" w:firstLine="426"/>
        <w:rPr>
          <w:b/>
        </w:rPr>
      </w:pPr>
      <w:r>
        <w:t xml:space="preserve">Berdasarkan hasil pengujian hipotesis pada uji t diperoleh hasil yang menunjukkan bahwa </w:t>
      </w:r>
      <w:r>
        <w:rPr>
          <w:i/>
        </w:rPr>
        <w:t>Debt to Equity Ratio</w:t>
      </w:r>
      <w:r>
        <w:t xml:space="preserve"> (DER) berpengaruh positif terhadap harga saham. Hal ini dikarenakan dari hasil uji t diperoleh nilai t-statistik sebesar </w:t>
      </w:r>
      <w:r>
        <w:rPr>
          <w:szCs w:val="24"/>
        </w:rPr>
        <w:t xml:space="preserve">3,806 </w:t>
      </w:r>
      <w:r>
        <w:t xml:space="preserve">dengan Sig. sebesar </w:t>
      </w:r>
      <w:r>
        <w:rPr>
          <w:szCs w:val="24"/>
        </w:rPr>
        <w:t xml:space="preserve">0.000 </w:t>
      </w:r>
      <w:r>
        <w:t xml:space="preserve">&lt; 0.05. Hal ini berarti menjelaskan bahwa hipotesis penelitian yang menyatakan </w:t>
      </w:r>
      <w:r>
        <w:rPr>
          <w:i/>
        </w:rPr>
        <w:t>Debt to Equity Ratio</w:t>
      </w:r>
      <w:r>
        <w:t xml:space="preserve"> (DER) berpengaruh positif terhadap harga saham </w:t>
      </w:r>
      <w:r>
        <w:rPr>
          <w:b/>
        </w:rPr>
        <w:t>diterima</w:t>
      </w:r>
      <w:r>
        <w:t>.</w:t>
      </w:r>
      <w:r>
        <w:rPr>
          <w:b/>
        </w:rPr>
        <w:t xml:space="preserve"> </w:t>
      </w:r>
    </w:p>
    <w:p w14:paraId="351D904A">
      <w:pPr>
        <w:pStyle w:val="23"/>
        <w:ind w:left="567" w:firstLine="426"/>
      </w:pPr>
      <w:r>
        <w:t xml:space="preserve">Berdasarkan hasil penelitian variabel </w:t>
      </w:r>
      <w:r>
        <w:rPr>
          <w:i/>
        </w:rPr>
        <w:t>Debt to Equity Ratio</w:t>
      </w:r>
      <w:r>
        <w:t xml:space="preserve"> (DER) berpengaruh positif terhadap harga saham. Artinya investor cenderung merespon secara optimis terhadap perusahaan yang menggunakan pembiayaan utang dalam struktur modalnya secara proporsional. DER yang tinggi mencerminkan keberanian perusahaan dalam memanfaatkan utang untuk memperbesar skala usaha, yang jika dikelola dengan baik dapat meningkatkan laba dan memberikan imbal hasil yang lebih besar kepada pemegang saham. </w:t>
      </w:r>
      <w:r>
        <w:commentReference w:id="7"/>
      </w:r>
    </w:p>
    <w:p w14:paraId="2FAD39BF">
      <w:pPr>
        <w:ind w:left="0" w:firstLine="0"/>
        <w:rPr>
          <w:b/>
        </w:rPr>
      </w:pPr>
      <w:r>
        <w:rPr>
          <w:b/>
        </w:rPr>
        <w:t xml:space="preserve">Pengaruh </w:t>
      </w:r>
      <w:r>
        <w:rPr>
          <w:b/>
          <w:i/>
        </w:rPr>
        <w:t>Return On Equity</w:t>
      </w:r>
      <w:r>
        <w:rPr>
          <w:b/>
        </w:rPr>
        <w:t xml:space="preserve"> (ROE) Terhadap Harga Saham</w:t>
      </w:r>
    </w:p>
    <w:p w14:paraId="238D1042">
      <w:pPr>
        <w:pStyle w:val="23"/>
        <w:ind w:left="567" w:firstLine="426"/>
        <w:rPr>
          <w:b/>
        </w:rPr>
      </w:pPr>
      <w:r>
        <w:t xml:space="preserve">Berdasarkan hasil pengujian hipotesis pada uji t diperoleh hasil yang menunjukkan bahwa </w:t>
      </w:r>
      <w:r>
        <w:rPr>
          <w:i/>
        </w:rPr>
        <w:t>Return On Equity</w:t>
      </w:r>
      <w:r>
        <w:t xml:space="preserve"> (ROE) berpengaruh positif terhadap harga saham. Hal ini dikarenakan dari hasil uji t diperoleh nilai t-statistik sebesar 2</w:t>
      </w:r>
      <w:r>
        <w:rPr>
          <w:szCs w:val="24"/>
        </w:rPr>
        <w:t xml:space="preserve">,150 </w:t>
      </w:r>
      <w:r>
        <w:t xml:space="preserve">dengan Sig. sebesar </w:t>
      </w:r>
      <w:r>
        <w:rPr>
          <w:szCs w:val="24"/>
        </w:rPr>
        <w:t xml:space="preserve">0.033 </w:t>
      </w:r>
      <w:r>
        <w:t xml:space="preserve">&lt; 0.05. Hal ini berarti menjelaskan bahwa hipotesis penelitian yang menyatakan </w:t>
      </w:r>
      <w:r>
        <w:rPr>
          <w:i/>
        </w:rPr>
        <w:t>Return On Equity</w:t>
      </w:r>
      <w:r>
        <w:t xml:space="preserve"> (ROE) berpengaruh positif terhadap harga saham </w:t>
      </w:r>
      <w:r>
        <w:rPr>
          <w:b/>
        </w:rPr>
        <w:t>diterima</w:t>
      </w:r>
      <w:r>
        <w:t>.</w:t>
      </w:r>
      <w:r>
        <w:rPr>
          <w:b/>
        </w:rPr>
        <w:t xml:space="preserve"> </w:t>
      </w:r>
    </w:p>
    <w:p w14:paraId="392D88A5">
      <w:pPr>
        <w:pStyle w:val="23"/>
        <w:ind w:left="567" w:firstLine="426"/>
      </w:pPr>
      <w:r>
        <w:t xml:space="preserve">Berdasarkan hasil penelitian variabel </w:t>
      </w:r>
      <w:r>
        <w:rPr>
          <w:i/>
        </w:rPr>
        <w:t>Return On Equity</w:t>
      </w:r>
      <w:r>
        <w:t xml:space="preserve"> (ROE) berpengaruh positif terhadap harga saham. artinya semakin tinggi kemampuan perusahaan dalam menghasilkan laba dari setiap rupiah ekuitas yang dimiliki, maka semakin besar pula kepercayaan investor terhadap prospek perusahaan. ROE mencerminkan efisiensi manajemen dalam mengelola modal sendiri untuk menghasilkan keuntungan. </w:t>
      </w:r>
    </w:p>
    <w:p w14:paraId="7E9D21B3">
      <w:r>
        <w:rPr>
          <w:b/>
        </w:rPr>
        <w:t xml:space="preserve">Pengaruh </w:t>
      </w:r>
      <w:r>
        <w:rPr>
          <w:b/>
          <w:i/>
        </w:rPr>
        <w:t>Debt to</w:t>
      </w:r>
      <w:r>
        <w:rPr>
          <w:i/>
        </w:rPr>
        <w:t xml:space="preserve"> </w:t>
      </w:r>
      <w:r>
        <w:rPr>
          <w:b/>
          <w:i/>
        </w:rPr>
        <w:t>Equity Ratio</w:t>
      </w:r>
      <w:r>
        <w:rPr>
          <w:b/>
        </w:rPr>
        <w:t xml:space="preserve"> (DER) Terhadap Harga Saham dengan Kebijakan Dividen Sebagai Variabel Moderasi</w:t>
      </w:r>
    </w:p>
    <w:p w14:paraId="6D22BE52">
      <w:pPr>
        <w:pStyle w:val="23"/>
        <w:ind w:left="567" w:firstLine="426"/>
      </w:pPr>
      <w:r>
        <w:t xml:space="preserve">Berdasarkan hasil pengujian hipotesis pada uji t diperoleh hasil yang menunjukkan bahwa kebijakan dividen dapat memperkuat pengaruh antara </w:t>
      </w:r>
      <w:r>
        <w:rPr>
          <w:i/>
        </w:rPr>
        <w:t>Debt to Equity Ratio</w:t>
      </w:r>
      <w:r>
        <w:t xml:space="preserve"> (DER) terhadap harga saham. Hal ini dikarenakan dari hasil uji t diperoleh nilai t-statistik sebesar 1,778 dengan sig. sebesar </w:t>
      </w:r>
      <w:r>
        <w:rPr>
          <w:szCs w:val="24"/>
        </w:rPr>
        <w:t xml:space="preserve">0.006 </w:t>
      </w:r>
      <w:r>
        <w:t xml:space="preserve">&lt; 0.05. Hal ini berarti menjelaskan bahwa hipotesis penelitian yang menyatakan kebijakan dividen memperkuat pengaruh antara </w:t>
      </w:r>
      <w:r>
        <w:rPr>
          <w:i/>
        </w:rPr>
        <w:t>Debt to Equity Ratio</w:t>
      </w:r>
      <w:r>
        <w:t xml:space="preserve"> (DER) terhadap harga saham </w:t>
      </w:r>
      <w:r>
        <w:rPr>
          <w:b/>
        </w:rPr>
        <w:t>diterima</w:t>
      </w:r>
      <w:r>
        <w:t>.</w:t>
      </w:r>
    </w:p>
    <w:p w14:paraId="279208FC">
      <w:pPr>
        <w:pStyle w:val="23"/>
        <w:ind w:left="567" w:firstLine="426"/>
      </w:pPr>
      <w:r>
        <w:t>Hasil penelitian ini menunjukkan bahwa keputusan perusahaan dalam membagikan dividen mampu memberikan sinyal tambahan kepada investor terkait kondisi keuangan dan prospek perusahaan, terutama dalam konteks struktur modalnya. Ketika perusahaan dengan DER tinggi tetap konsisten dalam membagikan dividen, investor cenderung menilai bahwa perusahaan tersebut masih memiliki kemampuan finansial yang cukup untuk memenuhi kewajiban utangnya sekaligus memberikan keuntungan kepada pemegang saham</w:t>
      </w:r>
    </w:p>
    <w:p w14:paraId="26856492">
      <w:pPr>
        <w:rPr>
          <w:b/>
        </w:rPr>
      </w:pPr>
      <w:r>
        <w:rPr>
          <w:b/>
        </w:rPr>
        <w:t xml:space="preserve">Pengaruh </w:t>
      </w:r>
      <w:r>
        <w:rPr>
          <w:b/>
          <w:i/>
        </w:rPr>
        <w:t>Return On Equity</w:t>
      </w:r>
      <w:r>
        <w:rPr>
          <w:b/>
        </w:rPr>
        <w:t xml:space="preserve"> (ROE) Terhadap Harga Saham dengan Kebijakan Dividen Sebagai Variabel Moderasi</w:t>
      </w:r>
    </w:p>
    <w:p w14:paraId="666FE943">
      <w:pPr>
        <w:pStyle w:val="23"/>
        <w:ind w:left="567" w:firstLine="426"/>
      </w:pPr>
      <w:r>
        <w:t xml:space="preserve">Berdasarkan hasil pengujian hipotesis pada uji t diperoleh hasil yang menunjukkan bahwa kebijakan dividen dapat memperkuat pengaruh antara </w:t>
      </w:r>
      <w:r>
        <w:rPr>
          <w:i/>
        </w:rPr>
        <w:t>Return On Equity</w:t>
      </w:r>
      <w:r>
        <w:t xml:space="preserve"> (ROE) terhadap harga saham. Hal ini dikarenakan dari hasil uji t diperoleh nilai t-statistik sebesar 1,802 dengan sig. sebesar </w:t>
      </w:r>
      <w:r>
        <w:rPr>
          <w:szCs w:val="24"/>
        </w:rPr>
        <w:t xml:space="preserve">0.000 </w:t>
      </w:r>
      <w:r>
        <w:t xml:space="preserve">&lt; 0.05. Hal ini berarti menjelaskan bahwa hipotesis penelitian yang menyatakan kebijakan dividen memperkuat pengaruh antara </w:t>
      </w:r>
      <w:r>
        <w:rPr>
          <w:i/>
        </w:rPr>
        <w:t>Return On Equity</w:t>
      </w:r>
      <w:r>
        <w:t xml:space="preserve"> (ROE) terhadap harga saham </w:t>
      </w:r>
      <w:r>
        <w:rPr>
          <w:b/>
        </w:rPr>
        <w:t>diterima</w:t>
      </w:r>
      <w:r>
        <w:t>.</w:t>
      </w:r>
    </w:p>
    <w:p w14:paraId="54AEF738">
      <w:pPr>
        <w:pStyle w:val="23"/>
        <w:ind w:left="567" w:firstLine="426"/>
        <w:rPr>
          <w:rFonts w:eastAsiaTheme="minorHAnsi"/>
          <w:b/>
          <w:bCs/>
          <w:color w:val="auto"/>
          <w:szCs w:val="24"/>
          <w:lang w:eastAsia="en-US"/>
        </w:rPr>
      </w:pPr>
      <w:r>
        <w:t xml:space="preserve">Pembagian dividen yang konsisten memberikan kesan positif kepada investor mengenai kinerja keuangan perusahaan. Ketika perusahaan memiliki ROE yang tinggi, menunjukkan efisiensi dalam menghasilkan laba dari ekuitas pemegang saham, dan diiringi dengan kebijakan dividen yang stabil. </w:t>
      </w:r>
      <w:r>
        <w:commentReference w:id="8"/>
      </w:r>
    </w:p>
    <w:p w14:paraId="3769C21C">
      <w:pPr>
        <w:numPr>
          <w:ilvl w:val="1"/>
          <w:numId w:val="0"/>
        </w:numPr>
        <w:spacing w:after="0" w:line="480" w:lineRule="auto"/>
        <w:ind w:left="567" w:hanging="456"/>
        <w:contextualSpacing/>
        <w:outlineLvl w:val="1"/>
        <w:rPr>
          <w:b/>
          <w:bCs/>
          <w:kern w:val="0"/>
          <w:szCs w:val="24"/>
          <w:lang w:eastAsia="zh-TW"/>
          <w14:ligatures w14:val="none"/>
        </w:rPr>
      </w:pPr>
      <w:bookmarkStart w:id="4" w:name="_Toc170331444"/>
      <w:r>
        <w:rPr>
          <w:b/>
          <w:bCs/>
          <w:kern w:val="0"/>
          <w:szCs w:val="24"/>
          <w:lang w:eastAsia="zh-TW"/>
          <w14:ligatures w14:val="none"/>
        </w:rPr>
        <w:t>Kesimpulan</w:t>
      </w:r>
      <w:bookmarkEnd w:id="4"/>
    </w:p>
    <w:p w14:paraId="7D7113AF">
      <w:pPr>
        <w:spacing w:after="0" w:line="480" w:lineRule="auto"/>
        <w:ind w:firstLine="567"/>
        <w:rPr>
          <w:kern w:val="0"/>
          <w:szCs w:val="24"/>
          <w:lang w:eastAsia="zh-TW"/>
          <w14:ligatures w14:val="none"/>
        </w:rPr>
      </w:pPr>
      <w:r>
        <w:rPr>
          <w:kern w:val="0"/>
          <w:szCs w:val="24"/>
          <w:lang w:eastAsia="zh-TW"/>
          <w14:ligatures w14:val="none"/>
        </w:rPr>
        <w:t xml:space="preserve">Berdasarkan hasil pembahasan yang telah dilakukan oleh penulis, maka dapat diambil Kesimpulan bahwa </w:t>
      </w:r>
      <w:r>
        <w:rPr>
          <w:i/>
          <w:iCs/>
          <w:kern w:val="0"/>
          <w:szCs w:val="24"/>
          <w:lang w:eastAsia="zh-TW"/>
          <w14:ligatures w14:val="none"/>
        </w:rPr>
        <w:t>Debt to Equity Ratio</w:t>
      </w:r>
      <w:r>
        <w:rPr>
          <w:kern w:val="0"/>
          <w:szCs w:val="24"/>
          <w:lang w:eastAsia="zh-TW"/>
          <w14:ligatures w14:val="none"/>
        </w:rPr>
        <w:t xml:space="preserve"> (DER) dan </w:t>
      </w:r>
      <w:r>
        <w:rPr>
          <w:i/>
          <w:iCs/>
          <w:kern w:val="0"/>
          <w:szCs w:val="24"/>
          <w:lang w:eastAsia="zh-TW"/>
          <w14:ligatures w14:val="none"/>
        </w:rPr>
        <w:t>Return on Equity</w:t>
      </w:r>
      <w:r>
        <w:rPr>
          <w:kern w:val="0"/>
          <w:szCs w:val="24"/>
          <w:lang w:eastAsia="zh-TW"/>
          <w14:ligatures w14:val="none"/>
        </w:rPr>
        <w:t xml:space="preserve"> (ROE) berpengaruh terhadap harga saham, Selain itu kebijakan dividen terbukti memperkuat pengaruh DER dan ROE terhadap harga saham. Hasil ini menunjukkan bahwa faktor-faktor seperti </w:t>
      </w:r>
      <w:r>
        <w:rPr>
          <w:i/>
          <w:iCs/>
          <w:kern w:val="0"/>
          <w:szCs w:val="24"/>
          <w:lang w:eastAsia="zh-TW"/>
          <w14:ligatures w14:val="none"/>
        </w:rPr>
        <w:t>Debt to Equity Ratio</w:t>
      </w:r>
      <w:r>
        <w:rPr>
          <w:kern w:val="0"/>
          <w:szCs w:val="24"/>
          <w:lang w:eastAsia="zh-TW"/>
          <w14:ligatures w14:val="none"/>
        </w:rPr>
        <w:t xml:space="preserve"> (DER), </w:t>
      </w:r>
      <w:r>
        <w:rPr>
          <w:i/>
          <w:iCs/>
          <w:kern w:val="0"/>
          <w:szCs w:val="24"/>
          <w:lang w:eastAsia="zh-TW"/>
          <w14:ligatures w14:val="none"/>
        </w:rPr>
        <w:t>Return on Equity</w:t>
      </w:r>
      <w:r>
        <w:rPr>
          <w:kern w:val="0"/>
          <w:szCs w:val="24"/>
          <w:lang w:eastAsia="zh-TW"/>
          <w14:ligatures w14:val="none"/>
        </w:rPr>
        <w:t xml:space="preserve"> (ROE) dan kebijakan dividen memiliki peran penting untuk bahan pertimbangan dalam investasi saham</w:t>
      </w:r>
    </w:p>
    <w:p w14:paraId="760D1503">
      <w:pPr>
        <w:spacing w:after="0" w:line="480" w:lineRule="auto"/>
        <w:ind w:firstLine="567"/>
        <w:rPr>
          <w:kern w:val="0"/>
          <w:szCs w:val="24"/>
          <w:lang w:eastAsia="zh-TW"/>
          <w14:ligatures w14:val="none"/>
        </w:rPr>
      </w:pPr>
    </w:p>
    <w:p w14:paraId="6EEBF86B">
      <w:pPr>
        <w:numPr>
          <w:ilvl w:val="1"/>
          <w:numId w:val="0"/>
        </w:numPr>
        <w:spacing w:after="0" w:line="480" w:lineRule="auto"/>
        <w:contextualSpacing/>
        <w:outlineLvl w:val="1"/>
        <w:rPr>
          <w:b/>
          <w:bCs/>
          <w:kern w:val="0"/>
          <w:szCs w:val="24"/>
          <w:lang w:eastAsia="zh-TW"/>
          <w14:ligatures w14:val="none"/>
        </w:rPr>
      </w:pPr>
      <w:bookmarkStart w:id="5" w:name="_Toc170331445"/>
      <w:r>
        <w:rPr>
          <w:b/>
          <w:bCs/>
          <w:kern w:val="0"/>
          <w:szCs w:val="24"/>
          <w:lang w:eastAsia="zh-TW"/>
          <w14:ligatures w14:val="none"/>
        </w:rPr>
        <w:t>5.2 Saran</w:t>
      </w:r>
      <w:bookmarkEnd w:id="5"/>
    </w:p>
    <w:p w14:paraId="4F28A843">
      <w:pPr>
        <w:spacing w:after="0" w:line="480" w:lineRule="auto"/>
        <w:ind w:firstLine="609"/>
        <w:rPr>
          <w:kern w:val="0"/>
          <w:szCs w:val="24"/>
          <w:lang w:eastAsia="zh-TW"/>
          <w14:ligatures w14:val="none"/>
        </w:rPr>
      </w:pPr>
      <w:r>
        <w:rPr>
          <w:kern w:val="0"/>
          <w:szCs w:val="24"/>
          <w:lang w:eastAsia="zh-TW"/>
          <w14:ligatures w14:val="none"/>
        </w:rPr>
        <w:t>Penelitian selanjutnya perlu dilakukan dengan lebih cermat. Peneliti disarankan untuk memperkuat desain penelitian, mulai dari perencanaan yang matang hingga analisis data yang mendalam. Memperluas cakupan penelitian dengan melibatkan lebih banyak variabel dan populasi yang lebih besar dapat memberikan gambaran yang lebih komprehensif. Selain itu, penting untuk terus mengembangkan metode penelitian yang ada, seperti teknik pengambilan sampel dan analisis data, guna menghasilkan temuan yang lebih akurat dan relevan. Dengan demikian, kontribusi penelitian terhadap pengembangan ilmu pengetahuan dapat lebih maksimal.</w:t>
      </w:r>
    </w:p>
    <w:p w14:paraId="34878316">
      <w:pPr>
        <w:spacing w:before="240" w:after="0" w:line="240" w:lineRule="auto"/>
        <w:jc w:val="center"/>
        <w:rPr>
          <w:b/>
          <w:bCs/>
          <w:color w:val="auto"/>
          <w:szCs w:val="24"/>
          <w:lang w:val="id-ID"/>
        </w:rPr>
      </w:pPr>
      <w:r>
        <w:rPr>
          <w:b/>
          <w:bCs/>
          <w:color w:val="auto"/>
          <w:szCs w:val="24"/>
          <w:lang w:val="id-ID"/>
        </w:rPr>
        <w:t>DAFTAR PUSTAKA</w:t>
      </w:r>
    </w:p>
    <w:p w14:paraId="4DBCBC88">
      <w:pPr>
        <w:pStyle w:val="34"/>
        <w:spacing w:before="240" w:after="0" w:line="240" w:lineRule="auto"/>
        <w:ind w:left="0" w:firstLine="0"/>
        <w:rPr>
          <w:color w:val="auto"/>
          <w:szCs w:val="24"/>
        </w:rPr>
      </w:pPr>
      <w:r>
        <w:rPr>
          <w:color w:val="auto"/>
          <w:szCs w:val="24"/>
          <w:lang w:val="id-ID"/>
        </w:rPr>
        <w:fldChar w:fldCharType="begin"/>
      </w:r>
      <w:r>
        <w:rPr>
          <w:color w:val="auto"/>
          <w:szCs w:val="24"/>
          <w:lang w:val="id-ID"/>
        </w:rPr>
        <w:instrText xml:space="preserve"> ADDIN ZOTERO_BIBL {"uncited":[],"omitted":[],"custom":[]} CSL_BIBLIOGRAPHY </w:instrText>
      </w:r>
      <w:r>
        <w:rPr>
          <w:color w:val="auto"/>
          <w:szCs w:val="24"/>
          <w:lang w:val="id-ID"/>
        </w:rPr>
        <w:fldChar w:fldCharType="separate"/>
      </w:r>
    </w:p>
    <w:p w14:paraId="5C998991">
      <w:pPr>
        <w:pStyle w:val="34"/>
        <w:spacing w:before="240" w:after="0" w:line="240" w:lineRule="auto"/>
        <w:rPr>
          <w:color w:val="auto"/>
          <w:szCs w:val="24"/>
        </w:rPr>
      </w:pPr>
      <w:r>
        <w:rPr>
          <w:color w:val="auto"/>
          <w:szCs w:val="24"/>
        </w:rPr>
        <w:t xml:space="preserve">Aprilia Puri Astuti &amp; Erma Setiawati. (2024). Pengaruh EPS, ROA, DER Dan PBV </w:t>
      </w:r>
      <w:r>
        <w:rPr>
          <w:color w:val="auto"/>
          <w:szCs w:val="24"/>
        </w:rPr>
        <w:tab/>
      </w:r>
      <w:r>
        <w:rPr>
          <w:color w:val="auto"/>
          <w:szCs w:val="24"/>
        </w:rPr>
        <w:t xml:space="preserve">Terhadap Harga Saham: Studi Kasus Pada Perusahaan LQ 45 Yang Terdaftar </w:t>
      </w:r>
      <w:r>
        <w:rPr>
          <w:color w:val="auto"/>
          <w:szCs w:val="24"/>
        </w:rPr>
        <w:tab/>
      </w:r>
      <w:r>
        <w:rPr>
          <w:color w:val="auto"/>
          <w:szCs w:val="24"/>
        </w:rPr>
        <w:t>Di Bursa Efek Indone</w:t>
      </w:r>
      <w:bookmarkStart w:id="7" w:name="_GoBack"/>
      <w:bookmarkEnd w:id="7"/>
      <w:r>
        <w:rPr>
          <w:color w:val="auto"/>
          <w:szCs w:val="24"/>
        </w:rPr>
        <w:t xml:space="preserve">sia Tahun 2018-2021. Jurnal Rimba : Riset Ilmu </w:t>
      </w:r>
      <w:r>
        <w:rPr>
          <w:color w:val="auto"/>
          <w:szCs w:val="24"/>
        </w:rPr>
        <w:tab/>
      </w:r>
      <w:r>
        <w:rPr>
          <w:color w:val="auto"/>
          <w:szCs w:val="24"/>
        </w:rPr>
        <w:t>manajemen Bisnis dan Akuntansi https://doi.org/10.61132/rimba.v2i2.697</w:t>
      </w:r>
    </w:p>
    <w:p w14:paraId="093F698E">
      <w:pPr>
        <w:spacing w:before="240" w:after="0" w:line="240" w:lineRule="auto"/>
        <w:rPr>
          <w:color w:val="auto"/>
          <w:szCs w:val="24"/>
        </w:rPr>
      </w:pPr>
      <w:r>
        <w:rPr>
          <w:color w:val="auto"/>
          <w:szCs w:val="24"/>
        </w:rPr>
        <w:t xml:space="preserve">Brigham, Eugene. F. dan Housten Joel F. 2014. Dasar Dasar Manajemen Keuangan. </w:t>
      </w:r>
      <w:r>
        <w:rPr>
          <w:color w:val="auto"/>
          <w:szCs w:val="24"/>
        </w:rPr>
        <w:tab/>
      </w:r>
      <w:r>
        <w:rPr>
          <w:color w:val="auto"/>
          <w:szCs w:val="24"/>
        </w:rPr>
        <w:t xml:space="preserve">Edisi 11 Buku </w:t>
      </w:r>
      <w:r>
        <w:rPr>
          <w:color w:val="auto"/>
          <w:szCs w:val="24"/>
        </w:rPr>
        <w:tab/>
      </w:r>
      <w:r>
        <w:rPr>
          <w:color w:val="auto"/>
          <w:szCs w:val="24"/>
        </w:rPr>
        <w:t>1, Jakarta; Salemba Empat.</w:t>
      </w:r>
    </w:p>
    <w:p w14:paraId="60C112F3">
      <w:pPr>
        <w:pStyle w:val="34"/>
        <w:spacing w:before="240" w:after="0" w:line="240" w:lineRule="auto"/>
        <w:rPr>
          <w:color w:val="auto"/>
          <w:szCs w:val="24"/>
        </w:rPr>
      </w:pPr>
      <w:bookmarkStart w:id="6" w:name="_Hlk187762051"/>
      <w:r>
        <w:rPr>
          <w:color w:val="auto"/>
          <w:szCs w:val="24"/>
        </w:rPr>
        <w:t xml:space="preserve">Vani Febiola. (2024) Pengaruh Kinerja Keuangan  Terhadap Harga Saham Dengan  </w:t>
      </w:r>
      <w:r>
        <w:rPr>
          <w:color w:val="auto"/>
          <w:szCs w:val="24"/>
        </w:rPr>
        <w:tab/>
      </w:r>
      <w:r>
        <w:rPr>
          <w:color w:val="auto"/>
          <w:szCs w:val="24"/>
        </w:rPr>
        <w:t xml:space="preserve">Kebijakan Dividen Sebagai Variabel  Moderasi (Studi Pada Bank Yang </w:t>
      </w:r>
      <w:r>
        <w:rPr>
          <w:color w:val="auto"/>
          <w:szCs w:val="24"/>
        </w:rPr>
        <w:tab/>
      </w:r>
      <w:r>
        <w:rPr>
          <w:color w:val="auto"/>
          <w:szCs w:val="24"/>
        </w:rPr>
        <w:t>Terdaftar Pada Bursa Efek Indonesia Periode Tahun 2019-2023).</w:t>
      </w:r>
    </w:p>
    <w:bookmarkEnd w:id="6"/>
    <w:p w14:paraId="6A00CE1D">
      <w:pPr>
        <w:pStyle w:val="34"/>
        <w:spacing w:before="240" w:after="0" w:line="240" w:lineRule="auto"/>
        <w:rPr>
          <w:color w:val="auto"/>
          <w:szCs w:val="24"/>
        </w:rPr>
      </w:pPr>
      <w:r>
        <w:rPr>
          <w:color w:val="auto"/>
          <w:szCs w:val="24"/>
        </w:rPr>
        <w:t xml:space="preserve">Fiona Felicia, Harpono dan Teddy Chandra.2019 Pengaruh Der,Roe, Per, Eps, Dan </w:t>
      </w:r>
      <w:r>
        <w:rPr>
          <w:color w:val="auto"/>
          <w:szCs w:val="24"/>
        </w:rPr>
        <w:tab/>
      </w:r>
      <w:r>
        <w:rPr>
          <w:color w:val="auto"/>
          <w:szCs w:val="24"/>
        </w:rPr>
        <w:t xml:space="preserve">Dps Terhadap Harga Saham Pada Perusahaan Sub Sektor Kesehatan Dan </w:t>
      </w:r>
      <w:r>
        <w:rPr>
          <w:color w:val="auto"/>
          <w:szCs w:val="24"/>
        </w:rPr>
        <w:tab/>
      </w:r>
      <w:r>
        <w:rPr>
          <w:color w:val="auto"/>
          <w:szCs w:val="24"/>
        </w:rPr>
        <w:t>Farmasi Yang Terdaftar Di Bei Tahun 2010-2017</w:t>
      </w:r>
    </w:p>
    <w:p w14:paraId="3BF02692">
      <w:pPr>
        <w:pStyle w:val="34"/>
        <w:spacing w:before="240" w:after="0" w:line="240" w:lineRule="auto"/>
        <w:rPr>
          <w:color w:val="auto"/>
          <w:szCs w:val="24"/>
        </w:rPr>
      </w:pPr>
      <w:r>
        <w:rPr>
          <w:color w:val="auto"/>
          <w:szCs w:val="24"/>
        </w:rPr>
        <w:t xml:space="preserve">Ghozali, Imam. (2013). Aplikasi Analisis Multivariate Dengan Program IBM SPSS25 </w:t>
      </w:r>
      <w:r>
        <w:rPr>
          <w:color w:val="auto"/>
          <w:szCs w:val="24"/>
        </w:rPr>
        <w:tab/>
      </w:r>
      <w:r>
        <w:rPr>
          <w:color w:val="auto"/>
          <w:szCs w:val="24"/>
        </w:rPr>
        <w:t xml:space="preserve">Update PLS Regresi. 7th ed. Semarang: Badan Penerbit Universitas </w:t>
      </w:r>
      <w:r>
        <w:rPr>
          <w:color w:val="auto"/>
          <w:szCs w:val="24"/>
        </w:rPr>
        <w:tab/>
      </w:r>
      <w:r>
        <w:rPr>
          <w:color w:val="auto"/>
          <w:szCs w:val="24"/>
        </w:rPr>
        <w:t>Diponegoro.</w:t>
      </w:r>
    </w:p>
    <w:p w14:paraId="0704886F">
      <w:pPr>
        <w:pStyle w:val="34"/>
        <w:spacing w:before="240" w:after="0" w:line="240" w:lineRule="auto"/>
        <w:rPr>
          <w:color w:val="auto"/>
          <w:kern w:val="0"/>
          <w:szCs w:val="24"/>
        </w:rPr>
      </w:pPr>
      <w:r>
        <w:rPr>
          <w:color w:val="auto"/>
          <w:kern w:val="0"/>
          <w:szCs w:val="24"/>
        </w:rPr>
        <w:t xml:space="preserve">Hakami, M. A. F. (2019)  Pengaruh Kebijakan Dividen Terhadap Harga Saham. </w:t>
      </w:r>
      <w:r>
        <w:rPr>
          <w:color w:val="auto"/>
          <w:kern w:val="0"/>
          <w:szCs w:val="24"/>
        </w:rPr>
        <w:tab/>
      </w:r>
      <w:r>
        <w:rPr>
          <w:i/>
          <w:iCs/>
          <w:color w:val="auto"/>
          <w:kern w:val="0"/>
          <w:szCs w:val="24"/>
        </w:rPr>
        <w:t xml:space="preserve">Future Academia: The Journal of Multidisciplinary Research on Scientific and </w:t>
      </w:r>
      <w:r>
        <w:rPr>
          <w:i/>
          <w:iCs/>
          <w:color w:val="auto"/>
          <w:kern w:val="0"/>
          <w:szCs w:val="24"/>
        </w:rPr>
        <w:tab/>
      </w:r>
      <w:r>
        <w:rPr>
          <w:i/>
          <w:iCs/>
          <w:color w:val="auto"/>
          <w:kern w:val="0"/>
          <w:szCs w:val="24"/>
        </w:rPr>
        <w:t>Advanced</w:t>
      </w:r>
      <w:r>
        <w:rPr>
          <w:color w:val="auto"/>
          <w:kern w:val="0"/>
          <w:szCs w:val="24"/>
        </w:rPr>
        <w:t xml:space="preserve">, </w:t>
      </w:r>
      <w:r>
        <w:rPr>
          <w:i/>
          <w:iCs/>
          <w:color w:val="auto"/>
          <w:kern w:val="0"/>
          <w:szCs w:val="24"/>
        </w:rPr>
        <w:t>2</w:t>
      </w:r>
      <w:r>
        <w:rPr>
          <w:color w:val="auto"/>
          <w:kern w:val="0"/>
          <w:szCs w:val="24"/>
        </w:rPr>
        <w:t>(4), 329–337.</w:t>
      </w:r>
    </w:p>
    <w:p w14:paraId="53F2B22F">
      <w:pPr>
        <w:pStyle w:val="34"/>
        <w:spacing w:before="240" w:after="0" w:line="240" w:lineRule="auto"/>
        <w:rPr>
          <w:color w:val="auto"/>
          <w:szCs w:val="24"/>
        </w:rPr>
      </w:pPr>
      <w:r>
        <w:rPr>
          <w:color w:val="auto"/>
          <w:szCs w:val="24"/>
        </w:rPr>
        <w:t xml:space="preserve">Heriansyah. 2021. Analisis Pengaruh Rasio Keuangan Terhadap Harga Saham </w:t>
      </w:r>
      <w:r>
        <w:rPr>
          <w:color w:val="auto"/>
          <w:szCs w:val="24"/>
        </w:rPr>
        <w:tab/>
      </w:r>
      <w:r>
        <w:rPr>
          <w:color w:val="auto"/>
          <w:szCs w:val="24"/>
        </w:rPr>
        <w:t>Perusahaan Sektor Properti dan Konstruksi Di Indonesia. Yogyakarta(2021)</w:t>
      </w:r>
    </w:p>
    <w:p w14:paraId="20AAA731">
      <w:pPr>
        <w:pStyle w:val="34"/>
        <w:spacing w:before="240" w:after="0" w:line="240" w:lineRule="auto"/>
        <w:rPr>
          <w:color w:val="auto"/>
          <w:szCs w:val="24"/>
        </w:rPr>
      </w:pPr>
      <w:r>
        <w:rPr>
          <w:color w:val="auto"/>
          <w:szCs w:val="24"/>
        </w:rPr>
        <w:fldChar w:fldCharType="begin"/>
      </w:r>
      <w:r>
        <w:rPr>
          <w:color w:val="auto"/>
          <w:szCs w:val="24"/>
        </w:rPr>
        <w:instrText xml:space="preserve"> ADDIN ZOTERO_BIBL {"uncited":[],"omitted":[],"custom":[]} CSL_BIBLIOGRAPHY </w:instrText>
      </w:r>
      <w:r>
        <w:rPr>
          <w:color w:val="auto"/>
          <w:szCs w:val="24"/>
        </w:rPr>
        <w:fldChar w:fldCharType="separate"/>
      </w:r>
      <w:r>
        <w:rPr>
          <w:color w:val="auto"/>
          <w:szCs w:val="24"/>
        </w:rPr>
        <w:t xml:space="preserve">Husnan H (2015). Pengaruh Faktor Fundamental dan Risiko Sistematis Terhadap </w:t>
      </w:r>
      <w:r>
        <w:rPr>
          <w:color w:val="auto"/>
          <w:szCs w:val="24"/>
        </w:rPr>
        <w:tab/>
      </w:r>
      <w:r>
        <w:rPr>
          <w:color w:val="auto"/>
          <w:szCs w:val="24"/>
        </w:rPr>
        <w:t xml:space="preserve">Harga Saham (Studi Kasus Pada Bank Umum Yang Terdaftar Di Bursa Efek </w:t>
      </w:r>
      <w:r>
        <w:rPr>
          <w:color w:val="auto"/>
          <w:szCs w:val="24"/>
        </w:rPr>
        <w:tab/>
      </w:r>
      <w:r>
        <w:rPr>
          <w:color w:val="auto"/>
          <w:szCs w:val="24"/>
        </w:rPr>
        <w:t>Indonesia Tahun 2008-2017). 21.</w:t>
      </w:r>
    </w:p>
    <w:p w14:paraId="4DDCCEC7">
      <w:pPr>
        <w:pStyle w:val="34"/>
        <w:spacing w:before="240" w:after="0" w:line="240" w:lineRule="auto"/>
        <w:ind w:left="0" w:firstLine="101"/>
        <w:rPr>
          <w:szCs w:val="24"/>
        </w:rPr>
      </w:pPr>
      <w:r>
        <w:rPr>
          <w:color w:val="auto"/>
          <w:szCs w:val="24"/>
        </w:rPr>
        <w:fldChar w:fldCharType="end"/>
      </w:r>
      <w:r>
        <w:rPr>
          <w:szCs w:val="24"/>
        </w:rPr>
        <w:fldChar w:fldCharType="begin"/>
      </w:r>
      <w:r>
        <w:rPr>
          <w:szCs w:val="24"/>
        </w:rPr>
        <w:instrText xml:space="preserve"> ADDIN ZOTERO_BIBL {"uncited":[],"omitted":[],"custom":[]} CSL_BIBLIOGRAPHY </w:instrText>
      </w:r>
      <w:r>
        <w:rPr>
          <w:szCs w:val="24"/>
        </w:rPr>
        <w:fldChar w:fldCharType="separate"/>
      </w:r>
      <w:r>
        <w:rPr>
          <w:szCs w:val="24"/>
        </w:rPr>
        <w:t xml:space="preserve">Khurniaji, a.. (2013) Hubungan kebijakan dividen (dividend payout ratio dan </w:t>
      </w:r>
      <w:r>
        <w:rPr>
          <w:szCs w:val="24"/>
        </w:rPr>
        <w:tab/>
      </w:r>
      <w:r>
        <w:rPr>
          <w:szCs w:val="24"/>
        </w:rPr>
        <w:t xml:space="preserve">dividend yield) terhadap volatilitas harga saham di perusahaan-perusahaan </w:t>
      </w:r>
      <w:r>
        <w:rPr>
          <w:szCs w:val="24"/>
        </w:rPr>
        <w:tab/>
      </w:r>
      <w:r>
        <w:rPr>
          <w:szCs w:val="24"/>
        </w:rPr>
        <w:t>yang terdaftar di bursa efek indonesia.</w:t>
      </w:r>
    </w:p>
    <w:p w14:paraId="219ED191">
      <w:pPr>
        <w:spacing w:before="240" w:after="0" w:line="240" w:lineRule="auto"/>
        <w:ind w:left="0" w:firstLine="0"/>
        <w:rPr>
          <w:color w:val="auto"/>
          <w:szCs w:val="24"/>
        </w:rPr>
      </w:pPr>
      <w:r>
        <w:rPr>
          <w:szCs w:val="24"/>
        </w:rPr>
        <w:fldChar w:fldCharType="end"/>
      </w:r>
      <w:r>
        <w:rPr>
          <w:szCs w:val="24"/>
        </w:rPr>
        <w:t xml:space="preserve">  </w:t>
      </w:r>
      <w:r>
        <w:rPr>
          <w:color w:val="auto"/>
          <w:szCs w:val="24"/>
        </w:rPr>
        <w:t xml:space="preserve">Lutfiana, A., Danial, R. D. M., &amp; Jhoansyah, D. (2019). Analisis Penilaian Harga </w:t>
      </w:r>
      <w:r>
        <w:rPr>
          <w:color w:val="auto"/>
          <w:szCs w:val="24"/>
        </w:rPr>
        <w:tab/>
      </w:r>
      <w:r>
        <w:rPr>
          <w:color w:val="auto"/>
          <w:szCs w:val="24"/>
        </w:rPr>
        <w:t xml:space="preserve">Wajar Saham </w:t>
      </w:r>
      <w:r>
        <w:rPr>
          <w:color w:val="auto"/>
          <w:szCs w:val="24"/>
        </w:rPr>
        <w:tab/>
      </w:r>
      <w:r>
        <w:rPr>
          <w:color w:val="auto"/>
          <w:szCs w:val="24"/>
        </w:rPr>
        <w:t xml:space="preserve">Dan </w:t>
      </w:r>
      <w:r>
        <w:rPr>
          <w:color w:val="auto"/>
          <w:szCs w:val="24"/>
        </w:rPr>
        <w:tab/>
      </w:r>
      <w:r>
        <w:rPr>
          <w:color w:val="auto"/>
          <w:szCs w:val="24"/>
        </w:rPr>
        <w:t xml:space="preserve">Keputusan Investasi Secara Fundamental Dengan </w:t>
      </w:r>
      <w:r>
        <w:rPr>
          <w:color w:val="auto"/>
          <w:szCs w:val="24"/>
        </w:rPr>
        <w:tab/>
      </w:r>
      <w:r>
        <w:rPr>
          <w:color w:val="auto"/>
          <w:szCs w:val="24"/>
        </w:rPr>
        <w:t xml:space="preserve">Menggunakan Metode Price </w:t>
      </w:r>
      <w:r>
        <w:rPr>
          <w:color w:val="auto"/>
          <w:szCs w:val="24"/>
        </w:rPr>
        <w:tab/>
      </w:r>
      <w:r>
        <w:rPr>
          <w:color w:val="auto"/>
          <w:szCs w:val="24"/>
        </w:rPr>
        <w:t xml:space="preserve">Earning Ratio </w:t>
      </w:r>
      <w:r>
        <w:rPr>
          <w:color w:val="auto"/>
          <w:szCs w:val="24"/>
        </w:rPr>
        <w:tab/>
      </w:r>
      <w:r>
        <w:rPr>
          <w:color w:val="auto"/>
          <w:szCs w:val="24"/>
        </w:rPr>
        <w:t xml:space="preserve">(Studi Keuangan Pada Sektor </w:t>
      </w:r>
      <w:r>
        <w:rPr>
          <w:color w:val="auto"/>
          <w:szCs w:val="24"/>
        </w:rPr>
        <w:tab/>
      </w:r>
      <w:r>
        <w:rPr>
          <w:color w:val="auto"/>
          <w:szCs w:val="24"/>
        </w:rPr>
        <w:t>Industri Barang Konsumsi Yang Terdaftar Di BEI). Jurnal Unissula, 1–10.</w:t>
      </w:r>
    </w:p>
    <w:p w14:paraId="2AF5892D">
      <w:pPr>
        <w:spacing w:before="240" w:after="0" w:line="240" w:lineRule="auto"/>
        <w:ind w:left="0" w:firstLine="0"/>
        <w:rPr>
          <w:color w:val="auto"/>
          <w:szCs w:val="24"/>
        </w:rPr>
      </w:pPr>
      <w:r>
        <w:rPr>
          <w:color w:val="auto"/>
          <w:szCs w:val="24"/>
        </w:rPr>
        <w:fldChar w:fldCharType="begin"/>
      </w:r>
      <w:r>
        <w:rPr>
          <w:color w:val="auto"/>
          <w:szCs w:val="24"/>
        </w:rPr>
        <w:instrText xml:space="preserve"> ADDIN ZOTERO_BIBL {"uncited":[],"omitted":[],"custom":[]} CSL_BIBLIOGRAPHY </w:instrText>
      </w:r>
      <w:r>
        <w:rPr>
          <w:color w:val="auto"/>
          <w:szCs w:val="24"/>
        </w:rPr>
        <w:fldChar w:fldCharType="separate"/>
      </w:r>
    </w:p>
    <w:p w14:paraId="289C57DE">
      <w:pPr>
        <w:pStyle w:val="34"/>
        <w:spacing w:before="240" w:after="0" w:line="240" w:lineRule="auto"/>
        <w:rPr>
          <w:color w:val="auto"/>
          <w:kern w:val="0"/>
          <w:szCs w:val="24"/>
        </w:rPr>
      </w:pPr>
      <w:r>
        <w:rPr>
          <w:color w:val="auto"/>
          <w:kern w:val="0"/>
          <w:szCs w:val="24"/>
        </w:rPr>
        <w:t xml:space="preserve">Rosnaeni, Hasyim, S. H., &amp; Sahade. (2024). Pengaruh Kebijakan Dividen Terhadap </w:t>
      </w:r>
      <w:r>
        <w:rPr>
          <w:color w:val="auto"/>
          <w:kern w:val="0"/>
          <w:szCs w:val="24"/>
        </w:rPr>
        <w:tab/>
      </w:r>
      <w:r>
        <w:rPr>
          <w:color w:val="auto"/>
          <w:kern w:val="0"/>
          <w:szCs w:val="24"/>
        </w:rPr>
        <w:t xml:space="preserve">Harga Saham Pada Perusahaan Manufaktur yang Terdaftar di Bursa Efek </w:t>
      </w:r>
      <w:r>
        <w:rPr>
          <w:color w:val="auto"/>
          <w:kern w:val="0"/>
          <w:szCs w:val="24"/>
        </w:rPr>
        <w:tab/>
      </w:r>
      <w:r>
        <w:rPr>
          <w:color w:val="auto"/>
          <w:kern w:val="0"/>
          <w:szCs w:val="24"/>
        </w:rPr>
        <w:t xml:space="preserve">Indonesia. </w:t>
      </w:r>
      <w:r>
        <w:rPr>
          <w:i/>
          <w:iCs/>
          <w:color w:val="auto"/>
          <w:kern w:val="0"/>
          <w:szCs w:val="24"/>
        </w:rPr>
        <w:t xml:space="preserve">Future Academia : The Journal of Multidisciplinary Research on </w:t>
      </w:r>
      <w:r>
        <w:rPr>
          <w:i/>
          <w:iCs/>
          <w:color w:val="auto"/>
          <w:kern w:val="0"/>
          <w:szCs w:val="24"/>
        </w:rPr>
        <w:tab/>
      </w:r>
      <w:r>
        <w:rPr>
          <w:i/>
          <w:iCs/>
          <w:color w:val="auto"/>
          <w:kern w:val="0"/>
          <w:szCs w:val="24"/>
        </w:rPr>
        <w:t>Scientific and Advanced</w:t>
      </w:r>
      <w:r>
        <w:rPr>
          <w:color w:val="auto"/>
          <w:kern w:val="0"/>
          <w:szCs w:val="24"/>
        </w:rPr>
        <w:t xml:space="preserve">, </w:t>
      </w:r>
      <w:r>
        <w:rPr>
          <w:i/>
          <w:iCs/>
          <w:color w:val="auto"/>
          <w:kern w:val="0"/>
          <w:szCs w:val="24"/>
        </w:rPr>
        <w:t>2</w:t>
      </w:r>
      <w:r>
        <w:rPr>
          <w:color w:val="auto"/>
          <w:kern w:val="0"/>
          <w:szCs w:val="24"/>
        </w:rPr>
        <w:t xml:space="preserve">(4), 329–337. </w:t>
      </w:r>
      <w:r>
        <w:rPr>
          <w:color w:val="auto"/>
          <w:kern w:val="0"/>
          <w:szCs w:val="24"/>
        </w:rPr>
        <w:tab/>
      </w:r>
      <w:r>
        <w:rPr>
          <w:color w:val="auto"/>
          <w:kern w:val="0"/>
          <w:szCs w:val="24"/>
        </w:rPr>
        <w:t>https://doi.org/10.61579/future.v2i4.112</w:t>
      </w:r>
    </w:p>
    <w:p w14:paraId="10E3B54B">
      <w:pPr>
        <w:spacing w:before="240" w:after="0" w:line="240" w:lineRule="auto"/>
        <w:rPr>
          <w:color w:val="auto"/>
          <w:szCs w:val="24"/>
        </w:rPr>
      </w:pPr>
      <w:r>
        <w:rPr>
          <w:color w:val="auto"/>
          <w:szCs w:val="24"/>
        </w:rPr>
        <w:fldChar w:fldCharType="end"/>
      </w:r>
      <w:r>
        <w:rPr>
          <w:color w:val="auto"/>
          <w:szCs w:val="24"/>
        </w:rPr>
        <w:t xml:space="preserve">Sartono, A. (2016) Manajemen keuangan teori dan aplikasi, (Cetakan Keempat), </w:t>
      </w:r>
      <w:r>
        <w:rPr>
          <w:color w:val="auto"/>
          <w:szCs w:val="24"/>
        </w:rPr>
        <w:tab/>
      </w:r>
      <w:r>
        <w:rPr>
          <w:color w:val="auto"/>
          <w:szCs w:val="24"/>
        </w:rPr>
        <w:t xml:space="preserve">BPFE.Yogyakarta, </w:t>
      </w:r>
    </w:p>
    <w:p w14:paraId="0AAEC954">
      <w:pPr>
        <w:pStyle w:val="34"/>
        <w:spacing w:before="240" w:after="0" w:line="240" w:lineRule="auto"/>
        <w:rPr>
          <w:color w:val="auto"/>
          <w:szCs w:val="24"/>
        </w:rPr>
      </w:pPr>
      <w:r>
        <w:rPr>
          <w:color w:val="auto"/>
          <w:szCs w:val="24"/>
        </w:rPr>
        <w:t xml:space="preserve">Sugiyono. 2016. Metode Penelitian Pendidikan: Pendekatan Kuantitatif, Kualitatif, </w:t>
      </w:r>
      <w:r>
        <w:rPr>
          <w:color w:val="auto"/>
          <w:szCs w:val="24"/>
        </w:rPr>
        <w:tab/>
      </w:r>
      <w:r>
        <w:rPr>
          <w:color w:val="auto"/>
          <w:szCs w:val="24"/>
        </w:rPr>
        <w:t>dan R&amp;D. 3rd ed. Bandung: Alfabeta.</w:t>
      </w:r>
    </w:p>
    <w:p w14:paraId="6E6E4F24">
      <w:pPr>
        <w:spacing w:before="240" w:after="0" w:line="240" w:lineRule="auto"/>
        <w:rPr>
          <w:color w:val="auto"/>
          <w:szCs w:val="24"/>
        </w:rPr>
      </w:pPr>
      <w:r>
        <w:rPr>
          <w:color w:val="auto"/>
          <w:szCs w:val="24"/>
        </w:rPr>
        <w:t xml:space="preserve">Surjanto, D., &amp; Sugiharto, T. (2021). LQ45 Stock Price Valuation Analysis Using </w:t>
      </w:r>
      <w:r>
        <w:rPr>
          <w:color w:val="auto"/>
          <w:szCs w:val="24"/>
        </w:rPr>
        <w:tab/>
      </w:r>
      <w:r>
        <w:rPr>
          <w:color w:val="auto"/>
          <w:szCs w:val="24"/>
        </w:rPr>
        <w:t xml:space="preserve">Price to Book </w:t>
      </w:r>
      <w:r>
        <w:rPr>
          <w:color w:val="auto"/>
          <w:szCs w:val="24"/>
        </w:rPr>
        <w:tab/>
      </w:r>
      <w:r>
        <w:rPr>
          <w:color w:val="auto"/>
          <w:szCs w:val="24"/>
        </w:rPr>
        <w:t xml:space="preserve">Value ( PBV ) </w:t>
      </w:r>
      <w:r>
        <w:rPr>
          <w:color w:val="auto"/>
          <w:szCs w:val="24"/>
        </w:rPr>
        <w:tab/>
      </w:r>
      <w:r>
        <w:rPr>
          <w:color w:val="auto"/>
          <w:szCs w:val="24"/>
        </w:rPr>
        <w:t xml:space="preserve">and Price Earning Ratio ( PER ) Variables from </w:t>
      </w:r>
      <w:r>
        <w:rPr>
          <w:color w:val="auto"/>
          <w:szCs w:val="24"/>
        </w:rPr>
        <w:tab/>
      </w:r>
      <w:r>
        <w:rPr>
          <w:color w:val="auto"/>
          <w:szCs w:val="24"/>
        </w:rPr>
        <w:t>2016-2020. Enrichment: Journal of Management, 12(1), 205–211.</w:t>
      </w:r>
    </w:p>
    <w:p w14:paraId="18DEF7B0">
      <w:pPr>
        <w:pStyle w:val="34"/>
        <w:spacing w:before="240" w:after="0" w:line="240" w:lineRule="auto"/>
        <w:rPr>
          <w:color w:val="auto"/>
          <w:szCs w:val="24"/>
        </w:rPr>
      </w:pPr>
      <w:r>
        <w:rPr>
          <w:color w:val="auto"/>
          <w:szCs w:val="24"/>
        </w:rPr>
        <w:t xml:space="preserve">Susanti, W., Kesuma, I. M., Maya, W., &amp; Sari, N. P. (2019) Pengaruh Return On Asset, </w:t>
      </w:r>
      <w:r>
        <w:rPr>
          <w:color w:val="auto"/>
          <w:szCs w:val="24"/>
        </w:rPr>
        <w:tab/>
      </w:r>
      <w:r>
        <w:rPr>
          <w:color w:val="auto"/>
          <w:szCs w:val="24"/>
        </w:rPr>
        <w:t xml:space="preserve">Return On Equity, Net Profit Margin Terhadap Harga Saham Pada Perusahaan </w:t>
      </w:r>
      <w:r>
        <w:rPr>
          <w:color w:val="auto"/>
          <w:szCs w:val="24"/>
        </w:rPr>
        <w:tab/>
      </w:r>
      <w:r>
        <w:rPr>
          <w:color w:val="auto"/>
          <w:szCs w:val="24"/>
        </w:rPr>
        <w:t xml:space="preserve">Pertambangan Sub Sektor Pertambangan Minyak Dan Gas Bumi di Bursa Efek </w:t>
      </w:r>
      <w:r>
        <w:rPr>
          <w:color w:val="auto"/>
          <w:szCs w:val="24"/>
        </w:rPr>
        <w:tab/>
      </w:r>
      <w:r>
        <w:rPr>
          <w:color w:val="auto"/>
          <w:szCs w:val="24"/>
        </w:rPr>
        <w:t>Indonesia Periode 2014-2018.</w:t>
      </w:r>
    </w:p>
    <w:p w14:paraId="3CD0EC16">
      <w:pPr>
        <w:spacing w:before="240" w:after="0" w:line="240" w:lineRule="auto"/>
        <w:rPr>
          <w:color w:val="auto"/>
          <w:szCs w:val="24"/>
        </w:rPr>
      </w:pPr>
      <w:r>
        <w:rPr>
          <w:color w:val="auto"/>
          <w:szCs w:val="24"/>
        </w:rPr>
        <w:t xml:space="preserve">Sutrisno. (2020). Manajemen Sumber Daya Manusia. Kencana Prenada Media Group, </w:t>
      </w:r>
      <w:r>
        <w:rPr>
          <w:color w:val="auto"/>
          <w:szCs w:val="24"/>
        </w:rPr>
        <w:tab/>
      </w:r>
      <w:r>
        <w:rPr>
          <w:color w:val="auto"/>
          <w:szCs w:val="24"/>
        </w:rPr>
        <w:t>Jakarta.</w:t>
      </w:r>
    </w:p>
    <w:p w14:paraId="35FDD6F8">
      <w:pPr>
        <w:pStyle w:val="34"/>
        <w:spacing w:before="240" w:after="0" w:line="240" w:lineRule="auto"/>
        <w:rPr>
          <w:color w:val="auto"/>
          <w:szCs w:val="24"/>
        </w:rPr>
      </w:pPr>
      <w:r>
        <w:rPr>
          <w:color w:val="auto"/>
          <w:szCs w:val="24"/>
        </w:rPr>
        <w:t xml:space="preserve">Wasis Sujatmiko.(2019) Pengaruh ROE, ROA, dan EPS Terhadap Harga Saham pada </w:t>
      </w:r>
      <w:r>
        <w:rPr>
          <w:color w:val="auto"/>
          <w:szCs w:val="24"/>
        </w:rPr>
        <w:tab/>
      </w:r>
      <w:r>
        <w:rPr>
          <w:color w:val="auto"/>
          <w:szCs w:val="24"/>
        </w:rPr>
        <w:t>Perusahaan Perbankan yang Terdaftar di Bursa Efek Indonesia</w:t>
      </w:r>
      <w:r>
        <w:rPr>
          <w:b/>
        </w:rPr>
        <w:fldChar w:fldCharType="begin" w:fldLock="1"/>
      </w:r>
      <w:r>
        <w:rPr>
          <w:b/>
        </w:rPr>
        <w:instrText xml:space="preserve">ADDIN Mendeley Bibliography CSL_BIBLIOGRAPHY </w:instrText>
      </w:r>
      <w:r>
        <w:rPr>
          <w:b/>
        </w:rPr>
        <w:fldChar w:fldCharType="separate"/>
      </w:r>
    </w:p>
    <w:p w14:paraId="662CACCD">
      <w:pPr>
        <w:widowControl w:val="0"/>
        <w:autoSpaceDE w:val="0"/>
        <w:autoSpaceDN w:val="0"/>
        <w:adjustRightInd w:val="0"/>
        <w:spacing w:before="240" w:after="0" w:line="240" w:lineRule="auto"/>
        <w:ind w:left="480" w:hanging="379"/>
      </w:pPr>
      <w:r>
        <w:rPr>
          <w:szCs w:val="24"/>
        </w:rPr>
        <w:t xml:space="preserve">Widyakto, A., Rinawati, T., &amp; Widyarti, E. T. (2023). The effect of return on assets , </w:t>
      </w:r>
      <w:r>
        <w:rPr>
          <w:szCs w:val="24"/>
        </w:rPr>
        <w:tab/>
      </w:r>
      <w:r>
        <w:rPr>
          <w:szCs w:val="24"/>
        </w:rPr>
        <w:t xml:space="preserve">return on equity and net interest margin on stock prices in banking companies </w:t>
      </w:r>
      <w:r>
        <w:rPr>
          <w:szCs w:val="24"/>
        </w:rPr>
        <w:tab/>
      </w:r>
      <w:r>
        <w:rPr>
          <w:szCs w:val="24"/>
        </w:rPr>
        <w:t xml:space="preserve">listed on the Indonesia Stock Exchange for the 2017-2021 period. </w:t>
      </w:r>
      <w:r>
        <w:rPr>
          <w:i/>
          <w:iCs/>
          <w:szCs w:val="24"/>
        </w:rPr>
        <w:t xml:space="preserve">Jurnal Bisnis </w:t>
      </w:r>
      <w:r>
        <w:rPr>
          <w:i/>
          <w:iCs/>
          <w:szCs w:val="24"/>
        </w:rPr>
        <w:tab/>
      </w:r>
      <w:r>
        <w:rPr>
          <w:i/>
          <w:iCs/>
          <w:szCs w:val="24"/>
        </w:rPr>
        <w:t>strategi,</w:t>
      </w:r>
      <w:r>
        <w:rPr>
          <w:szCs w:val="24"/>
        </w:rPr>
        <w:t xml:space="preserve"> </w:t>
      </w:r>
      <w:r>
        <w:rPr>
          <w:i/>
          <w:iCs/>
          <w:szCs w:val="24"/>
        </w:rPr>
        <w:t>32</w:t>
      </w:r>
      <w:r>
        <w:rPr>
          <w:szCs w:val="24"/>
        </w:rPr>
        <w:t>(1), 79–91.</w:t>
      </w:r>
    </w:p>
    <w:p w14:paraId="60649C4C">
      <w:pPr>
        <w:spacing w:after="0" w:line="480" w:lineRule="auto"/>
        <w:ind w:firstLine="609"/>
        <w:rPr>
          <w:kern w:val="0"/>
          <w:szCs w:val="24"/>
          <w:lang w:eastAsia="zh-TW"/>
          <w14:ligatures w14:val="none"/>
        </w:rPr>
      </w:pPr>
      <w:r>
        <w:rPr>
          <w:b/>
        </w:rPr>
        <w:fldChar w:fldCharType="end"/>
      </w:r>
      <w:r>
        <w:rPr>
          <w:color w:val="auto"/>
          <w:szCs w:val="24"/>
        </w:rPr>
        <w:t xml:space="preserve"> </w:t>
      </w:r>
      <w:r>
        <w:rPr>
          <w:color w:val="auto"/>
          <w:szCs w:val="24"/>
          <w:lang w:val="id-ID"/>
        </w:rPr>
        <w:fldChar w:fldCharType="end"/>
      </w:r>
    </w:p>
    <w:sectPr>
      <w:footerReference r:id="rId7" w:type="first"/>
      <w:pgSz w:w="12240" w:h="15840"/>
      <w:pgMar w:top="1701" w:right="1701" w:bottom="1701" w:left="2268"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13T03:35:52Z" w:initials="">
    <w:p w14:paraId="7BD69BE1">
      <w:pPr>
        <w:pStyle w:val="9"/>
        <w:rPr>
          <w:rFonts w:hint="default"/>
          <w:lang w:val="en-US"/>
        </w:rPr>
      </w:pPr>
      <w:r>
        <w:rPr>
          <w:rFonts w:hint="default"/>
          <w:lang w:val="en-US"/>
        </w:rPr>
        <w:t>baik</w:t>
      </w:r>
    </w:p>
  </w:comment>
  <w:comment w:id="1" w:author="WPS_1749506791" w:date="2025-08-13T03:36:41Z" w:initials="">
    <w:p w14:paraId="013B72EF">
      <w:pPr>
        <w:pStyle w:val="9"/>
        <w:rPr>
          <w:rFonts w:hint="default"/>
          <w:lang w:val="en-US"/>
        </w:rPr>
      </w:pPr>
      <w:r>
        <w:rPr>
          <w:rFonts w:hint="default"/>
          <w:lang w:val="en-US"/>
        </w:rPr>
        <w:t>Belum terlihat uraian yang menjelaskan mengapa penelitian perlu dilakukan dan untuk apa dilakukan</w:t>
      </w:r>
    </w:p>
  </w:comment>
  <w:comment w:id="2" w:author="WPS_1749506791" w:date="2025-08-13T03:38:41Z" w:initials="">
    <w:p w14:paraId="26BE1306">
      <w:pPr>
        <w:pStyle w:val="9"/>
        <w:ind w:left="0" w:leftChars="0" w:firstLine="0" w:firstLineChars="0"/>
        <w:rPr>
          <w:rFonts w:hint="default"/>
          <w:lang w:val="en-US"/>
        </w:rPr>
      </w:pPr>
      <w:r>
        <w:rPr>
          <w:rFonts w:hint="default"/>
          <w:lang w:val="en-US"/>
        </w:rPr>
        <w:t>Mengapa bagian ini dijadikan sub judul tersendiri,diperjelas</w:t>
      </w:r>
    </w:p>
  </w:comment>
  <w:comment w:id="3" w:author="WPS_1749506791" w:date="2025-08-13T03:41:18Z" w:initials="">
    <w:p w14:paraId="177B381E">
      <w:pPr>
        <w:pStyle w:val="9"/>
        <w:rPr>
          <w:rFonts w:hint="default"/>
          <w:lang w:val="en-US"/>
        </w:rPr>
      </w:pPr>
      <w:r>
        <w:rPr>
          <w:rFonts w:hint="default"/>
          <w:lang w:val="en-US"/>
        </w:rPr>
        <w:t>baik</w:t>
      </w:r>
    </w:p>
  </w:comment>
  <w:comment w:id="4" w:author="WPS_1749506791" w:date="2025-08-13T03:41:54Z" w:initials="">
    <w:p w14:paraId="685B751C">
      <w:pPr>
        <w:pStyle w:val="9"/>
        <w:ind w:left="0" w:leftChars="0" w:firstLine="0" w:firstLineChars="0"/>
        <w:rPr>
          <w:rFonts w:hint="default"/>
          <w:lang w:val="en-US"/>
        </w:rPr>
      </w:pPr>
      <w:r>
        <w:rPr>
          <w:rFonts w:hint="default"/>
          <w:lang w:val="en-US"/>
        </w:rPr>
        <w:t>baik</w:t>
      </w:r>
    </w:p>
  </w:comment>
  <w:comment w:id="5" w:author="WPS_1749506791" w:date="2025-08-13T03:42:24Z" w:initials="">
    <w:p w14:paraId="0D01F875">
      <w:pPr>
        <w:pStyle w:val="9"/>
        <w:rPr>
          <w:rFonts w:hint="default"/>
          <w:lang w:val="en-US"/>
        </w:rPr>
      </w:pPr>
      <w:r>
        <w:rPr>
          <w:rFonts w:hint="default"/>
          <w:lang w:val="en-US"/>
        </w:rPr>
        <w:t>Urutan tabel dimulai dari 1</w:t>
      </w:r>
    </w:p>
  </w:comment>
  <w:comment w:id="6" w:author="WPS_1749506791" w:date="2025-08-13T03:43:31Z" w:initials="">
    <w:p w14:paraId="6DCC602F">
      <w:pPr>
        <w:pStyle w:val="9"/>
        <w:rPr>
          <w:rFonts w:hint="default"/>
          <w:lang w:val="en-US"/>
        </w:rPr>
      </w:pPr>
      <w:r>
        <w:rPr>
          <w:rFonts w:hint="default"/>
          <w:lang w:val="en-US"/>
        </w:rPr>
        <w:t>Bagaimana dengan hasil uji uji setelahnya . diperjelas</w:t>
      </w:r>
    </w:p>
  </w:comment>
  <w:comment w:id="7" w:author="WPS_1749506791" w:date="2025-08-13T03:44:56Z" w:initials="">
    <w:p w14:paraId="135C44EE">
      <w:pPr>
        <w:pStyle w:val="9"/>
        <w:ind w:left="0" w:leftChars="0" w:firstLine="0" w:firstLineChars="0"/>
        <w:rPr>
          <w:rFonts w:hint="default"/>
          <w:lang w:val="en-US"/>
        </w:rPr>
      </w:pPr>
      <w:r>
        <w:rPr>
          <w:rFonts w:hint="default"/>
          <w:lang w:val="en-US"/>
        </w:rPr>
        <w:t>Belum terlihat uraian bagaimana hubungan hasil ini dengan teori fundamental dan sejalan dengan penelitian siapa saja temuan ini</w:t>
      </w:r>
    </w:p>
  </w:comment>
  <w:comment w:id="8" w:author="WPS_1749506791" w:date="2025-08-13T03:46:24Z" w:initials="">
    <w:p w14:paraId="7246E705">
      <w:pPr>
        <w:pStyle w:val="9"/>
        <w:ind w:left="0" w:leftChars="0" w:firstLine="0" w:firstLineChars="0"/>
        <w:rPr>
          <w:rFonts w:hint="default"/>
          <w:lang w:val="en-US"/>
        </w:rPr>
      </w:pPr>
      <w:r>
        <w:rPr>
          <w:rFonts w:hint="default"/>
          <w:lang w:val="en-US"/>
        </w:rPr>
        <w:t>diperjelas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D69BE1" w15:done="0"/>
  <w15:commentEx w15:paraId="013B72EF" w15:done="0"/>
  <w15:commentEx w15:paraId="26BE1306" w15:done="0"/>
  <w15:commentEx w15:paraId="177B381E" w15:done="0"/>
  <w15:commentEx w15:paraId="685B751C" w15:done="0"/>
  <w15:commentEx w15:paraId="0D01F875" w15:done="0"/>
  <w15:commentEx w15:paraId="6DCC602F" w15:done="0"/>
  <w15:commentEx w15:paraId="135C44EE" w15:done="0"/>
  <w15:commentEx w15:paraId="7246E70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1562252"/>
      <w:docPartObj>
        <w:docPartGallery w:val="AutoText"/>
      </w:docPartObj>
    </w:sdtPr>
    <w:sdtContent>
      <w:p w14:paraId="297C0232">
        <w:pPr>
          <w:pStyle w:val="10"/>
          <w:jc w:val="center"/>
        </w:pPr>
        <w:r>
          <w:fldChar w:fldCharType="begin"/>
        </w:r>
        <w:r>
          <w:instrText xml:space="preserve"> PAGE   \* MERGEFORMAT </w:instrText>
        </w:r>
        <w:r>
          <w:fldChar w:fldCharType="separate"/>
        </w:r>
        <w:r>
          <w:t>2</w:t>
        </w:r>
        <w:r>
          <w:fldChar w:fldCharType="end"/>
        </w:r>
      </w:p>
    </w:sdtContent>
  </w:sdt>
  <w:p w14:paraId="156D062B">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1" w:lineRule="auto"/>
      </w:pPr>
      <w:r>
        <w:separator/>
      </w:r>
    </w:p>
  </w:footnote>
  <w:footnote w:type="continuationSeparator" w:id="1">
    <w:p>
      <w:pPr>
        <w:spacing w:before="0" w:after="0" w:line="48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B0694"/>
    <w:multiLevelType w:val="multilevel"/>
    <w:tmpl w:val="0C6B069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B101DA"/>
    <w:multiLevelType w:val="multilevel"/>
    <w:tmpl w:val="18B101DA"/>
    <w:lvl w:ilvl="0" w:tentative="0">
      <w:start w:val="1"/>
      <w:numFmt w:val="decimal"/>
      <w:lvlText w:val="%1."/>
      <w:lvlJc w:val="left"/>
      <w:pPr>
        <w:ind w:left="360" w:hanging="360"/>
      </w:pPr>
      <w:rPr>
        <w:rFonts w:hint="default"/>
      </w:rPr>
    </w:lvl>
    <w:lvl w:ilvl="1" w:tentative="0">
      <w:start w:val="1"/>
      <w:numFmt w:val="decimal"/>
      <w:pStyle w:val="39"/>
      <w:isLgl/>
      <w:lvlText w:val="%1.%2."/>
      <w:lvlJc w:val="left"/>
      <w:pPr>
        <w:ind w:left="360" w:hanging="360"/>
      </w:pPr>
      <w:rPr>
        <w:rFonts w:hint="default"/>
      </w:rPr>
    </w:lvl>
    <w:lvl w:ilvl="2" w:tentative="0">
      <w:start w:val="1"/>
      <w:numFmt w:val="decimal"/>
      <w:pStyle w:val="41"/>
      <w:isLgl/>
      <w:lvlText w:val="%1.%2.%3."/>
      <w:lvlJc w:val="left"/>
      <w:pPr>
        <w:ind w:left="720" w:hanging="720"/>
      </w:pPr>
      <w:rPr>
        <w:rFonts w:hint="default"/>
        <w:b/>
        <w:bCs/>
        <w:i w:val="0"/>
        <w:iCs w:val="0"/>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31CB061E"/>
    <w:multiLevelType w:val="multilevel"/>
    <w:tmpl w:val="31CB061E"/>
    <w:lvl w:ilvl="0" w:tentative="0">
      <w:start w:val="1"/>
      <w:numFmt w:val="decimal"/>
      <w:lvlText w:val="%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419A6354"/>
    <w:multiLevelType w:val="multilevel"/>
    <w:tmpl w:val="419A6354"/>
    <w:lvl w:ilvl="0" w:tentative="0">
      <w:start w:val="1"/>
      <w:numFmt w:val="decimal"/>
      <w:lvlText w:val="%1."/>
      <w:lvlJc w:val="left"/>
      <w:pPr>
        <w:ind w:left="360" w:hanging="360"/>
      </w:pPr>
      <w:rPr>
        <w:rFonts w:hint="default"/>
      </w:rPr>
    </w:lvl>
    <w:lvl w:ilvl="1" w:tentative="0">
      <w:start w:val="1"/>
      <w:numFmt w:val="decimal"/>
      <w:pStyle w:val="29"/>
      <w:isLgl/>
      <w:lvlText w:val="%1.%2."/>
      <w:lvlJc w:val="left"/>
      <w:pPr>
        <w:ind w:left="360" w:hanging="360"/>
      </w:pPr>
      <w:rPr>
        <w:rFonts w:hint="default"/>
      </w:rPr>
    </w:lvl>
    <w:lvl w:ilvl="2" w:tentative="0">
      <w:start w:val="1"/>
      <w:numFmt w:val="decimal"/>
      <w:pStyle w:val="31"/>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4">
    <w:nsid w:val="61D73C2C"/>
    <w:multiLevelType w:val="multilevel"/>
    <w:tmpl w:val="61D73C2C"/>
    <w:lvl w:ilvl="0" w:tentative="0">
      <w:start w:val="1"/>
      <w:numFmt w:val="decimal"/>
      <w:lvlText w:val="%1."/>
      <w:lvlJc w:val="left"/>
      <w:pPr>
        <w:ind w:left="720" w:hanging="360"/>
      </w:pPr>
    </w:lvl>
    <w:lvl w:ilvl="1" w:tentative="0">
      <w:start w:val="4"/>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
    <w:nsid w:val="789120C4"/>
    <w:multiLevelType w:val="multilevel"/>
    <w:tmpl w:val="789120C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845"/>
    <w:rsid w:val="000049E1"/>
    <w:rsid w:val="0000574D"/>
    <w:rsid w:val="000360CA"/>
    <w:rsid w:val="00051309"/>
    <w:rsid w:val="00057BE5"/>
    <w:rsid w:val="000954F8"/>
    <w:rsid w:val="000A3A4F"/>
    <w:rsid w:val="000C2AEC"/>
    <w:rsid w:val="000D1022"/>
    <w:rsid w:val="000D444B"/>
    <w:rsid w:val="000E672D"/>
    <w:rsid w:val="0010677E"/>
    <w:rsid w:val="00117BC1"/>
    <w:rsid w:val="001206E2"/>
    <w:rsid w:val="001244AC"/>
    <w:rsid w:val="00132711"/>
    <w:rsid w:val="00141827"/>
    <w:rsid w:val="001507D2"/>
    <w:rsid w:val="00157BC2"/>
    <w:rsid w:val="00183608"/>
    <w:rsid w:val="001C6366"/>
    <w:rsid w:val="0020151B"/>
    <w:rsid w:val="002078CF"/>
    <w:rsid w:val="00212E15"/>
    <w:rsid w:val="002175A7"/>
    <w:rsid w:val="00217937"/>
    <w:rsid w:val="0024685B"/>
    <w:rsid w:val="00250B88"/>
    <w:rsid w:val="00253578"/>
    <w:rsid w:val="00274FDC"/>
    <w:rsid w:val="00284FB5"/>
    <w:rsid w:val="002C2488"/>
    <w:rsid w:val="002D2D9D"/>
    <w:rsid w:val="002D2EC8"/>
    <w:rsid w:val="002E70BB"/>
    <w:rsid w:val="003102C2"/>
    <w:rsid w:val="0031039A"/>
    <w:rsid w:val="003234B7"/>
    <w:rsid w:val="0032566C"/>
    <w:rsid w:val="00342FCA"/>
    <w:rsid w:val="00346164"/>
    <w:rsid w:val="00347BEC"/>
    <w:rsid w:val="0036472E"/>
    <w:rsid w:val="003647B5"/>
    <w:rsid w:val="003827F2"/>
    <w:rsid w:val="003854A1"/>
    <w:rsid w:val="003971D7"/>
    <w:rsid w:val="003A5418"/>
    <w:rsid w:val="003B1693"/>
    <w:rsid w:val="003C0679"/>
    <w:rsid w:val="003F66C6"/>
    <w:rsid w:val="00400A67"/>
    <w:rsid w:val="00404762"/>
    <w:rsid w:val="00420215"/>
    <w:rsid w:val="004215F6"/>
    <w:rsid w:val="00426B1F"/>
    <w:rsid w:val="004629E4"/>
    <w:rsid w:val="00471689"/>
    <w:rsid w:val="00490B40"/>
    <w:rsid w:val="00491D4A"/>
    <w:rsid w:val="004B1C3F"/>
    <w:rsid w:val="004D1569"/>
    <w:rsid w:val="004E21F1"/>
    <w:rsid w:val="004F0F37"/>
    <w:rsid w:val="004F6963"/>
    <w:rsid w:val="004F6A31"/>
    <w:rsid w:val="00510DF5"/>
    <w:rsid w:val="00521F5C"/>
    <w:rsid w:val="005906A2"/>
    <w:rsid w:val="005946C2"/>
    <w:rsid w:val="005D15C5"/>
    <w:rsid w:val="005D185A"/>
    <w:rsid w:val="005E3AD6"/>
    <w:rsid w:val="005E3F18"/>
    <w:rsid w:val="005F0C9B"/>
    <w:rsid w:val="006222FE"/>
    <w:rsid w:val="00640DD8"/>
    <w:rsid w:val="00671A6E"/>
    <w:rsid w:val="00680C4C"/>
    <w:rsid w:val="00697448"/>
    <w:rsid w:val="006D4268"/>
    <w:rsid w:val="007262F3"/>
    <w:rsid w:val="00733C4B"/>
    <w:rsid w:val="007444C9"/>
    <w:rsid w:val="00753DCE"/>
    <w:rsid w:val="00761564"/>
    <w:rsid w:val="00767CB4"/>
    <w:rsid w:val="007814A8"/>
    <w:rsid w:val="0079763F"/>
    <w:rsid w:val="007B0B50"/>
    <w:rsid w:val="007B5EE2"/>
    <w:rsid w:val="007F5308"/>
    <w:rsid w:val="0084686D"/>
    <w:rsid w:val="008827AC"/>
    <w:rsid w:val="00896755"/>
    <w:rsid w:val="008B688E"/>
    <w:rsid w:val="00900B2D"/>
    <w:rsid w:val="00936343"/>
    <w:rsid w:val="00936C4E"/>
    <w:rsid w:val="00945646"/>
    <w:rsid w:val="00964AB4"/>
    <w:rsid w:val="0097268D"/>
    <w:rsid w:val="009E508E"/>
    <w:rsid w:val="009F7A03"/>
    <w:rsid w:val="00A00650"/>
    <w:rsid w:val="00A55BE8"/>
    <w:rsid w:val="00A570C2"/>
    <w:rsid w:val="00A64B7D"/>
    <w:rsid w:val="00A82C3F"/>
    <w:rsid w:val="00AB31F3"/>
    <w:rsid w:val="00AD6AB4"/>
    <w:rsid w:val="00AE10B4"/>
    <w:rsid w:val="00AF670E"/>
    <w:rsid w:val="00B12E13"/>
    <w:rsid w:val="00B3530C"/>
    <w:rsid w:val="00B372AF"/>
    <w:rsid w:val="00B72835"/>
    <w:rsid w:val="00BA3A2E"/>
    <w:rsid w:val="00BC4A40"/>
    <w:rsid w:val="00BD40CE"/>
    <w:rsid w:val="00C37C95"/>
    <w:rsid w:val="00C60BA9"/>
    <w:rsid w:val="00C84F2D"/>
    <w:rsid w:val="00CB0428"/>
    <w:rsid w:val="00CB0A28"/>
    <w:rsid w:val="00CB153D"/>
    <w:rsid w:val="00CB685D"/>
    <w:rsid w:val="00CD3FF8"/>
    <w:rsid w:val="00CD4981"/>
    <w:rsid w:val="00CD798A"/>
    <w:rsid w:val="00D169E6"/>
    <w:rsid w:val="00D37888"/>
    <w:rsid w:val="00D76204"/>
    <w:rsid w:val="00D76DD9"/>
    <w:rsid w:val="00D76FD2"/>
    <w:rsid w:val="00D96AE9"/>
    <w:rsid w:val="00DA0636"/>
    <w:rsid w:val="00DA4FF7"/>
    <w:rsid w:val="00DA5EA7"/>
    <w:rsid w:val="00DD6982"/>
    <w:rsid w:val="00DE45F3"/>
    <w:rsid w:val="00DF4DF8"/>
    <w:rsid w:val="00DF7BDA"/>
    <w:rsid w:val="00E362C4"/>
    <w:rsid w:val="00E470C0"/>
    <w:rsid w:val="00E6100F"/>
    <w:rsid w:val="00EA124C"/>
    <w:rsid w:val="00ED05CC"/>
    <w:rsid w:val="00ED0963"/>
    <w:rsid w:val="00ED4DFA"/>
    <w:rsid w:val="00F24ACE"/>
    <w:rsid w:val="00F32845"/>
    <w:rsid w:val="00F35EF8"/>
    <w:rsid w:val="00F67623"/>
    <w:rsid w:val="00FD1F0F"/>
    <w:rsid w:val="00FE3059"/>
    <w:rsid w:val="59B9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 w:line="481" w:lineRule="auto"/>
      <w:ind w:left="111" w:hanging="10"/>
      <w:jc w:val="both"/>
    </w:pPr>
    <w:rPr>
      <w:rFonts w:ascii="Times New Roman" w:hAnsi="Times New Roman" w:eastAsia="Times New Roman" w:cs="Times New Roman"/>
      <w:color w:val="000000"/>
      <w:kern w:val="2"/>
      <w:sz w:val="24"/>
      <w:szCs w:val="22"/>
      <w:lang w:val="zh-CN" w:eastAsia="zh-CN" w:bidi="ar-SA"/>
      <w14:ligatures w14:val="standardContextual"/>
    </w:rPr>
  </w:style>
  <w:style w:type="paragraph" w:styleId="2">
    <w:name w:val="heading 1"/>
    <w:next w:val="1"/>
    <w:link w:val="21"/>
    <w:qFormat/>
    <w:uiPriority w:val="9"/>
    <w:pPr>
      <w:keepNext/>
      <w:keepLines/>
      <w:spacing w:after="405" w:line="265" w:lineRule="auto"/>
      <w:ind w:left="10" w:right="7" w:hanging="10"/>
      <w:jc w:val="center"/>
      <w:outlineLvl w:val="0"/>
    </w:pPr>
    <w:rPr>
      <w:rFonts w:ascii="Times New Roman" w:hAnsi="Times New Roman" w:eastAsia="Times New Roman" w:cs="Times New Roman"/>
      <w:color w:val="000000"/>
      <w:kern w:val="2"/>
      <w:sz w:val="24"/>
      <w:szCs w:val="22"/>
      <w:lang w:val="zh-CN" w:eastAsia="zh-CN" w:bidi="ar-SA"/>
      <w14:ligatures w14:val="standardContextual"/>
    </w:rPr>
  </w:style>
  <w:style w:type="paragraph" w:styleId="3">
    <w:name w:val="heading 2"/>
    <w:next w:val="1"/>
    <w:link w:val="22"/>
    <w:unhideWhenUsed/>
    <w:qFormat/>
    <w:uiPriority w:val="9"/>
    <w:pPr>
      <w:keepNext/>
      <w:keepLines/>
      <w:spacing w:after="405" w:line="265" w:lineRule="auto"/>
      <w:ind w:left="10" w:right="7" w:hanging="10"/>
      <w:outlineLvl w:val="1"/>
    </w:pPr>
    <w:rPr>
      <w:rFonts w:ascii="Times New Roman" w:hAnsi="Times New Roman" w:eastAsia="Times New Roman" w:cs="Times New Roman"/>
      <w:color w:val="000000"/>
      <w:kern w:val="2"/>
      <w:sz w:val="24"/>
      <w:szCs w:val="22"/>
      <w:lang w:val="zh-CN" w:eastAsia="zh-CN" w:bidi="ar-SA"/>
      <w14:ligatures w14:val="standardContextual"/>
    </w:rPr>
  </w:style>
  <w:style w:type="paragraph" w:styleId="4">
    <w:name w:val="heading 3"/>
    <w:basedOn w:val="1"/>
    <w:next w:val="1"/>
    <w:link w:val="33"/>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37"/>
    <w:qFormat/>
    <w:uiPriority w:val="1"/>
    <w:pPr>
      <w:widowControl w:val="0"/>
      <w:autoSpaceDE w:val="0"/>
      <w:autoSpaceDN w:val="0"/>
      <w:spacing w:after="0" w:line="240" w:lineRule="auto"/>
      <w:ind w:left="0" w:firstLine="0"/>
      <w:jc w:val="left"/>
    </w:pPr>
    <w:rPr>
      <w:color w:val="auto"/>
      <w:kern w:val="0"/>
      <w:szCs w:val="24"/>
      <w:lang w:val="id" w:eastAsia="en-US"/>
      <w14:ligatures w14:val="none"/>
    </w:rPr>
  </w:style>
  <w:style w:type="paragraph" w:styleId="8">
    <w:name w:val="caption"/>
    <w:basedOn w:val="1"/>
    <w:next w:val="1"/>
    <w:unhideWhenUsed/>
    <w:qFormat/>
    <w:uiPriority w:val="35"/>
    <w:pPr>
      <w:spacing w:after="200" w:line="240" w:lineRule="auto"/>
      <w:ind w:left="0" w:firstLine="0"/>
      <w:jc w:val="left"/>
    </w:pPr>
    <w:rPr>
      <w:rFonts w:asciiTheme="minorHAnsi" w:hAnsiTheme="minorHAnsi" w:eastAsiaTheme="minorHAnsi" w:cstheme="minorBidi"/>
      <w:i/>
      <w:iCs/>
      <w:color w:val="44546A" w:themeColor="text2"/>
      <w:sz w:val="18"/>
      <w:szCs w:val="18"/>
      <w:lang w:eastAsia="en-US"/>
      <w14:textFill>
        <w14:solidFill>
          <w14:schemeClr w14:val="tx2"/>
        </w14:solidFill>
      </w14:textFill>
    </w:rPr>
  </w:style>
  <w:style w:type="paragraph" w:styleId="9">
    <w:name w:val="annotation text"/>
    <w:basedOn w:val="1"/>
    <w:semiHidden/>
    <w:unhideWhenUsed/>
    <w:uiPriority w:val="99"/>
    <w:pPr>
      <w:jc w:val="left"/>
    </w:pPr>
  </w:style>
  <w:style w:type="paragraph" w:styleId="10">
    <w:name w:val="footer"/>
    <w:basedOn w:val="1"/>
    <w:link w:val="25"/>
    <w:unhideWhenUsed/>
    <w:qFormat/>
    <w:uiPriority w:val="99"/>
    <w:pPr>
      <w:tabs>
        <w:tab w:val="center" w:pos="4513"/>
        <w:tab w:val="right" w:pos="9026"/>
      </w:tabs>
      <w:spacing w:after="0" w:line="240" w:lineRule="auto"/>
      <w:ind w:left="0" w:firstLine="0"/>
      <w:jc w:val="left"/>
    </w:pPr>
    <w:rPr>
      <w:rFonts w:asciiTheme="minorHAnsi" w:hAnsiTheme="minorHAnsi" w:eastAsiaTheme="minorHAnsi" w:cstheme="minorBidi"/>
      <w:color w:val="auto"/>
      <w:sz w:val="22"/>
      <w:lang w:eastAsia="en-US"/>
    </w:rPr>
  </w:style>
  <w:style w:type="character" w:styleId="11">
    <w:name w:val="footnote reference"/>
    <w:basedOn w:val="5"/>
    <w:semiHidden/>
    <w:unhideWhenUsed/>
    <w:qFormat/>
    <w:uiPriority w:val="99"/>
    <w:rPr>
      <w:vertAlign w:val="superscript"/>
    </w:rPr>
  </w:style>
  <w:style w:type="paragraph" w:styleId="12">
    <w:name w:val="footnote text"/>
    <w:basedOn w:val="1"/>
    <w:link w:val="38"/>
    <w:unhideWhenUsed/>
    <w:uiPriority w:val="99"/>
    <w:pPr>
      <w:spacing w:after="0" w:line="240" w:lineRule="auto"/>
      <w:ind w:left="0" w:firstLine="0"/>
      <w:jc w:val="left"/>
    </w:pPr>
    <w:rPr>
      <w:rFonts w:asciiTheme="minorHAnsi" w:hAnsiTheme="minorHAnsi" w:eastAsiaTheme="minorHAnsi" w:cstheme="minorBidi"/>
      <w:color w:val="auto"/>
      <w:kern w:val="0"/>
      <w:sz w:val="20"/>
      <w:szCs w:val="20"/>
      <w:lang w:val="en-US" w:eastAsia="en-US"/>
      <w14:ligatures w14:val="none"/>
    </w:rPr>
  </w:style>
  <w:style w:type="paragraph" w:styleId="13">
    <w:name w:val="header"/>
    <w:basedOn w:val="1"/>
    <w:link w:val="28"/>
    <w:unhideWhenUsed/>
    <w:uiPriority w:val="99"/>
    <w:pPr>
      <w:tabs>
        <w:tab w:val="center" w:pos="4680"/>
        <w:tab w:val="right" w:pos="9360"/>
      </w:tabs>
      <w:spacing w:after="0" w:line="240" w:lineRule="auto"/>
      <w:ind w:left="0" w:firstLine="0"/>
      <w:jc w:val="left"/>
    </w:pPr>
    <w:rPr>
      <w:rFonts w:asciiTheme="minorHAnsi" w:hAnsiTheme="minorHAnsi" w:eastAsiaTheme="minorHAnsi" w:cstheme="minorBidi"/>
      <w:color w:val="auto"/>
      <w:kern w:val="0"/>
      <w:sz w:val="22"/>
      <w:lang w:val="en-US" w:eastAsia="en-US"/>
      <w14:ligatures w14:val="none"/>
    </w:r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pPr>
      <w:spacing w:before="100" w:beforeAutospacing="1" w:after="100" w:afterAutospacing="1" w:line="240" w:lineRule="auto"/>
      <w:ind w:left="0" w:firstLine="0"/>
      <w:jc w:val="left"/>
    </w:pPr>
    <w:rPr>
      <w:color w:val="auto"/>
      <w:kern w:val="0"/>
      <w:szCs w:val="24"/>
      <w:lang w:val="en-US" w:eastAsia="en-US"/>
      <w14:ligatures w14:val="none"/>
    </w:rPr>
  </w:style>
  <w:style w:type="table" w:styleId="16">
    <w:name w:val="Table Grid"/>
    <w:basedOn w:val="6"/>
    <w:qFormat/>
    <w:uiPriority w:val="39"/>
    <w:pPr>
      <w:spacing w:after="0" w:line="240" w:lineRule="auto"/>
    </w:pPr>
    <w:rPr>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after="0" w:line="256" w:lineRule="auto"/>
      <w:ind w:left="0" w:firstLine="0"/>
      <w:jc w:val="left"/>
    </w:pPr>
    <w:rPr>
      <w:rFonts w:asciiTheme="minorHAnsi" w:hAnsiTheme="minorHAnsi" w:eastAsiaTheme="minorEastAsia" w:cstheme="minorBidi"/>
      <w:color w:val="auto"/>
      <w:kern w:val="0"/>
      <w:sz w:val="22"/>
      <w:lang w:eastAsia="zh-TW"/>
      <w14:ligatures w14:val="none"/>
    </w:rPr>
  </w:style>
  <w:style w:type="paragraph" w:styleId="18">
    <w:name w:val="toc 1"/>
    <w:basedOn w:val="1"/>
    <w:next w:val="1"/>
    <w:autoRedefine/>
    <w:unhideWhenUsed/>
    <w:qFormat/>
    <w:uiPriority w:val="39"/>
    <w:pPr>
      <w:tabs>
        <w:tab w:val="right" w:leader="dot" w:pos="7927"/>
      </w:tabs>
      <w:spacing w:after="0" w:line="360" w:lineRule="auto"/>
      <w:ind w:left="0" w:firstLine="0"/>
    </w:pPr>
    <w:rPr>
      <w:rFonts w:eastAsiaTheme="minorEastAsia"/>
      <w:b/>
      <w:bCs/>
      <w:color w:val="auto"/>
      <w:kern w:val="0"/>
      <w:szCs w:val="24"/>
      <w:lang w:eastAsia="zh-TW"/>
      <w14:ligatures w14:val="none"/>
    </w:rPr>
  </w:style>
  <w:style w:type="paragraph" w:styleId="19">
    <w:name w:val="toc 2"/>
    <w:basedOn w:val="1"/>
    <w:next w:val="1"/>
    <w:autoRedefine/>
    <w:unhideWhenUsed/>
    <w:qFormat/>
    <w:uiPriority w:val="39"/>
    <w:pPr>
      <w:tabs>
        <w:tab w:val="left" w:pos="880"/>
        <w:tab w:val="right" w:leader="dot" w:pos="7927"/>
      </w:tabs>
      <w:spacing w:after="0" w:line="360" w:lineRule="auto"/>
      <w:ind w:left="426" w:firstLine="0"/>
      <w:jc w:val="left"/>
    </w:pPr>
    <w:rPr>
      <w:rFonts w:eastAsiaTheme="minorEastAsia"/>
      <w:color w:val="auto"/>
      <w:kern w:val="0"/>
      <w:szCs w:val="24"/>
      <w:lang w:eastAsia="zh-TW"/>
      <w14:ligatures w14:val="none"/>
    </w:rPr>
  </w:style>
  <w:style w:type="paragraph" w:styleId="20">
    <w:name w:val="toc 3"/>
    <w:basedOn w:val="1"/>
    <w:next w:val="1"/>
    <w:autoRedefine/>
    <w:unhideWhenUsed/>
    <w:qFormat/>
    <w:uiPriority w:val="39"/>
    <w:pPr>
      <w:spacing w:after="100" w:line="256" w:lineRule="auto"/>
      <w:ind w:left="440" w:firstLine="0"/>
      <w:jc w:val="left"/>
    </w:pPr>
    <w:rPr>
      <w:rFonts w:asciiTheme="minorHAnsi" w:hAnsiTheme="minorHAnsi" w:eastAsiaTheme="minorEastAsia" w:cstheme="minorBidi"/>
      <w:color w:val="auto"/>
      <w:kern w:val="0"/>
      <w:sz w:val="22"/>
      <w:lang w:eastAsia="zh-TW"/>
      <w14:ligatures w14:val="none"/>
    </w:rPr>
  </w:style>
  <w:style w:type="character" w:customStyle="1" w:styleId="21">
    <w:name w:val="Heading 1 Char"/>
    <w:basedOn w:val="5"/>
    <w:link w:val="2"/>
    <w:qFormat/>
    <w:uiPriority w:val="9"/>
    <w:rPr>
      <w:rFonts w:ascii="Times New Roman" w:hAnsi="Times New Roman" w:eastAsia="Times New Roman" w:cs="Times New Roman"/>
      <w:color w:val="000000"/>
      <w:sz w:val="24"/>
      <w:lang w:val="zh-CN" w:eastAsia="zh-CN"/>
    </w:rPr>
  </w:style>
  <w:style w:type="character" w:customStyle="1" w:styleId="22">
    <w:name w:val="Heading 2 Char"/>
    <w:basedOn w:val="5"/>
    <w:link w:val="3"/>
    <w:qFormat/>
    <w:uiPriority w:val="9"/>
    <w:rPr>
      <w:rFonts w:ascii="Times New Roman" w:hAnsi="Times New Roman" w:eastAsia="Times New Roman" w:cs="Times New Roman"/>
      <w:color w:val="000000"/>
      <w:sz w:val="24"/>
      <w:lang w:val="zh-CN" w:eastAsia="zh-CN"/>
    </w:rPr>
  </w:style>
  <w:style w:type="paragraph" w:styleId="23">
    <w:name w:val="List Paragraph"/>
    <w:basedOn w:val="1"/>
    <w:link w:val="24"/>
    <w:qFormat/>
    <w:uiPriority w:val="34"/>
    <w:pPr>
      <w:ind w:left="720"/>
      <w:contextualSpacing/>
    </w:pPr>
  </w:style>
  <w:style w:type="character" w:customStyle="1" w:styleId="24">
    <w:name w:val="List Paragraph Char"/>
    <w:basedOn w:val="5"/>
    <w:link w:val="23"/>
    <w:qFormat/>
    <w:uiPriority w:val="34"/>
    <w:rPr>
      <w:rFonts w:ascii="Times New Roman" w:hAnsi="Times New Roman" w:eastAsia="Times New Roman" w:cs="Times New Roman"/>
      <w:color w:val="000000"/>
      <w:sz w:val="24"/>
      <w:lang w:val="zh-CN" w:eastAsia="zh-CN"/>
    </w:rPr>
  </w:style>
  <w:style w:type="character" w:customStyle="1" w:styleId="25">
    <w:name w:val="Footer Char"/>
    <w:basedOn w:val="5"/>
    <w:link w:val="10"/>
    <w:uiPriority w:val="99"/>
    <w:rPr>
      <w:lang w:val="zh-CN"/>
    </w:rPr>
  </w:style>
  <w:style w:type="paragraph" w:customStyle="1" w:styleId="26">
    <w:name w:val="Style1"/>
    <w:basedOn w:val="1"/>
    <w:link w:val="27"/>
    <w:qFormat/>
    <w:uiPriority w:val="0"/>
    <w:pPr>
      <w:spacing w:after="0" w:line="480" w:lineRule="auto"/>
      <w:ind w:left="0" w:firstLine="0"/>
      <w:jc w:val="center"/>
    </w:pPr>
    <w:rPr>
      <w:rFonts w:eastAsiaTheme="minorEastAsia"/>
      <w:b/>
      <w:bCs/>
      <w:color w:val="auto"/>
      <w:kern w:val="0"/>
      <w:szCs w:val="24"/>
      <w:lang w:eastAsia="zh-TW"/>
      <w14:ligatures w14:val="none"/>
    </w:rPr>
  </w:style>
  <w:style w:type="character" w:customStyle="1" w:styleId="27">
    <w:name w:val="Style1 Char"/>
    <w:basedOn w:val="5"/>
    <w:link w:val="26"/>
    <w:qFormat/>
    <w:uiPriority w:val="0"/>
    <w:rPr>
      <w:rFonts w:ascii="Times New Roman" w:hAnsi="Times New Roman" w:cs="Times New Roman" w:eastAsiaTheme="minorEastAsia"/>
      <w:b/>
      <w:bCs/>
      <w:kern w:val="0"/>
      <w:sz w:val="24"/>
      <w:szCs w:val="24"/>
      <w:lang w:val="zh-CN" w:eastAsia="zh-TW"/>
      <w14:ligatures w14:val="none"/>
    </w:rPr>
  </w:style>
  <w:style w:type="character" w:customStyle="1" w:styleId="28">
    <w:name w:val="Header Char"/>
    <w:basedOn w:val="5"/>
    <w:link w:val="13"/>
    <w:qFormat/>
    <w:uiPriority w:val="99"/>
    <w:rPr>
      <w:kern w:val="0"/>
      <w14:ligatures w14:val="none"/>
    </w:rPr>
  </w:style>
  <w:style w:type="paragraph" w:customStyle="1" w:styleId="29">
    <w:name w:val="HEAD 3 BAB 3"/>
    <w:basedOn w:val="3"/>
    <w:next w:val="3"/>
    <w:link w:val="30"/>
    <w:qFormat/>
    <w:uiPriority w:val="0"/>
    <w:pPr>
      <w:keepNext w:val="0"/>
      <w:keepLines w:val="0"/>
      <w:numPr>
        <w:ilvl w:val="1"/>
        <w:numId w:val="1"/>
      </w:numPr>
      <w:spacing w:after="0" w:line="480" w:lineRule="auto"/>
      <w:ind w:left="426" w:right="0" w:hanging="426"/>
      <w:contextualSpacing/>
    </w:pPr>
    <w:rPr>
      <w:b/>
      <w:szCs w:val="24"/>
    </w:rPr>
  </w:style>
  <w:style w:type="character" w:customStyle="1" w:styleId="30">
    <w:name w:val="HEAD 3 BAB 3 Char"/>
    <w:basedOn w:val="22"/>
    <w:link w:val="29"/>
    <w:uiPriority w:val="0"/>
    <w:rPr>
      <w:rFonts w:ascii="Times New Roman" w:hAnsi="Times New Roman" w:eastAsia="Times New Roman" w:cs="Times New Roman"/>
      <w:b/>
      <w:color w:val="000000"/>
      <w:sz w:val="24"/>
      <w:szCs w:val="24"/>
      <w:lang w:val="zh-CN" w:eastAsia="zh-CN"/>
    </w:rPr>
  </w:style>
  <w:style w:type="paragraph" w:customStyle="1" w:styleId="31">
    <w:name w:val="BAB BAB 3 HED 3"/>
    <w:basedOn w:val="4"/>
    <w:next w:val="4"/>
    <w:link w:val="32"/>
    <w:qFormat/>
    <w:uiPriority w:val="0"/>
    <w:pPr>
      <w:keepNext w:val="0"/>
      <w:keepLines w:val="0"/>
      <w:numPr>
        <w:ilvl w:val="2"/>
        <w:numId w:val="1"/>
      </w:numPr>
      <w:spacing w:before="0" w:line="480" w:lineRule="auto"/>
      <w:contextualSpacing/>
      <w:jc w:val="left"/>
    </w:pPr>
    <w:rPr>
      <w:rFonts w:ascii="Times New Roman" w:hAnsi="Times New Roman" w:cs="Times New Roman"/>
      <w:b/>
    </w:rPr>
  </w:style>
  <w:style w:type="character" w:customStyle="1" w:styleId="32">
    <w:name w:val="BAB BAB 3 HED 3 Char"/>
    <w:basedOn w:val="33"/>
    <w:link w:val="31"/>
    <w:uiPriority w:val="0"/>
    <w:rPr>
      <w:rFonts w:ascii="Times New Roman" w:hAnsi="Times New Roman" w:cs="Times New Roman" w:eastAsiaTheme="majorEastAsia"/>
      <w:b/>
      <w:color w:val="203864" w:themeColor="accent1" w:themeShade="80"/>
      <w:sz w:val="24"/>
      <w:szCs w:val="24"/>
      <w:lang w:val="zh-CN" w:eastAsia="zh-CN"/>
    </w:rPr>
  </w:style>
  <w:style w:type="character" w:customStyle="1" w:styleId="33">
    <w:name w:val="Heading 3 Char"/>
    <w:basedOn w:val="5"/>
    <w:link w:val="4"/>
    <w:semiHidden/>
    <w:qFormat/>
    <w:uiPriority w:val="9"/>
    <w:rPr>
      <w:rFonts w:asciiTheme="majorHAnsi" w:hAnsiTheme="majorHAnsi" w:eastAsiaTheme="majorEastAsia" w:cstheme="majorBidi"/>
      <w:color w:val="203864" w:themeColor="accent1" w:themeShade="80"/>
      <w:sz w:val="24"/>
      <w:szCs w:val="24"/>
      <w:lang w:val="zh-CN" w:eastAsia="zh-CN"/>
    </w:rPr>
  </w:style>
  <w:style w:type="paragraph" w:customStyle="1" w:styleId="34">
    <w:name w:val="Bibliography"/>
    <w:basedOn w:val="1"/>
    <w:next w:val="1"/>
    <w:unhideWhenUsed/>
    <w:uiPriority w:val="37"/>
  </w:style>
  <w:style w:type="character" w:customStyle="1" w:styleId="35">
    <w:name w:val="Unresolved Mention"/>
    <w:basedOn w:val="5"/>
    <w:semiHidden/>
    <w:unhideWhenUsed/>
    <w:uiPriority w:val="99"/>
    <w:rPr>
      <w:color w:val="605E5C"/>
      <w:shd w:val="clear" w:color="auto" w:fill="E1DFDD"/>
    </w:rPr>
  </w:style>
  <w:style w:type="character" w:styleId="36">
    <w:name w:val="Placeholder Text"/>
    <w:basedOn w:val="5"/>
    <w:semiHidden/>
    <w:uiPriority w:val="99"/>
    <w:rPr>
      <w:color w:val="666666"/>
    </w:rPr>
  </w:style>
  <w:style w:type="character" w:customStyle="1" w:styleId="37">
    <w:name w:val="Body Text Char"/>
    <w:basedOn w:val="5"/>
    <w:link w:val="7"/>
    <w:uiPriority w:val="1"/>
    <w:rPr>
      <w:rFonts w:ascii="Times New Roman" w:hAnsi="Times New Roman" w:eastAsia="Times New Roman" w:cs="Times New Roman"/>
      <w:kern w:val="0"/>
      <w:sz w:val="24"/>
      <w:szCs w:val="24"/>
      <w:lang w:val="id"/>
      <w14:ligatures w14:val="none"/>
    </w:rPr>
  </w:style>
  <w:style w:type="character" w:customStyle="1" w:styleId="38">
    <w:name w:val="Footnote Text Char"/>
    <w:basedOn w:val="5"/>
    <w:link w:val="12"/>
    <w:qFormat/>
    <w:uiPriority w:val="99"/>
    <w:rPr>
      <w:kern w:val="0"/>
      <w:sz w:val="20"/>
      <w:szCs w:val="20"/>
      <w14:ligatures w14:val="none"/>
    </w:rPr>
  </w:style>
  <w:style w:type="paragraph" w:customStyle="1" w:styleId="39">
    <w:name w:val="sub bab (bab 4)"/>
    <w:basedOn w:val="3"/>
    <w:next w:val="3"/>
    <w:link w:val="40"/>
    <w:qFormat/>
    <w:uiPriority w:val="0"/>
    <w:pPr>
      <w:keepNext w:val="0"/>
      <w:keepLines w:val="0"/>
      <w:numPr>
        <w:ilvl w:val="1"/>
        <w:numId w:val="2"/>
      </w:numPr>
      <w:spacing w:after="0" w:line="480" w:lineRule="auto"/>
      <w:ind w:left="567" w:right="0" w:hanging="567"/>
      <w:contextualSpacing/>
      <w:jc w:val="both"/>
    </w:pPr>
    <w:rPr>
      <w:rFonts w:eastAsiaTheme="minorHAnsi"/>
      <w:b/>
      <w:bCs/>
      <w:color w:val="auto"/>
      <w:szCs w:val="24"/>
      <w:lang w:eastAsia="en-US"/>
    </w:rPr>
  </w:style>
  <w:style w:type="character" w:customStyle="1" w:styleId="40">
    <w:name w:val="sub bab (bab 4) Char"/>
    <w:basedOn w:val="5"/>
    <w:link w:val="39"/>
    <w:qFormat/>
    <w:uiPriority w:val="0"/>
    <w:rPr>
      <w:rFonts w:ascii="Times New Roman" w:hAnsi="Times New Roman" w:cs="Times New Roman"/>
      <w:b/>
      <w:bCs/>
      <w:sz w:val="24"/>
      <w:szCs w:val="24"/>
      <w:lang w:val="zh-CN"/>
    </w:rPr>
  </w:style>
  <w:style w:type="paragraph" w:customStyle="1" w:styleId="41">
    <w:name w:val="sub bab bab (bab 4)"/>
    <w:basedOn w:val="4"/>
    <w:next w:val="4"/>
    <w:qFormat/>
    <w:uiPriority w:val="0"/>
    <w:pPr>
      <w:keepNext w:val="0"/>
      <w:keepLines w:val="0"/>
      <w:numPr>
        <w:ilvl w:val="2"/>
        <w:numId w:val="2"/>
      </w:numPr>
      <w:tabs>
        <w:tab w:val="left" w:pos="360"/>
      </w:tabs>
      <w:spacing w:before="0" w:line="480" w:lineRule="auto"/>
      <w:ind w:left="0" w:firstLine="0"/>
      <w:contextualSpacing/>
    </w:pPr>
    <w:rPr>
      <w:rFonts w:ascii="Times New Roman" w:hAnsi="Times New Roman" w:cs="Times New Roman" w:eastAsiaTheme="minorHAnsi"/>
      <w:b/>
      <w:color w:val="auto"/>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DD1E9-BC48-4722-ACBF-6FE60A4B150C}">
  <ds:schemaRefs/>
</ds:datastoreItem>
</file>

<file path=docProps/app.xml><?xml version="1.0" encoding="utf-8"?>
<Properties xmlns="http://schemas.openxmlformats.org/officeDocument/2006/extended-properties" xmlns:vt="http://schemas.openxmlformats.org/officeDocument/2006/docPropsVTypes">
  <Template>Normal</Template>
  <Pages>19</Pages>
  <Words>4154</Words>
  <Characters>23682</Characters>
  <Lines>197</Lines>
  <Paragraphs>55</Paragraphs>
  <TotalTime>931</TotalTime>
  <ScaleCrop>false</ScaleCrop>
  <LinksUpToDate>false</LinksUpToDate>
  <CharactersWithSpaces>27781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2024-12-19T14:20:00Z</dcterms:created>
  <dc:creator>dhandy wardana</dc:creator>
  <cp:lastModifiedBy>WPS_1749506791</cp:lastModifiedBy>
  <cp:lastPrinted>2025-01-19T09:16:00Z</cp:lastPrinted>
  <dcterms:modified xsi:type="dcterms:W3CDTF">2025-08-12T20:46:56Z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id="9q4P1ltX"/&gt;&lt;style id="http://www.zotero.org/styles/apa" locale="id-ID"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ProductBuildVer">
    <vt:lpwstr>1033-12.2.0.21931</vt:lpwstr>
  </property>
  <property fmtid="{D5CDD505-2E9C-101B-9397-08002B2CF9AE}" pid="5" name="ICV">
    <vt:lpwstr>690D2D588F7346209FD18C641B961BE7_12</vt:lpwstr>
  </property>
</Properties>
</file>