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PENGARUH PENGANGGURAN TERHADAP KESEJAHTERAAN </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MASYARAKAT DI INDONESIA</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rtl w:val="0"/>
        </w:rPr>
        <w:t xml:space="preserve">Marissa Indah Puspita¹, Miftah Aulia Rizky², Muhammad Fajriansyah³, Yenni Samri Juliati Nasution⁴</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i w:val="1"/>
          <w:sz w:val="20"/>
          <w:szCs w:val="20"/>
          <w:vertAlign w:val="superscript"/>
          <w:rtl w:val="0"/>
        </w:rPr>
        <w:t xml:space="preserve">234</w:t>
      </w:r>
      <w:r w:rsidDel="00000000" w:rsidR="00000000" w:rsidRPr="00000000">
        <w:rPr>
          <w:rFonts w:ascii="Times New Roman" w:cs="Times New Roman" w:eastAsia="Times New Roman" w:hAnsi="Times New Roman"/>
          <w:i w:val="1"/>
          <w:sz w:val="20"/>
          <w:szCs w:val="20"/>
          <w:rtl w:val="0"/>
        </w:rPr>
        <w:t xml:space="preserve">Akuntansi Syariah</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Universitas Islam Negeri Sumatera Utara,</w:t>
      </w:r>
      <w:r w:rsidDel="00000000" w:rsidR="00000000" w:rsidRPr="00000000">
        <w:rPr>
          <w:rFonts w:ascii="Times New Roman" w:cs="Times New Roman" w:eastAsia="Times New Roman" w:hAnsi="Times New Roman"/>
          <w:i w:val="1"/>
          <w:sz w:val="20"/>
          <w:szCs w:val="20"/>
          <w:rtl w:val="0"/>
        </w:rPr>
        <w:t xml:space="preserve"> Indonesia</w:t>
      </w: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0"/>
          <w:szCs w:val="20"/>
          <w:u w:val="none"/>
          <w:shd w:fill="auto" w:val="clear"/>
          <w:vertAlign w:val="superscript"/>
          <w:rtl w:val="0"/>
        </w:rPr>
        <w:t xml:space="preserve">1</w:t>
      </w:r>
      <w:hyperlink r:id="rId6">
        <w:r w:rsidDel="00000000" w:rsidR="00000000" w:rsidRPr="00000000">
          <w:rPr>
            <w:rFonts w:ascii="Times New Roman" w:cs="Times New Roman" w:eastAsia="Times New Roman" w:hAnsi="Times New Roman"/>
            <w:i w:val="1"/>
            <w:color w:val="1155cc"/>
            <w:sz w:val="20"/>
            <w:szCs w:val="20"/>
            <w:u w:val="single"/>
            <w:rtl w:val="0"/>
          </w:rPr>
          <w:t xml:space="preserve">marissa0502233187@uinsu.ac.id</w:t>
        </w:r>
      </w:hyperlink>
      <w:r w:rsidDel="00000000" w:rsidR="00000000" w:rsidRPr="00000000">
        <w:rPr>
          <w:rFonts w:ascii="Times New Roman" w:cs="Times New Roman" w:eastAsia="Times New Roman" w:hAnsi="Times New Roman"/>
          <w:i w:val="1"/>
          <w:sz w:val="20"/>
          <w:szCs w:val="20"/>
          <w:rtl w:val="0"/>
        </w:rPr>
        <w:t xml:space="preserve"> </w:t>
      </w:r>
      <w:hyperlink r:id="rId7">
        <w:r w:rsidDel="00000000" w:rsidR="00000000" w:rsidRPr="00000000">
          <w:rPr>
            <w:rFonts w:ascii="Times New Roman" w:cs="Times New Roman" w:eastAsia="Times New Roman" w:hAnsi="Times New Roman"/>
            <w:i w:val="1"/>
            <w:color w:val="1155cc"/>
            <w:sz w:val="20"/>
            <w:szCs w:val="20"/>
            <w:u w:val="single"/>
            <w:vertAlign w:val="superscript"/>
            <w:rtl w:val="0"/>
          </w:rPr>
          <w:t xml:space="preserve">2</w:t>
        </w:r>
      </w:hyperlink>
      <w:hyperlink r:id="rId8">
        <w:r w:rsidDel="00000000" w:rsidR="00000000" w:rsidRPr="00000000">
          <w:rPr>
            <w:rFonts w:ascii="Times New Roman" w:cs="Times New Roman" w:eastAsia="Times New Roman" w:hAnsi="Times New Roman"/>
            <w:i w:val="1"/>
            <w:color w:val="1155cc"/>
            <w:sz w:val="20"/>
            <w:szCs w:val="20"/>
            <w:u w:val="single"/>
            <w:rtl w:val="0"/>
          </w:rPr>
          <w:t xml:space="preserve">miftah0502232087@uinsu.ac.id</w:t>
        </w:r>
      </w:hyperlink>
      <w:r w:rsidDel="00000000" w:rsidR="00000000" w:rsidRPr="00000000">
        <w:rPr>
          <w:rFonts w:ascii="Times New Roman" w:cs="Times New Roman" w:eastAsia="Times New Roman" w:hAnsi="Times New Roman"/>
          <w:i w:val="1"/>
          <w:sz w:val="20"/>
          <w:szCs w:val="20"/>
          <w:rtl w:val="0"/>
        </w:rPr>
        <w:t xml:space="preserve"> </w:t>
      </w:r>
      <w:hyperlink r:id="rId9">
        <w:r w:rsidDel="00000000" w:rsidR="00000000" w:rsidRPr="00000000">
          <w:rPr>
            <w:rFonts w:ascii="Times New Roman" w:cs="Times New Roman" w:eastAsia="Times New Roman" w:hAnsi="Times New Roman"/>
            <w:i w:val="1"/>
            <w:color w:val="1155cc"/>
            <w:sz w:val="20"/>
            <w:szCs w:val="20"/>
            <w:u w:val="single"/>
            <w:vertAlign w:val="superscript"/>
            <w:rtl w:val="0"/>
          </w:rPr>
          <w:t xml:space="preserve">3</w:t>
        </w:r>
      </w:hyperlink>
      <w:hyperlink r:id="rId10">
        <w:r w:rsidDel="00000000" w:rsidR="00000000" w:rsidRPr="00000000">
          <w:rPr>
            <w:rFonts w:ascii="Times New Roman" w:cs="Times New Roman" w:eastAsia="Times New Roman" w:hAnsi="Times New Roman"/>
            <w:i w:val="1"/>
            <w:color w:val="1155cc"/>
            <w:sz w:val="20"/>
            <w:szCs w:val="20"/>
            <w:u w:val="single"/>
            <w:rtl w:val="0"/>
          </w:rPr>
          <w:t xml:space="preserve">muhammad0502232141@uinsu.ac.id</w:t>
        </w:r>
      </w:hyperlink>
      <w:r w:rsidDel="00000000" w:rsidR="00000000" w:rsidRPr="00000000">
        <w:rPr>
          <w:rFonts w:ascii="Times New Roman" w:cs="Times New Roman" w:eastAsia="Times New Roman" w:hAnsi="Times New Roman"/>
          <w:i w:val="1"/>
          <w:sz w:val="20"/>
          <w:szCs w:val="20"/>
          <w:rtl w:val="0"/>
        </w:rPr>
        <w:t xml:space="preserve">  </w:t>
      </w:r>
      <w:hyperlink r:id="rId11">
        <w:r w:rsidDel="00000000" w:rsidR="00000000" w:rsidRPr="00000000">
          <w:rPr>
            <w:rFonts w:ascii="Times New Roman" w:cs="Times New Roman" w:eastAsia="Times New Roman" w:hAnsi="Times New Roman"/>
            <w:i w:val="1"/>
            <w:color w:val="1155cc"/>
            <w:sz w:val="20"/>
            <w:szCs w:val="20"/>
            <w:u w:val="single"/>
            <w:vertAlign w:val="superscript"/>
            <w:rtl w:val="0"/>
          </w:rPr>
          <w:t xml:space="preserve">4</w:t>
        </w:r>
      </w:hyperlink>
      <w:hyperlink r:id="rId12">
        <w:r w:rsidDel="00000000" w:rsidR="00000000" w:rsidRPr="00000000">
          <w:rPr>
            <w:rFonts w:ascii="Times New Roman" w:cs="Times New Roman" w:eastAsia="Times New Roman" w:hAnsi="Times New Roman"/>
            <w:i w:val="1"/>
            <w:color w:val="1155cc"/>
            <w:sz w:val="20"/>
            <w:szCs w:val="20"/>
            <w:u w:val="single"/>
            <w:rtl w:val="0"/>
          </w:rPr>
          <w:t xml:space="preserve">yenni.samri@uinsu.ac.id</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bl>
      <w:tblPr>
        <w:tblStyle w:val="Table1"/>
        <w:tblW w:w="8896.0" w:type="dxa"/>
        <w:jc w:val="left"/>
        <w:tblInd w:w="-6.999999999999993" w:type="dxa"/>
        <w:tblBorders>
          <w:top w:color="000000" w:space="0" w:sz="4" w:val="single"/>
          <w:bottom w:color="000000" w:space="0" w:sz="4" w:val="single"/>
          <w:insideH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10">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11">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2">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9">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A">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Fonts w:ascii="Times New Roman" w:cs="Times New Roman" w:eastAsia="Times New Roman" w:hAnsi="Times New Roman"/>
                <w:i w:val="1"/>
                <w:sz w:val="20"/>
                <w:szCs w:val="20"/>
                <w:rtl w:val="0"/>
              </w:rPr>
              <w:t xml:space="preserve">Penelitian ini bertujuan untuk mengevaluasi pengaruh tingkat pengangguran terhadap kesejahteraan masyarakat di Indonesia dengan menggunakan indikator kemiskinan, Indeks Pembangunan Manusia (IPM), dan tingkat kriminalitas. Dengan pendekatan deskriptif kuantitatif dan data sekunder dari Badan Pusat Statistik serta Pusiknas Polri, penelitian ini menganalisis tren nasional dan provinsi dari tahun 2023 hingga proyeksi 2025. Hasil penelitian menunjukkan bahwa secara nasional, penurunan Tingkat Pengangguran Terbuka (TPT) beriringan dengan menurunnya tingkat kemiskinan dan kriminalitas. Namun, pada tingkat provinsi terdapat anomali, seperti di Papua Pegunungan dan Papua Tengah, di mana TPT rendah namun angka kemiskinan tinggi dan IPM rendah. Hal ini menegaskan bahwa kualitas pekerjaan, akses layanan dasar, serta pemerataan pembangunan merupakan elemen penting dalam meningkatkan kesejahteraan masyarakat. Penelitian ini merekomendasikan pendekatan kebijakan yang lebih komprehensif dalam mengatasi pengangguran, tidak hanya dari sisi kuantitas, tetapi juga kualitas dan dampak sosial-ekonominya.</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1"/>
                <w:sz w:val="16"/>
                <w:szCs w:val="16"/>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Katakunci: </w:t>
            </w:r>
            <w:r w:rsidDel="00000000" w:rsidR="00000000" w:rsidRPr="00000000">
              <w:rPr>
                <w:rFonts w:ascii="Cambria" w:cs="Cambria" w:eastAsia="Cambria" w:hAnsi="Cambria"/>
                <w:i w:val="1"/>
                <w:sz w:val="16"/>
                <w:szCs w:val="16"/>
                <w:rtl w:val="0"/>
              </w:rPr>
              <w:t xml:space="preserve">Pengangguran, Kesejahteraan Masyarakat, Kemiskinan, Indeks Pembangunan Manusia, Kriminalitas.</w:t>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This study aims to evaluate the impact of unemployment on community welfare in Indonesia by examining indicators such as poverty rates, the Human Development Index (HDI), and crime rates. Using a descriptive quantitative approach and secondary data from the Central Bureau of Statistics (BPS) and the National Crime Study Center (Pusiknas Polri), the research analyzes national and provincial trends from 2023 to the projected data of 2025. The findings indicate that a decrease in the Open Unemployment Rate (OUR) at the national level is accompanied by a reduction in poverty and crime rates. However, at the provincial level, paradoxical cases are observed — such as in Highland Papua and Central Papua — where low unemployment coincides with high poverty and low HDI. These findings highlight that job quality, access to basic services, and equitable development are critical to improving societal welfare. The study recommends comprehensive policy approaches that focus not only on reducing unemployment but also on enhancing the overall quality of life.</w:t>
            </w:r>
          </w:p>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1"/>
                <w:sz w:val="16"/>
                <w:szCs w:val="16"/>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 </w:t>
            </w:r>
            <w:r w:rsidDel="00000000" w:rsidR="00000000" w:rsidRPr="00000000">
              <w:rPr>
                <w:rFonts w:ascii="Cambria" w:cs="Cambria" w:eastAsia="Cambria" w:hAnsi="Cambria"/>
                <w:i w:val="1"/>
                <w:sz w:val="16"/>
                <w:szCs w:val="16"/>
                <w:rtl w:val="0"/>
              </w:rPr>
              <w:t xml:space="preserve">Unemployment, Community Welfare, Poverty, Human Development Index, Crime Rate</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8">
      <w:pPr>
        <w:spacing w:after="0" w:line="240" w:lineRule="auto"/>
        <w:rPr/>
        <w:sectPr>
          <w:headerReference r:id="rId13" w:type="default"/>
          <w:footerReference r:id="rId14"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Pengangguran merupakan salah satu permasalahan utama yang dihadapi oleh banyak negara berkembang, termasuk Indonesia. Kondisi ini tidak hanya berdampak pada individu yang kehilangan pekerjaan, tetapi juga memiliki implikasi luas terhadap masyarakat dan perekonomian nasional. Pengangguran yang tinggi dapat menyebabkan penurunan pendapatan, peningkatan kemiskinan, dan penurunan kualitas hidup masyarakat.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kesejahteraan masyarakat menjadi indikator penting dalam menilai keberhasilan pembangunan suatu negara. Kesejahteraan ini dapat dilihat melalui indikator seperti tingkat kemiskinan dan Indeks Pembangunan Manusia (IPM). Namun, hubungan antara pengangguran dan kesejahteraan tidak selalu linier. Fenomena seperti rendahnya pengangguran tetapi tetap tingginya kemiskinan di beberapa daerah menunjukkan adanya faktor-faktor lain yang turut mempengaruhi.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Tulisan ini berfokus pada upaya mengkaji secara lebih mendalam bagaimana pengangguran mempengaruhi kesejahteraan masyarakat di Indonesia, baik secara nasional maupun provinsi. Dengan memahami hubungan ini, diharapkan dapat dirumuskan kebijakan yang lebih efektif dalam mengatasi pengangguran dan meningkatkan kesejahteraan masyarakat secara berkelanjutan.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METODOLOGI PENELITIAN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ini menggunakan pendekatan deskriptif kuantitatif dengan memanfaatkan data sekunder yang diperoleh dari Badan Pusat Statistik (BPS). Fokus utama adalah menganalisis hubungan antara tingkat pengangguran dengan indikator kesejahteraan masyarakat, yaitu tingkat kemiskinan dan Indeks Pembangunan Manusia (IPM) di Indonesia.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Populasi dalam kajian ini mencakup seluruh provinsi di Indonesia. Sampel yang dianalisis adalah data agregat provinsi selama periode tahun 2023 hingga proyeksi 2025. Data dikumpulkan melalui dokumentasi dari laporan resmi BPS, termasuk data Tingkat Pengangguran Terbuka (TPT), kemiskinan, IPM, tingkat kriminalitas.</w:t>
      </w:r>
    </w:p>
    <w:p w:rsidR="00000000" w:rsidDel="00000000" w:rsidP="00000000" w:rsidRDefault="00000000" w:rsidRPr="00000000" w14:paraId="00000033">
      <w:pPr>
        <w:spacing w:after="0" w:lineRule="auto"/>
        <w:ind w:left="284" w:hanging="28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Variabel Operasional :</w:t>
      </w:r>
    </w:p>
    <w:p w:rsidR="00000000" w:rsidDel="00000000" w:rsidP="00000000" w:rsidRDefault="00000000" w:rsidRPr="00000000" w14:paraId="00000034">
      <w:pPr>
        <w:spacing w:after="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Variabel independent</w:t>
        <w:tab/>
        <w:t xml:space="preserve">:</w:t>
      </w:r>
      <w:r w:rsidDel="00000000" w:rsidR="00000000" w:rsidRPr="00000000">
        <w:rPr>
          <w:rFonts w:ascii="Times New Roman" w:cs="Times New Roman" w:eastAsia="Times New Roman" w:hAnsi="Times New Roman"/>
          <w:rtl w:val="0"/>
        </w:rPr>
        <w:t xml:space="preserve"> Tingkat Pengangguran Terbuka (TPT).</w:t>
        <w:tab/>
        <w:tab/>
        <w:tab/>
        <w:t xml:space="preserve"> </w:t>
      </w:r>
    </w:p>
    <w:p w:rsidR="00000000" w:rsidDel="00000000" w:rsidP="00000000" w:rsidRDefault="00000000" w:rsidRPr="00000000" w14:paraId="00000035">
      <w:pPr>
        <w:spacing w:after="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Variabel dependen</w:t>
        <w:tab/>
        <w:t xml:space="preserve">:</w:t>
      </w:r>
      <w:r w:rsidDel="00000000" w:rsidR="00000000" w:rsidRPr="00000000">
        <w:rPr>
          <w:rFonts w:ascii="Times New Roman" w:cs="Times New Roman" w:eastAsia="Times New Roman" w:hAnsi="Times New Roman"/>
          <w:rtl w:val="0"/>
        </w:rPr>
        <w:t xml:space="preserve"> Tingkat kemisikinan dan Indeks Pembangunan Manusia (IPM), tingkat kriminalitas.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Data dianalisis secara deskriptif kuantitatif untuk melihat tren dan korelasi antar variabel. Analisis dilakukan dengan memetakan hubungan antara TPT terhadap indicator kesejahteraan, baik secara nasional maupun per provinsi. Selain itu, visualisasi data digunakan untuk memperjelas pola yang terjadi antar wilayah.</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Tabel 1.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4040.00000000000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666666666667"/>
        <w:gridCol w:w="1346.666666666667"/>
        <w:gridCol w:w="1346.666666666667"/>
        <w:tblGridChange w:id="0">
          <w:tblGrid>
            <w:gridCol w:w="1346.666666666667"/>
            <w:gridCol w:w="1346.666666666667"/>
            <w:gridCol w:w="134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TPT (feb)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Kemiskinan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dari Badan Pusat Statistik (BPS) menunjukkan bahwa Tingkat Pengangguran Terbuka (TPT) di Indonesia mengalami penurunan konsisten selama tiga tahun terakhir. Pada Februari 2023, TPT tercatat sebesar 5,45%, turun menjadi 4,82% pada Februari 2024, dan diperkirakan akan menurun lagi menjadi 4,76% pada tahun 2025. Seiring dengan tren tersebut, tingkat kemiskinan juga menunjukkan penurunan, dari 9,36% pada Maret 2023 menjadi 9,03% pada Maret 2024. Meskipun angka kemiskinan 2025 belum tersedia, kecenderungan data sebelumnya memungkinkan untuk memprediksi bahwa jika tren penurunan pengangguran berlanjut, maka kemiskinan juga akan ikut menurun. Penurunan TPT merupakan indikator positif dalam perekonomian nasional. Hal ini mencerminkan peningkatan kemampuan pasar tenaga kerja dalam menyerap angkatan kerja baru, baik melalui penciptaan lapangan kerja di sektor formal maupun informal. Ketika jumlah orang yang bekerja meningkat, maka pendapatan rumah tangga juga cenderung meningkat, sehingga mengurangi kemungkinan mereka jatuh dalam kemiskinan.`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Tabel 2.</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3"/>
        <w:tblW w:w="4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
        <w:gridCol w:w="1010"/>
        <w:gridCol w:w="1010"/>
        <w:gridCol w:w="1010"/>
        <w:tblGridChange w:id="0">
          <w:tblGrid>
            <w:gridCol w:w="1010"/>
            <w:gridCol w:w="1010"/>
            <w:gridCol w:w="1010"/>
            <w:gridCol w:w="1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Kemiskinan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Papua Pegunungan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Papua Tengah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DKI Jakarta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Yogyakarta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80,64</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Pengangguran Terbuka (TPT) di Papua Pegunungan dan Papua Tengah tergolong sangat rendah, masing-masing hanya 1,32% dan 2,49%. Namun, keduanya memiliki tingkat kemiskinan yang sangat tinggi, yaitu 32,97% dan 29,76%. Ini merupakan salah satu contoh nyata dari “paradoks statistik tenaga kerja”, di mana tingkat pengangguran rendah tidak selalu menunjukkan kesejahteraan. DKI Jakarta, sebagai pusat pemerintahan dan ekonomi Indonesia, mencatat TPT tertinggi dari data ini, yaitu 6,87%, tetapi memiliki tingkat kemiskinan yang sangat rendah, hanya 4,30%, dan IPM yang tinggi, 84,15. Yogyakarta mencatat TPT 4,36%, kemiskinan 11,04%, dan IPM yang tinggi (80,64). Provinsi ini memiliki keseimbangan antara kualitas hidup dan tantangan ekonomi. Berikut adalah grafik yang menunjukkan hubungan antara Tingkat Pengangguran Terbuka.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grafik yang menunjukkan hubungan antara Tingkat Pengangguran Terbuka (TPT) dan Tingkat Kemiskinan di Indonesia dari tahun 2023 hingga 2025:</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360" w:lineRule="auto"/>
        <w:ind w:right="16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165343" cy="1801657"/>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65343" cy="180165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Titik-titik data menunjukkan bahwa sebagian besar provinsi dengan TPT tinggi juga memiliki tingkat kemiskinan yang tinggi. Namun, ada outlier seperti Papua yang menunjukkan TPT rendah tetapi kemiskinan tinggi, yang menunjukkan bahwa faktor kualitas pekerjaan dan akses pembangunan juga berpengaruh besar terhadap kesejahteraan. Terlihat bahwa semakin rendah TPT, maka kemiskinan juga cenderung menurun, menunjukkan adanya hubungan positif antara kedua variabel.</w:t>
      </w:r>
    </w:p>
    <w:p w:rsidR="00000000" w:rsidDel="00000000" w:rsidP="00000000" w:rsidRDefault="00000000" w:rsidRPr="00000000" w14:paraId="0000006B">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Indeks Pembangunan Manusia (IPM) adalah ukuran yang digunakan untuk menilai keberhasilan pembangunan jangka panjang dalam tiga dimensi dasar: umur panjang dan hidup sehat, pengetahuan, dan standar hidup layak. Tingginya pengangguran dan kemiskinan cenderung menurunkan IPM karena:</w:t>
      </w:r>
    </w:p>
    <w:p w:rsidR="00000000" w:rsidDel="00000000" w:rsidP="00000000" w:rsidRDefault="00000000" w:rsidRPr="00000000" w14:paraId="0000006D">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Indeks Pembangunan Manusia (IPM) adalah ukuran yang digunakan untuk menilai keberhasilan pembangunan jangka panjang dalam tiga dimensi dasar: umur panjang dan hidup sehat, pengetahuan, dan standar hidup layak. Tingginya pengangguran dan kemiskinan cenderung menurunkan IPM karena penduduk miskin cenderung memiliki akses terbatas ke pelayanan kesehatan dan pendidikan dan pengangguran mengurangi daya beli dan mempengaruhi kemampuan untuk membiayai kehidupan yang layak.</w:t>
      </w:r>
    </w:p>
    <w:p w:rsidR="00000000" w:rsidDel="00000000" w:rsidP="00000000" w:rsidRDefault="00000000" w:rsidRPr="00000000" w14:paraId="0000006E">
      <w:pPr>
        <w:spacing w:after="0" w:line="360" w:lineRule="auto"/>
        <w:ind w:right="16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Tabel 3.</w:t>
      </w:r>
    </w:p>
    <w:tbl>
      <w:tblPr>
        <w:tblStyle w:val="Table4"/>
        <w:tblW w:w="4211.9997991561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9999171733893"/>
        <w:gridCol w:w="2474.999881982809"/>
        <w:tblGridChange w:id="0">
          <w:tblGrid>
            <w:gridCol w:w="1736.9999171733893"/>
            <w:gridCol w:w="2474.999881982809"/>
          </w:tblGrid>
        </w:tblGridChange>
      </w:tblGrid>
      <w:tr>
        <w:trPr>
          <w:cantSplit w:val="0"/>
          <w:tblHeader w:val="0"/>
        </w:trPr>
        <w:tc>
          <w:tcPr/>
          <w:p w:rsidR="00000000" w:rsidDel="00000000" w:rsidP="00000000" w:rsidRDefault="00000000" w:rsidRPr="00000000" w14:paraId="0000006F">
            <w:pPr>
              <w:spacing w:line="360" w:lineRule="auto"/>
              <w:ind w:right="16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Bulan/Tahun</w:t>
            </w:r>
          </w:p>
        </w:tc>
        <w:tc>
          <w:tcPr/>
          <w:p w:rsidR="00000000" w:rsidDel="00000000" w:rsidP="00000000" w:rsidRDefault="00000000" w:rsidRPr="00000000" w14:paraId="00000070">
            <w:pPr>
              <w:spacing w:line="360" w:lineRule="auto"/>
              <w:ind w:right="16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Jumlah Kasus Kriminalitas</w:t>
            </w:r>
          </w:p>
        </w:tc>
      </w:tr>
      <w:tr>
        <w:trPr>
          <w:cantSplit w:val="0"/>
          <w:tblHeader w:val="0"/>
        </w:trPr>
        <w:tc>
          <w:tcPr/>
          <w:p w:rsidR="00000000" w:rsidDel="00000000" w:rsidP="00000000" w:rsidRDefault="00000000" w:rsidRPr="00000000" w14:paraId="00000071">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2023</w:t>
            </w:r>
          </w:p>
        </w:tc>
        <w:tc>
          <w:tcPr/>
          <w:p w:rsidR="00000000" w:rsidDel="00000000" w:rsidP="00000000" w:rsidRDefault="00000000" w:rsidRPr="00000000" w14:paraId="00000072">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36.945</w:t>
            </w:r>
          </w:p>
        </w:tc>
      </w:tr>
      <w:tr>
        <w:trPr>
          <w:cantSplit w:val="0"/>
          <w:tblHeader w:val="0"/>
        </w:trPr>
        <w:tc>
          <w:tcPr/>
          <w:p w:rsidR="00000000" w:rsidDel="00000000" w:rsidP="00000000" w:rsidRDefault="00000000" w:rsidRPr="00000000" w14:paraId="00000073">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2023</w:t>
            </w:r>
          </w:p>
        </w:tc>
        <w:tc>
          <w:tcPr/>
          <w:p w:rsidR="00000000" w:rsidDel="00000000" w:rsidP="00000000" w:rsidRDefault="00000000" w:rsidRPr="00000000" w14:paraId="00000074">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35.491</w:t>
            </w:r>
          </w:p>
        </w:tc>
      </w:tr>
      <w:tr>
        <w:trPr>
          <w:cantSplit w:val="0"/>
          <w:tblHeader w:val="0"/>
        </w:trPr>
        <w:tc>
          <w:tcPr/>
          <w:p w:rsidR="00000000" w:rsidDel="00000000" w:rsidP="00000000" w:rsidRDefault="00000000" w:rsidRPr="00000000" w14:paraId="00000075">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2023</w:t>
            </w:r>
          </w:p>
        </w:tc>
        <w:tc>
          <w:tcPr/>
          <w:p w:rsidR="00000000" w:rsidDel="00000000" w:rsidP="00000000" w:rsidRDefault="00000000" w:rsidRPr="00000000" w14:paraId="00000076">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39.451</w:t>
            </w:r>
          </w:p>
        </w:tc>
      </w:tr>
      <w:tr>
        <w:trPr>
          <w:cantSplit w:val="0"/>
          <w:tblHeader w:val="0"/>
        </w:trPr>
        <w:tc>
          <w:tcPr/>
          <w:p w:rsidR="00000000" w:rsidDel="00000000" w:rsidP="00000000" w:rsidRDefault="00000000" w:rsidRPr="00000000" w14:paraId="00000077">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2023</w:t>
            </w:r>
          </w:p>
        </w:tc>
        <w:tc>
          <w:tcPr/>
          <w:p w:rsidR="00000000" w:rsidDel="00000000" w:rsidP="00000000" w:rsidRDefault="00000000" w:rsidRPr="00000000" w14:paraId="00000078">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32.735</w:t>
            </w:r>
          </w:p>
        </w:tc>
      </w:tr>
      <w:tr>
        <w:trPr>
          <w:cantSplit w:val="0"/>
          <w:tblHeader w:val="0"/>
        </w:trPr>
        <w:tc>
          <w:tcPr/>
          <w:p w:rsidR="00000000" w:rsidDel="00000000" w:rsidP="00000000" w:rsidRDefault="00000000" w:rsidRPr="00000000" w14:paraId="00000079">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2023</w:t>
            </w:r>
          </w:p>
        </w:tc>
        <w:tc>
          <w:tcPr/>
          <w:p w:rsidR="00000000" w:rsidDel="00000000" w:rsidP="00000000" w:rsidRDefault="00000000" w:rsidRPr="00000000" w14:paraId="0000007A">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39.974</w:t>
            </w:r>
          </w:p>
        </w:tc>
      </w:tr>
      <w:tr>
        <w:trPr>
          <w:cantSplit w:val="0"/>
          <w:tblHeader w:val="0"/>
        </w:trPr>
        <w:tc>
          <w:tcPr/>
          <w:p w:rsidR="00000000" w:rsidDel="00000000" w:rsidP="00000000" w:rsidRDefault="00000000" w:rsidRPr="00000000" w14:paraId="0000007B">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2023</w:t>
            </w:r>
          </w:p>
        </w:tc>
        <w:tc>
          <w:tcPr/>
          <w:p w:rsidR="00000000" w:rsidDel="00000000" w:rsidP="00000000" w:rsidRDefault="00000000" w:rsidRPr="00000000" w14:paraId="0000007C">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36.475</w:t>
            </w:r>
          </w:p>
        </w:tc>
      </w:tr>
      <w:tr>
        <w:trPr>
          <w:cantSplit w:val="0"/>
          <w:tblHeader w:val="0"/>
        </w:trPr>
        <w:tc>
          <w:tcPr/>
          <w:p w:rsidR="00000000" w:rsidDel="00000000" w:rsidP="00000000" w:rsidRDefault="00000000" w:rsidRPr="00000000" w14:paraId="0000007D">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 2023</w:t>
            </w:r>
          </w:p>
        </w:tc>
        <w:tc>
          <w:tcPr/>
          <w:p w:rsidR="00000000" w:rsidDel="00000000" w:rsidP="00000000" w:rsidRDefault="00000000" w:rsidRPr="00000000" w14:paraId="0000007E">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37.030</w:t>
            </w:r>
          </w:p>
        </w:tc>
      </w:tr>
      <w:tr>
        <w:trPr>
          <w:cantSplit w:val="0"/>
          <w:tblHeader w:val="0"/>
        </w:trPr>
        <w:tc>
          <w:tcPr/>
          <w:p w:rsidR="00000000" w:rsidDel="00000000" w:rsidP="00000000" w:rsidRDefault="00000000" w:rsidRPr="00000000" w14:paraId="0000007F">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 2023</w:t>
            </w:r>
          </w:p>
        </w:tc>
        <w:tc>
          <w:tcPr/>
          <w:p w:rsidR="00000000" w:rsidDel="00000000" w:rsidP="00000000" w:rsidRDefault="00000000" w:rsidRPr="00000000" w14:paraId="00000080">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38.100</w:t>
            </w:r>
          </w:p>
        </w:tc>
      </w:tr>
      <w:tr>
        <w:trPr>
          <w:cantSplit w:val="0"/>
          <w:tblHeader w:val="0"/>
        </w:trPr>
        <w:tc>
          <w:tcPr/>
          <w:p w:rsidR="00000000" w:rsidDel="00000000" w:rsidP="00000000" w:rsidRDefault="00000000" w:rsidRPr="00000000" w14:paraId="00000081">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 2023</w:t>
            </w:r>
          </w:p>
        </w:tc>
        <w:tc>
          <w:tcPr/>
          <w:p w:rsidR="00000000" w:rsidDel="00000000" w:rsidP="00000000" w:rsidRDefault="00000000" w:rsidRPr="00000000" w14:paraId="00000082">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35.736</w:t>
            </w:r>
          </w:p>
        </w:tc>
      </w:tr>
      <w:tr>
        <w:trPr>
          <w:cantSplit w:val="0"/>
          <w:tblHeader w:val="0"/>
        </w:trPr>
        <w:tc>
          <w:tcPr/>
          <w:p w:rsidR="00000000" w:rsidDel="00000000" w:rsidP="00000000" w:rsidRDefault="00000000" w:rsidRPr="00000000" w14:paraId="00000083">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 2023</w:t>
            </w:r>
          </w:p>
        </w:tc>
        <w:tc>
          <w:tcPr/>
          <w:p w:rsidR="00000000" w:rsidDel="00000000" w:rsidP="00000000" w:rsidRDefault="00000000" w:rsidRPr="00000000" w14:paraId="00000084">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36.448</w:t>
            </w:r>
          </w:p>
        </w:tc>
      </w:tr>
      <w:tr>
        <w:trPr>
          <w:cantSplit w:val="0"/>
          <w:tblHeader w:val="0"/>
        </w:trPr>
        <w:tc>
          <w:tcPr/>
          <w:p w:rsidR="00000000" w:rsidDel="00000000" w:rsidP="00000000" w:rsidRDefault="00000000" w:rsidRPr="00000000" w14:paraId="00000085">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2023</w:t>
            </w:r>
          </w:p>
        </w:tc>
        <w:tc>
          <w:tcPr/>
          <w:p w:rsidR="00000000" w:rsidDel="00000000" w:rsidP="00000000" w:rsidRDefault="00000000" w:rsidRPr="00000000" w14:paraId="00000086">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34.754</w:t>
            </w:r>
          </w:p>
        </w:tc>
      </w:tr>
      <w:tr>
        <w:trPr>
          <w:cantSplit w:val="0"/>
          <w:tblHeader w:val="0"/>
        </w:trPr>
        <w:tc>
          <w:tcPr/>
          <w:p w:rsidR="00000000" w:rsidDel="00000000" w:rsidP="00000000" w:rsidRDefault="00000000" w:rsidRPr="00000000" w14:paraId="00000087">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2023</w:t>
            </w:r>
          </w:p>
        </w:tc>
        <w:tc>
          <w:tcPr/>
          <w:p w:rsidR="00000000" w:rsidDel="00000000" w:rsidP="00000000" w:rsidRDefault="00000000" w:rsidRPr="00000000" w14:paraId="00000088">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31.629</w:t>
            </w:r>
          </w:p>
        </w:tc>
      </w:tr>
      <w:tr>
        <w:trPr>
          <w:cantSplit w:val="0"/>
          <w:tblHeader w:val="0"/>
        </w:trPr>
        <w:tc>
          <w:tcPr/>
          <w:p w:rsidR="00000000" w:rsidDel="00000000" w:rsidP="00000000" w:rsidRDefault="00000000" w:rsidRPr="00000000" w14:paraId="00000089">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2024</w:t>
            </w:r>
          </w:p>
        </w:tc>
        <w:tc>
          <w:tcPr/>
          <w:p w:rsidR="00000000" w:rsidDel="00000000" w:rsidP="00000000" w:rsidRDefault="00000000" w:rsidRPr="00000000" w14:paraId="0000008A">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36.840</w:t>
            </w:r>
          </w:p>
        </w:tc>
      </w:tr>
      <w:tr>
        <w:trPr>
          <w:cantSplit w:val="0"/>
          <w:tblHeader w:val="0"/>
        </w:trPr>
        <w:tc>
          <w:tcPr/>
          <w:p w:rsidR="00000000" w:rsidDel="00000000" w:rsidP="00000000" w:rsidRDefault="00000000" w:rsidRPr="00000000" w14:paraId="0000008B">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2024</w:t>
            </w:r>
          </w:p>
        </w:tc>
        <w:tc>
          <w:tcPr/>
          <w:p w:rsidR="00000000" w:rsidDel="00000000" w:rsidP="00000000" w:rsidRDefault="00000000" w:rsidRPr="00000000" w14:paraId="0000008C">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31.365</w:t>
            </w:r>
          </w:p>
        </w:tc>
      </w:tr>
      <w:tr>
        <w:trPr>
          <w:cantSplit w:val="0"/>
          <w:tblHeader w:val="0"/>
        </w:trPr>
        <w:tc>
          <w:tcPr/>
          <w:p w:rsidR="00000000" w:rsidDel="00000000" w:rsidP="00000000" w:rsidRDefault="00000000" w:rsidRPr="00000000" w14:paraId="0000008D">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2024</w:t>
            </w:r>
          </w:p>
        </w:tc>
        <w:tc>
          <w:tcPr/>
          <w:p w:rsidR="00000000" w:rsidDel="00000000" w:rsidP="00000000" w:rsidRDefault="00000000" w:rsidRPr="00000000" w14:paraId="0000008E">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36.380</w:t>
            </w:r>
          </w:p>
        </w:tc>
      </w:tr>
      <w:tr>
        <w:trPr>
          <w:cantSplit w:val="0"/>
          <w:tblHeader w:val="0"/>
        </w:trPr>
        <w:tc>
          <w:tcPr/>
          <w:p w:rsidR="00000000" w:rsidDel="00000000" w:rsidP="00000000" w:rsidRDefault="00000000" w:rsidRPr="00000000" w14:paraId="0000008F">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2024</w:t>
            </w:r>
          </w:p>
        </w:tc>
        <w:tc>
          <w:tcPr/>
          <w:p w:rsidR="00000000" w:rsidDel="00000000" w:rsidP="00000000" w:rsidRDefault="00000000" w:rsidRPr="00000000" w14:paraId="00000090">
            <w:pPr>
              <w:spacing w:line="360" w:lineRule="auto"/>
              <w:ind w:right="16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25.113</w:t>
            </w:r>
          </w:p>
        </w:tc>
      </w:tr>
    </w:tbl>
    <w:p w:rsidR="00000000" w:rsidDel="00000000" w:rsidP="00000000" w:rsidRDefault="00000000" w:rsidRPr="00000000" w14:paraId="00000091">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yang dikutip dari Pusiknas Polri, berikut adalah jumlah kasus kejahatan nasional per bulan. Jenis kejahatan yang paling dominan sepanjang periode ini adalah Curat (Pencurian dengan Pemberatan), dengan angka tertinggi mencapai 10.000 kasus dalam sebulan (Maret–April 2023).</w:t>
      </w:r>
    </w:p>
    <w:p w:rsidR="00000000" w:rsidDel="00000000" w:rsidP="00000000" w:rsidRDefault="00000000" w:rsidRPr="00000000" w14:paraId="00000093">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Kenaikan kriminalitas pada bulan Maret dan Mei 2023 (di atas 39.000 kasus) terjadi pada saat Indonesia masih dalam tekanan ekonomi pasca-pandemi, dengan TPT nasional cukup tinggi (sekitar 5,45% menurut BPS). Mayoritas kasus adalah pencurian dengan pemberatan, jenis kejahatan yang biasanya dilakukan karena motif ekonomi. Pada saat kriminalitas turun drastis (April 2024 – 25.113 kasus), dapat diasumsikan ada peningkatan efektivitas penegakan hukum atau membaiknya kondisi ekonomi, termasuk kemungkinan turunnya TPT dan peningkatan lapangan kerja. </w:t>
      </w:r>
    </w:p>
    <w:p w:rsidR="00000000" w:rsidDel="00000000" w:rsidP="00000000" w:rsidRDefault="00000000" w:rsidRPr="00000000" w14:paraId="00000094">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Kesejahteraan masyarakat mencakup aspek ekonomi, sosial, dan keamanan. Naiknya kriminalitas khususnya kejahatan seperti Curat yang mencerminkan ketidakstabilan sosial dan ekonomi masyarakat. Tingkat pengangguran yang tinggi berkontribusi langsung. terhadap kemiskinan dan ketimpangan, dua faktor yang menurunkan kesejahteraan. Tingkat kriminalitas yang tinggi menimbulkan rasa tidak aman, menurunkan kualitas hidup, dan mempengaruhi iklim investasi serta produktivitas masyarakat. Hal ini sejalan dengan :</w:t>
      </w:r>
    </w:p>
    <w:p w:rsidR="00000000" w:rsidDel="00000000" w:rsidP="00000000" w:rsidRDefault="00000000" w:rsidRPr="00000000" w14:paraId="00000095">
      <w:pPr>
        <w:numPr>
          <w:ilvl w:val="0"/>
          <w:numId w:val="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Teori Strain Sosial dari Robert K. Merton yang menyatakan bahwa ketika individu tidak mampu mencapai tujuan-tujuan hidup yang diinginkan melalui jalur-jalur legal, maka mereka akan mencari jalan alternatif, termasuk tindakan kriminal Campedelli dkk, 2020). </w:t>
      </w:r>
    </w:p>
    <w:p w:rsidR="00000000" w:rsidDel="00000000" w:rsidP="00000000" w:rsidRDefault="00000000" w:rsidRPr="00000000" w14:paraId="00000096">
      <w:pPr>
        <w:numPr>
          <w:ilvl w:val="0"/>
          <w:numId w:val="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Teori Ekonomi Kejahatan oleh Gary Becker juga menyebutkan bahwa seseorang akan melakukan kejahatan jika manfaat yang diperoleh melebihi risiko hukuman (Astuti, 2025). Dalam konteks pengangguran, potensi kehilangan penghasilan bisa meningkatkan insentif untuk melakukan kejahatan, khususnya kejahatan yang bersifat ekonomi seperti pencurian.</w:t>
      </w:r>
    </w:p>
    <w:p w:rsidR="00000000" w:rsidDel="00000000" w:rsidP="00000000" w:rsidRDefault="00000000" w:rsidRPr="00000000" w14:paraId="00000097">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dari Pusiknas Polri menunjukkan bahwa kasus pencurian dengan pemberatan (Curat) adalah jenis kejahatan paling dominan dari Januari 2023 hingga April 2024. Kasus tertinggi terjadi pada Maret dan Mei 2023, ketika Indonesia juga masih mengalami tekanan ekonomi pasca-pandemi dan tingkat pengangguran yang cukup tinggi. Kesejahteraan masyarakat tidak hanya mencakup aspek ekonomi (pendapatan, kemiskinan), tetapi juga aspek sosial dan keamanan. Meningkatnya kriminalitas akibat pengangguran berkontribusi pada:</w:t>
      </w:r>
    </w:p>
    <w:p w:rsidR="00000000" w:rsidDel="00000000" w:rsidP="00000000" w:rsidRDefault="00000000" w:rsidRPr="00000000" w14:paraId="00000098">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Turunnya rasa aman masyarakat, yang berdampak pada kualitas hidup.</w:t>
      </w:r>
    </w:p>
    <w:p w:rsidR="00000000" w:rsidDel="00000000" w:rsidP="00000000" w:rsidRDefault="00000000" w:rsidRPr="00000000" w14:paraId="00000099">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Menurunnya iklim usaha dan investasi, yang kemudian memperburuk kondisi lapangan kerja. </w:t>
      </w:r>
    </w:p>
    <w:p w:rsidR="00000000" w:rsidDel="00000000" w:rsidP="00000000" w:rsidRDefault="00000000" w:rsidRPr="00000000" w14:paraId="0000009A">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biaya sosial dan ekonomi, seperti biaya keamanan, kerugian akibat pencurian, hingga trauma psikologis masyarakat.</w:t>
      </w:r>
    </w:p>
    <w:p w:rsidR="00000000" w:rsidDel="00000000" w:rsidP="00000000" w:rsidRDefault="00000000" w:rsidRPr="00000000" w14:paraId="0000009B">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Todaro dan Smith (2011), kesejahteraan masyarakat bergantung pada produktivitas tenaga kerja dan efisiensi ekonomi. Tingkat pengangguran yang tinggi mencerminkan inefisiensi pasar tenaga kerja, yang mengarah pada penurunan kualitas hidup dan peningkatan kemiskinan Berdasarkan data 2023–2024:</w:t>
      </w:r>
    </w:p>
    <w:p w:rsidR="00000000" w:rsidDel="00000000" w:rsidP="00000000" w:rsidRDefault="00000000" w:rsidRPr="00000000" w14:paraId="0000009C">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kejahatan (seperti di bulan Maret dan Mei 2023) terjadi ketika pengangguran masih tinggi dan kemiskinan belum menurun signifikan. </w:t>
      </w:r>
    </w:p>
    <w:p w:rsidR="00000000" w:rsidDel="00000000" w:rsidP="00000000" w:rsidRDefault="00000000" w:rsidRPr="00000000" w14:paraId="0000009D">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kriminalitas drastis pada April 2024 mungkin berhubungan dengan peningkatan efektivitas penegakan hukum atau stabilitas ekonomi, meskipun data pengangguran nasional 2024 perlu dipastikan secara statistik lebih lanjut.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bookmarkStart w:colFirst="0" w:colLast="0" w:name="_52nyfkwdinih" w:id="0"/>
      <w:bookmarkEnd w:id="0"/>
      <w:r w:rsidDel="00000000" w:rsidR="00000000" w:rsidRPr="00000000">
        <w:rPr>
          <w:rFonts w:ascii="Times New Roman" w:cs="Times New Roman" w:eastAsia="Times New Roman" w:hAnsi="Times New Roman"/>
          <w:rtl w:val="0"/>
        </w:rPr>
        <w:t xml:space="preserve">Penelitian ini menyoroti hubungan yang kompleks antara pengangguran dan kesejahteraan masyarakat di Indonesia, dengan mempertimbangkan indikator tingkat kemiskinan, Indeks Pembangunan Manusia (IPM), dan tingkat kriminalitas. Berdasarkan analisis data dari 2023 hingga proyeksi 2025, ditemukan bahwa secara nasional, penurunan Tingkat Pengangguran Terbuka (TPT) cenderung beriringan dengan penurunan tingkat kemiskinan dan menurunnya angka kriminalitas. Hal ini menunjukkan bahwa penurunan pengangguran dapat menjadi salah satu indikator perbaikan kondisi ekonomi masyarakat.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bookmarkStart w:colFirst="0" w:colLast="0" w:name="_lhy1u8n3j7zs" w:id="1"/>
      <w:bookmarkEnd w:id="1"/>
      <w:r w:rsidDel="00000000" w:rsidR="00000000" w:rsidRPr="00000000">
        <w:rPr>
          <w:rFonts w:ascii="Times New Roman" w:cs="Times New Roman" w:eastAsia="Times New Roman" w:hAnsi="Times New Roman"/>
          <w:rtl w:val="0"/>
        </w:rPr>
        <w:t xml:space="preserve">Namun, tketika dianalisis lebih lanjut pada tingkat provinsi, terdapat fenomena yang tidak selaras dengan tren nasional. Beberapa daerah, seperti Papua Pegunungan dan Papua Tengah, memperlihatkan TPT yang sangat rendah tetapi masih memiliki tingkat kemiskinan yang tinggi dan IPM yang rendah. Hal ini mengindikasikan bahwa keberadaan pekerjaan semata tidak cukup untuk menjamin peningkatan kesejahteraan masyarakat jika pekerjaan tersebut tidak layak, informal, atau tidak memberikan penghasilan yang cukup. Di sisi lain, provinsi seperti DKI Jakarta dan DI Yogyakarta menunjukkan bahwa keseimbangan antara ketersediaan pekerjaan, kualitas pendidikan, dan layanan dasar lainnya dapat menghasilkan IPM tinggi dan tingkat kemiskinan rendah meskipun TPT relatif tinggi.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bookmarkStart w:colFirst="0" w:colLast="0" w:name="_1nr6f037k7m9" w:id="2"/>
      <w:bookmarkEnd w:id="2"/>
      <w:r w:rsidDel="00000000" w:rsidR="00000000" w:rsidRPr="00000000">
        <w:rPr>
          <w:rFonts w:ascii="Times New Roman" w:cs="Times New Roman" w:eastAsia="Times New Roman" w:hAnsi="Times New Roman"/>
          <w:rtl w:val="0"/>
        </w:rPr>
        <w:t xml:space="preserve">Selain itu, keterkaitan antara pengangguran dan kriminalitas juga menjadi perhatian penting. Data menunjukkan bahwa tingginya angka pengangguran berkorelasi dengan meningkatnya kasus kejahatan, khususnya kejahatan bermotif ekonomi seperti pencurian dengan pemberatan (Curat). Hal ini sejalan dengan teori-teori sosiologis dan ekonomi yang menyatakan bahwa tekanan ekonomi akibat pengangguran dapat mendorong individu untuk melakukan tindakan kriminal sebagai alternatif pemenuhan kebutuhan hidup.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bookmarkStart w:colFirst="0" w:colLast="0" w:name="_spgcmex0m1wc" w:id="3"/>
      <w:bookmarkEnd w:id="3"/>
      <w:r w:rsidDel="00000000" w:rsidR="00000000" w:rsidRPr="00000000">
        <w:rPr>
          <w:rFonts w:ascii="Times New Roman" w:cs="Times New Roman" w:eastAsia="Times New Roman" w:hAnsi="Times New Roman"/>
          <w:rtl w:val="0"/>
        </w:rPr>
        <w:t xml:space="preserve">Temuan-temuan ini memberikan gambaran bahwa kesejahteraan masyarakat tidak hanya ditentukan oleh seberapa rendah tingkat pengangguran, tetapi juga oleh kualitas lapangan pekerjaan yang tersedia, pemerataan pembangunan antar wilayah, akses terhadap pendidikan dan kesehatan, serta stabilitas sosial. Maka dari itu, upaya pemerintah dalam menurunkan pengangguran harus dibarengi dengan kebijakan peningkatan kualitas kerja, pelatihan tenaga kerja, penyediaan layanan dasar yang memadai, dan penguatan sistem perlindungan sosial untuk kelompok rentan.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bookmarkStart w:colFirst="0" w:colLast="0" w:name="_ywh3hrd3a8ws" w:id="4"/>
      <w:bookmarkEnd w:id="4"/>
      <w:r w:rsidDel="00000000" w:rsidR="00000000" w:rsidRPr="00000000">
        <w:rPr>
          <w:rFonts w:ascii="Times New Roman" w:cs="Times New Roman" w:eastAsia="Times New Roman" w:hAnsi="Times New Roman"/>
          <w:rtl w:val="0"/>
        </w:rPr>
        <w:t xml:space="preserve">Dengan demikian, diperlukan pendekatan kebijakan yang lebih komprehensif dan lintas sektor yang tidak hanya fokus pada penciptaan lapangan kerja, tetapi juga mengintegrasikan aspek kualitas hidup secara menyeluruh. Hanya dengan cara ini tujuan pembangunan yang inklusif dan berkelanjutan dapat tercapai, serta kesejahteraan masyarakat Indonesia dapat meningkat secara merata.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UCAPAN TERIMA KASIH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Terima kasih saya ucapkan pada Allah SWT, teman-teman, Dosen dan keluarga  sekalian yang sudah membantu pembuatan jurnal ini dari awal hingga selesai, semoga jurnal ini bisa bermanfaat bagi banyak orang.</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Astuti, A. W., Hasanah Hasibuan, Z., Harahap, P. N., Simanjuntak, T. F. B., Zuhriadi, M., Hasanah, I., Syahrani, D., &amp; Pratama, L. S. (2025). Pengaruh pengangguran dan pendidikan terhadap tingkat kriminalitas dengan kemiskinan sebagai variabel intervening di Indonesia [Artikel jurnal]. TAMBORA: Jurnal Pendidikan dan Ekonomi, 9(1).</w:t>
      </w:r>
    </w:p>
    <w:p w:rsidR="00000000" w:rsidDel="00000000" w:rsidP="00000000" w:rsidRDefault="00000000" w:rsidRPr="00000000" w14:paraId="000000AE">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Becker, G. S. (1968). Crime and punishment: An economic approach. Journal of Political Economy, 76(2), 169–217. </w:t>
      </w:r>
    </w:p>
    <w:p w:rsidR="00000000" w:rsidDel="00000000" w:rsidP="00000000" w:rsidRDefault="00000000" w:rsidRPr="00000000" w14:paraId="000000AF">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BPS. (2024). Persentase Penduduk Miskin 2023–2024. diakses pada tanggal 1 Juni 2025 https://www.bps.go.id</w:t>
      </w:r>
    </w:p>
    <w:p w:rsidR="00000000" w:rsidDel="00000000" w:rsidP="00000000" w:rsidRDefault="00000000" w:rsidRPr="00000000" w14:paraId="000000B0">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BPS. (2024). Tingkat Pengangguran Terbuka 2023–2024. diakses pada tanggal 1 Juni 2025 https://www.bps.go.id </w:t>
      </w:r>
    </w:p>
    <w:p w:rsidR="00000000" w:rsidDel="00000000" w:rsidP="00000000" w:rsidRDefault="00000000" w:rsidRPr="00000000" w14:paraId="000000B1">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Campedelli, G. M., Aziani, A., &amp; Favarin, S. (2020). Disentangling community-level changes in crime trends during the COVID‑19 pandemic in Chicago. Crime Science, 9(21).</w:t>
      </w:r>
    </w:p>
    <w:p w:rsidR="00000000" w:rsidDel="00000000" w:rsidP="00000000" w:rsidRDefault="00000000" w:rsidRPr="00000000" w14:paraId="000000B2">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Mankiw, N. G. (2018). Principles of economics (8th ed.). Stamford, CT: Cengage Learning. </w:t>
      </w:r>
    </w:p>
    <w:p w:rsidR="00000000" w:rsidDel="00000000" w:rsidP="00000000" w:rsidRDefault="00000000" w:rsidRPr="00000000" w14:paraId="000000B3">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Pusat Studi Kejahatan Nasional (Pusiknas). (2024). Data Kejahatan Nasional 2023–2024. diakses pada tanggal 1 Juni 2025 https://pusiknas.polri.go.id/data_kejahatan</w:t>
      </w:r>
    </w:p>
    <w:p w:rsidR="00000000" w:rsidDel="00000000" w:rsidP="00000000" w:rsidRDefault="00000000" w:rsidRPr="00000000" w14:paraId="000000B4">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Sullivan, A., &amp; Sheffrin, S. M. (2018). Economics: Principles in action. Upper Saddle River, NJ: Pearson Education. </w:t>
      </w:r>
    </w:p>
    <w:p w:rsidR="00000000" w:rsidDel="00000000" w:rsidP="00000000" w:rsidRDefault="00000000" w:rsidRPr="00000000" w14:paraId="000000B5">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Todaro, M. P., &amp; Smith, S. C. (2011). Economic Development (11th ed.). Boston: Addison Wesley.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7" w:orient="portrait"/>
          <w:pgMar w:bottom="1418" w:top="1418" w:left="1701" w:right="1418" w:header="851" w:footer="737"/>
          <w:cols w:equalWidth="0" w:num="2">
            <w:col w:space="708" w:w="4040"/>
            <w:col w:space="0" w:w="4040"/>
          </w:cols>
        </w:sect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-97138</wp:posOffset>
              </wp:positionH>
              <wp:positionV relativeFrom="paragraph">
                <wp:posOffset>26670</wp:posOffset>
              </wp:positionV>
              <wp:extent cx="4248150" cy="409575"/>
              <wp:effectExtent b="9525" l="0" r="0" t="0"/>
              <wp:wrapNone/>
              <wp:docPr id="2" name=""/>
              <a:graphic>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0116" w:rsidDel="00000000" w:rsidP="003A0116" w:rsidRDefault="003A0116" w:rsidRPr="0052659B">
                          <w:pPr>
                            <w:rPr>
                              <w:rFonts w:ascii="Times New Roman" w:cs="Times New Roman" w:hAnsi="Times New Roman"/>
                            </w:rPr>
                          </w:pPr>
                          <w:r w:rsidDel="00000000" w:rsidR="00000000" w:rsidRPr="0052659B">
                            <w:rPr>
                              <w:rFonts w:ascii="Times New Roman" w:cs="Times New Roman" w:hAnsi="Times New Roman"/>
                            </w:rPr>
                            <w:t>http://univ-tridinanti.ac.id/ejournal/index.php/ekonomi/index</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-97138</wp:posOffset>
              </wp:positionH>
              <wp:positionV relativeFrom="paragraph">
                <wp:posOffset>26670</wp:posOffset>
              </wp:positionV>
              <wp:extent cx="4248150" cy="4191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248150"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-11416</wp:posOffset>
              </wp:positionH>
              <wp:positionV relativeFrom="paragraph">
                <wp:posOffset>-40625</wp:posOffset>
              </wp:positionV>
              <wp:extent cx="5657850" cy="635"/>
              <wp:effectExtent b="37465" l="0" r="19050" t="0"/>
              <wp:wrapNone/>
              <wp:docPr id="1" name=""/>
              <a:graphic>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-11416</wp:posOffset>
              </wp:positionH>
              <wp:positionV relativeFrom="paragraph">
                <wp:posOffset>-40625</wp:posOffset>
              </wp:positionV>
              <wp:extent cx="5676900" cy="381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76900" cy="38100"/>
                      </a:xfrm>
                      <a:prstGeom prst="rect"/>
                      <a:ln/>
                    </pic:spPr>
                  </pic:pic>
                </a:graphicData>
              </a:graphic>
            </wp:anchor>
          </w:drawing>
        </mc:Fallback>
      </mc:AlternateConten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Jurnal Riset Akuntansi Tridinanti (Jurnal Ratri), Vol. xy, No. xz, hal. XX – XX, Juni dan Desember,</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p-ISSN 2715-0208; e-ISSN 2827-9328</w:t>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-20942</wp:posOffset>
              </wp:positionH>
              <wp:positionV relativeFrom="paragraph">
                <wp:posOffset>92075</wp:posOffset>
              </wp:positionV>
              <wp:extent cx="5657850" cy="635"/>
              <wp:effectExtent b="37465" l="0" r="19050" t="0"/>
              <wp:wrapNone/>
              <wp:docPr id="3" name=""/>
              <a:graphic>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-20942</wp:posOffset>
              </wp:positionH>
              <wp:positionV relativeFrom="paragraph">
                <wp:posOffset>92075</wp:posOffset>
              </wp:positionV>
              <wp:extent cx="5676900" cy="3810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676900" cy="38100"/>
                      </a:xfrm>
                      <a:prstGeom prst="rect"/>
                      <a:ln/>
                    </pic:spPr>
                  </pic:pic>
                </a:graphicData>
              </a:graphic>
            </wp:anchor>
          </w:drawing>
        </mc:Fallback>
      </mc:AlternateConten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4yenni.samri@uinsu.ac.id" TargetMode="External"/><Relationship Id="rId10" Type="http://schemas.openxmlformats.org/officeDocument/2006/relationships/hyperlink" Target="mailto:3muhammad0502232141@uinsu.ac.id" TargetMode="External"/><Relationship Id="rId13" Type="http://schemas.openxmlformats.org/officeDocument/2006/relationships/header" Target="header1.xml"/><Relationship Id="rId12" Type="http://schemas.openxmlformats.org/officeDocument/2006/relationships/hyperlink" Target="mailto:4yenni.samri@uinsu.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3muhammad0502232141@uinsu.ac.id" TargetMode="External"/><Relationship Id="rId15"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arissa0502233187@uinsu.ac.id" TargetMode="External"/><Relationship Id="rId7" Type="http://schemas.openxmlformats.org/officeDocument/2006/relationships/hyperlink" Target="mailto:2miftah0502232087@uinsu.ac.id" TargetMode="External"/><Relationship Id="rId8" Type="http://schemas.openxmlformats.org/officeDocument/2006/relationships/hyperlink" Target="mailto:2miftah0502232087@uinsu.ac.i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