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PENGARUH PENGANGGURAN TERHADAP KESEJAHTERAAN </w:t>
      </w:r>
    </w:p>
    <w:p w14:paraId="00000002">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MASYARAKAT DI INDONESIA</w:t>
      </w:r>
    </w:p>
    <w:p w14:paraId="00000003">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sz w:val="24"/>
          <w:szCs w:val="24"/>
        </w:rPr>
      </w:pPr>
    </w:p>
    <w:p w14:paraId="00000004">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val="0"/>
          <w:smallCaps w:val="0"/>
          <w:strike w:val="0"/>
          <w:color w:val="000000"/>
          <w:sz w:val="28"/>
          <w:szCs w:val="28"/>
          <w:u w:val="none"/>
          <w:shd w:val="clear" w:fill="auto"/>
          <w:vertAlign w:val="baseline"/>
        </w:rPr>
      </w:pPr>
      <w:r>
        <w:rPr>
          <w:rFonts w:ascii="Times New Roman" w:hAnsi="Times New Roman" w:eastAsia="Times New Roman" w:cs="Times New Roman"/>
          <w:b/>
          <w:rtl w:val="0"/>
        </w:rPr>
        <w:t>Marissa Indah Puspita¹, Miftah Aulia Rizky², Muhammad Fajriansyah³, Yenni Samri Juliati Nasution⁴</w:t>
      </w:r>
    </w:p>
    <w:p w14:paraId="00000005">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18"/>
          <w:szCs w:val="18"/>
          <w:u w:val="none"/>
          <w:shd w:val="clear" w:fill="auto"/>
          <w:vertAlign w:val="baseline"/>
        </w:rPr>
      </w:pPr>
    </w:p>
    <w:p w14:paraId="00000006">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i/>
          <w:smallCaps w:val="0"/>
          <w:strike w:val="0"/>
          <w:color w:val="000000"/>
          <w:sz w:val="20"/>
          <w:szCs w:val="20"/>
          <w:u w:val="none"/>
          <w:shd w:val="clear" w:fill="auto"/>
          <w:vertAlign w:val="baseline"/>
        </w:rPr>
      </w:pPr>
      <w:r>
        <w:rPr>
          <w:rFonts w:ascii="Times New Roman" w:hAnsi="Times New Roman" w:eastAsia="Times New Roman" w:cs="Times New Roman"/>
          <w:i/>
          <w:smallCaps w:val="0"/>
          <w:strike w:val="0"/>
          <w:color w:val="000000"/>
          <w:sz w:val="20"/>
          <w:szCs w:val="20"/>
          <w:u w:val="none"/>
          <w:shd w:val="clear" w:fill="auto"/>
          <w:vertAlign w:val="superscript"/>
          <w:rtl w:val="0"/>
        </w:rPr>
        <w:t>1</w:t>
      </w:r>
      <w:r>
        <w:rPr>
          <w:rFonts w:ascii="Times New Roman" w:hAnsi="Times New Roman" w:eastAsia="Times New Roman" w:cs="Times New Roman"/>
          <w:i/>
          <w:sz w:val="20"/>
          <w:szCs w:val="20"/>
          <w:vertAlign w:val="superscript"/>
          <w:rtl w:val="0"/>
        </w:rPr>
        <w:t>234</w:t>
      </w:r>
      <w:r>
        <w:rPr>
          <w:rFonts w:ascii="Times New Roman" w:hAnsi="Times New Roman" w:eastAsia="Times New Roman" w:cs="Times New Roman"/>
          <w:i/>
          <w:sz w:val="20"/>
          <w:szCs w:val="20"/>
          <w:rtl w:val="0"/>
        </w:rPr>
        <w:t>Akuntansi Syariah</w:t>
      </w:r>
      <w:r>
        <w:rPr>
          <w:rFonts w:ascii="Times New Roman" w:hAnsi="Times New Roman" w:eastAsia="Times New Roman" w:cs="Times New Roman"/>
          <w:i/>
          <w:smallCaps w:val="0"/>
          <w:strike w:val="0"/>
          <w:color w:val="000000"/>
          <w:sz w:val="20"/>
          <w:szCs w:val="20"/>
          <w:u w:val="none"/>
          <w:shd w:val="clear" w:fill="auto"/>
          <w:vertAlign w:val="baseline"/>
          <w:rtl w:val="0"/>
        </w:rPr>
        <w:t>, Universitas Islam Negeri Sumatera Utara,</w:t>
      </w:r>
      <w:r>
        <w:rPr>
          <w:rFonts w:ascii="Times New Roman" w:hAnsi="Times New Roman" w:eastAsia="Times New Roman" w:cs="Times New Roman"/>
          <w:i/>
          <w:sz w:val="20"/>
          <w:szCs w:val="20"/>
          <w:rtl w:val="0"/>
        </w:rPr>
        <w:t xml:space="preserve"> Indonesia</w:t>
      </w:r>
      <w:r>
        <w:rPr>
          <w:rFonts w:ascii="Times New Roman" w:hAnsi="Times New Roman" w:eastAsia="Times New Roman" w:cs="Times New Roman"/>
          <w:i/>
          <w:smallCaps w:val="0"/>
          <w:strike w:val="0"/>
          <w:color w:val="000000"/>
          <w:sz w:val="20"/>
          <w:szCs w:val="20"/>
          <w:u w:val="none"/>
          <w:shd w:val="clear" w:fill="auto"/>
          <w:vertAlign w:val="baseline"/>
          <w:rtl w:val="0"/>
        </w:rPr>
        <w:t xml:space="preserve"> </w:t>
      </w:r>
    </w:p>
    <w:p w14:paraId="00000007">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i/>
          <w:smallCaps w:val="0"/>
          <w:strike w:val="0"/>
          <w:color w:val="000000"/>
          <w:sz w:val="20"/>
          <w:szCs w:val="20"/>
          <w:u w:val="none"/>
          <w:shd w:val="clear" w:fill="auto"/>
          <w:vertAlign w:val="baseline"/>
        </w:rPr>
      </w:pPr>
      <w:r>
        <w:rPr>
          <w:rFonts w:ascii="Times New Roman" w:hAnsi="Times New Roman" w:eastAsia="Times New Roman" w:cs="Times New Roman"/>
          <w:i/>
          <w:smallCaps w:val="0"/>
          <w:strike w:val="0"/>
          <w:color w:val="000000"/>
          <w:sz w:val="20"/>
          <w:szCs w:val="20"/>
          <w:u w:val="none"/>
          <w:shd w:val="clear" w:fill="auto"/>
          <w:vertAlign w:val="superscript"/>
          <w:rtl w:val="0"/>
        </w:rPr>
        <w:t>1</w:t>
      </w:r>
      <w:r>
        <w:fldChar w:fldCharType="begin"/>
      </w:r>
      <w:r>
        <w:instrText xml:space="preserve"> HYPERLINK "mailto:marissa0502233187@uinsu.ac.id" \h </w:instrText>
      </w:r>
      <w:r>
        <w:fldChar w:fldCharType="separate"/>
      </w:r>
      <w:r>
        <w:rPr>
          <w:rFonts w:ascii="Times New Roman" w:hAnsi="Times New Roman" w:eastAsia="Times New Roman" w:cs="Times New Roman"/>
          <w:i/>
          <w:color w:val="1155CC"/>
          <w:sz w:val="20"/>
          <w:szCs w:val="20"/>
          <w:u w:val="single"/>
          <w:rtl w:val="0"/>
        </w:rPr>
        <w:t>marissa0502233187@uinsu.ac.id</w:t>
      </w:r>
      <w:r>
        <w:rPr>
          <w:rFonts w:ascii="Times New Roman" w:hAnsi="Times New Roman" w:eastAsia="Times New Roman" w:cs="Times New Roman"/>
          <w:i/>
          <w:color w:val="1155CC"/>
          <w:sz w:val="20"/>
          <w:szCs w:val="20"/>
          <w:u w:val="single"/>
          <w:rtl w:val="0"/>
        </w:rPr>
        <w:fldChar w:fldCharType="end"/>
      </w:r>
      <w:r>
        <w:rPr>
          <w:rFonts w:ascii="Times New Roman" w:hAnsi="Times New Roman" w:eastAsia="Times New Roman" w:cs="Times New Roman"/>
          <w:i/>
          <w:sz w:val="20"/>
          <w:szCs w:val="20"/>
          <w:rtl w:val="0"/>
        </w:rPr>
        <w:t xml:space="preserve"> </w:t>
      </w:r>
      <w:r>
        <w:fldChar w:fldCharType="begin"/>
      </w:r>
      <w:r>
        <w:instrText xml:space="preserve"> HYPERLINK "mailto:2miftah0502232087@uinsu.ac.id" \h </w:instrText>
      </w:r>
      <w:r>
        <w:fldChar w:fldCharType="separate"/>
      </w:r>
      <w:r>
        <w:rPr>
          <w:rFonts w:ascii="Times New Roman" w:hAnsi="Times New Roman" w:eastAsia="Times New Roman" w:cs="Times New Roman"/>
          <w:i/>
          <w:color w:val="1155CC"/>
          <w:sz w:val="20"/>
          <w:szCs w:val="20"/>
          <w:u w:val="single"/>
          <w:vertAlign w:val="superscript"/>
          <w:rtl w:val="0"/>
        </w:rPr>
        <w:t>2</w:t>
      </w:r>
      <w:r>
        <w:rPr>
          <w:rFonts w:ascii="Times New Roman" w:hAnsi="Times New Roman" w:eastAsia="Times New Roman" w:cs="Times New Roman"/>
          <w:i/>
          <w:color w:val="1155CC"/>
          <w:sz w:val="20"/>
          <w:szCs w:val="20"/>
          <w:u w:val="single"/>
          <w:vertAlign w:val="superscript"/>
          <w:rtl w:val="0"/>
        </w:rPr>
        <w:fldChar w:fldCharType="end"/>
      </w:r>
      <w:r>
        <w:fldChar w:fldCharType="begin"/>
      </w:r>
      <w:r>
        <w:instrText xml:space="preserve"> HYPERLINK "mailto:2miftah0502232087@uinsu.ac.id" \h </w:instrText>
      </w:r>
      <w:r>
        <w:fldChar w:fldCharType="separate"/>
      </w:r>
      <w:r>
        <w:rPr>
          <w:rFonts w:ascii="Times New Roman" w:hAnsi="Times New Roman" w:eastAsia="Times New Roman" w:cs="Times New Roman"/>
          <w:i/>
          <w:color w:val="1155CC"/>
          <w:sz w:val="20"/>
          <w:szCs w:val="20"/>
          <w:u w:val="single"/>
          <w:rtl w:val="0"/>
        </w:rPr>
        <w:t>miftah0502232087@uinsu.ac.id</w:t>
      </w:r>
      <w:r>
        <w:rPr>
          <w:rFonts w:ascii="Times New Roman" w:hAnsi="Times New Roman" w:eastAsia="Times New Roman" w:cs="Times New Roman"/>
          <w:i/>
          <w:color w:val="1155CC"/>
          <w:sz w:val="20"/>
          <w:szCs w:val="20"/>
          <w:u w:val="single"/>
          <w:rtl w:val="0"/>
        </w:rPr>
        <w:fldChar w:fldCharType="end"/>
      </w:r>
      <w:r>
        <w:rPr>
          <w:rFonts w:ascii="Times New Roman" w:hAnsi="Times New Roman" w:eastAsia="Times New Roman" w:cs="Times New Roman"/>
          <w:i/>
          <w:sz w:val="20"/>
          <w:szCs w:val="20"/>
          <w:rtl w:val="0"/>
        </w:rPr>
        <w:t xml:space="preserve"> </w:t>
      </w:r>
      <w:r>
        <w:fldChar w:fldCharType="begin"/>
      </w:r>
      <w:r>
        <w:instrText xml:space="preserve"> HYPERLINK "mailto:3muhammad0502232141@uinsu.ac.id" \h </w:instrText>
      </w:r>
      <w:r>
        <w:fldChar w:fldCharType="separate"/>
      </w:r>
      <w:r>
        <w:rPr>
          <w:rFonts w:ascii="Times New Roman" w:hAnsi="Times New Roman" w:eastAsia="Times New Roman" w:cs="Times New Roman"/>
          <w:i/>
          <w:color w:val="1155CC"/>
          <w:sz w:val="20"/>
          <w:szCs w:val="20"/>
          <w:u w:val="single"/>
          <w:vertAlign w:val="superscript"/>
          <w:rtl w:val="0"/>
        </w:rPr>
        <w:t>3</w:t>
      </w:r>
      <w:r>
        <w:rPr>
          <w:rFonts w:ascii="Times New Roman" w:hAnsi="Times New Roman" w:eastAsia="Times New Roman" w:cs="Times New Roman"/>
          <w:i/>
          <w:color w:val="1155CC"/>
          <w:sz w:val="20"/>
          <w:szCs w:val="20"/>
          <w:u w:val="single"/>
          <w:vertAlign w:val="superscript"/>
          <w:rtl w:val="0"/>
        </w:rPr>
        <w:fldChar w:fldCharType="end"/>
      </w:r>
      <w:r>
        <w:fldChar w:fldCharType="begin"/>
      </w:r>
      <w:r>
        <w:instrText xml:space="preserve"> HYPERLINK "mailto:3muhammad0502232141@uinsu.ac.id" \h </w:instrText>
      </w:r>
      <w:r>
        <w:fldChar w:fldCharType="separate"/>
      </w:r>
      <w:r>
        <w:rPr>
          <w:rFonts w:ascii="Times New Roman" w:hAnsi="Times New Roman" w:eastAsia="Times New Roman" w:cs="Times New Roman"/>
          <w:i/>
          <w:color w:val="1155CC"/>
          <w:sz w:val="20"/>
          <w:szCs w:val="20"/>
          <w:u w:val="single"/>
          <w:rtl w:val="0"/>
        </w:rPr>
        <w:t>muhammad0502232141@uinsu.ac.id</w:t>
      </w:r>
      <w:r>
        <w:rPr>
          <w:rFonts w:ascii="Times New Roman" w:hAnsi="Times New Roman" w:eastAsia="Times New Roman" w:cs="Times New Roman"/>
          <w:i/>
          <w:color w:val="1155CC"/>
          <w:sz w:val="20"/>
          <w:szCs w:val="20"/>
          <w:u w:val="single"/>
          <w:rtl w:val="0"/>
        </w:rPr>
        <w:fldChar w:fldCharType="end"/>
      </w:r>
      <w:r>
        <w:rPr>
          <w:rFonts w:ascii="Times New Roman" w:hAnsi="Times New Roman" w:eastAsia="Times New Roman" w:cs="Times New Roman"/>
          <w:i/>
          <w:sz w:val="20"/>
          <w:szCs w:val="20"/>
          <w:rtl w:val="0"/>
        </w:rPr>
        <w:t xml:space="preserve">  </w:t>
      </w:r>
      <w:r>
        <w:fldChar w:fldCharType="begin"/>
      </w:r>
      <w:r>
        <w:instrText xml:space="preserve"> HYPERLINK "mailto:4yenni.samri@uinsu.ac.id" \h </w:instrText>
      </w:r>
      <w:r>
        <w:fldChar w:fldCharType="separate"/>
      </w:r>
      <w:r>
        <w:rPr>
          <w:rFonts w:ascii="Times New Roman" w:hAnsi="Times New Roman" w:eastAsia="Times New Roman" w:cs="Times New Roman"/>
          <w:i/>
          <w:color w:val="1155CC"/>
          <w:sz w:val="20"/>
          <w:szCs w:val="20"/>
          <w:u w:val="single"/>
          <w:vertAlign w:val="superscript"/>
          <w:rtl w:val="0"/>
        </w:rPr>
        <w:t>4</w:t>
      </w:r>
      <w:r>
        <w:rPr>
          <w:rFonts w:ascii="Times New Roman" w:hAnsi="Times New Roman" w:eastAsia="Times New Roman" w:cs="Times New Roman"/>
          <w:i/>
          <w:color w:val="1155CC"/>
          <w:sz w:val="20"/>
          <w:szCs w:val="20"/>
          <w:u w:val="single"/>
          <w:vertAlign w:val="superscript"/>
          <w:rtl w:val="0"/>
        </w:rPr>
        <w:fldChar w:fldCharType="end"/>
      </w:r>
      <w:r>
        <w:fldChar w:fldCharType="begin"/>
      </w:r>
      <w:r>
        <w:instrText xml:space="preserve"> HYPERLINK "mailto:4yenni.samri@uinsu.ac.id" \h </w:instrText>
      </w:r>
      <w:r>
        <w:fldChar w:fldCharType="separate"/>
      </w:r>
      <w:r>
        <w:rPr>
          <w:rFonts w:ascii="Times New Roman" w:hAnsi="Times New Roman" w:eastAsia="Times New Roman" w:cs="Times New Roman"/>
          <w:i/>
          <w:color w:val="1155CC"/>
          <w:sz w:val="20"/>
          <w:szCs w:val="20"/>
          <w:u w:val="single"/>
          <w:rtl w:val="0"/>
        </w:rPr>
        <w:t>yenni.samri@uinsu.ac.id</w:t>
      </w:r>
      <w:r>
        <w:rPr>
          <w:rFonts w:ascii="Times New Roman" w:hAnsi="Times New Roman" w:eastAsia="Times New Roman" w:cs="Times New Roman"/>
          <w:i/>
          <w:color w:val="1155CC"/>
          <w:sz w:val="20"/>
          <w:szCs w:val="20"/>
          <w:u w:val="single"/>
          <w:rtl w:val="0"/>
        </w:rPr>
        <w:fldChar w:fldCharType="end"/>
      </w:r>
    </w:p>
    <w:p w14:paraId="00000008">
      <w:pPr>
        <w:keepNext w:val="0"/>
        <w:keepLines w:val="0"/>
        <w:pageBreakBefore w:val="0"/>
        <w:widowControl/>
        <w:pBdr>
          <w:top w:val="none" w:color="auto" w:sz="0" w:space="0"/>
          <w:left w:val="none" w:color="auto" w:sz="0" w:space="0"/>
          <w:bottom w:val="single" w:color="000000" w:sz="6" w:space="1"/>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smallCaps w:val="0"/>
          <w:strike w:val="0"/>
          <w:color w:val="000000"/>
          <w:sz w:val="16"/>
          <w:szCs w:val="16"/>
          <w:u w:val="none"/>
          <w:shd w:val="clear" w:fill="auto"/>
          <w:vertAlign w:val="baseline"/>
        </w:rPr>
      </w:pP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smallCaps w:val="0"/>
          <w:strike w:val="0"/>
          <w:color w:val="000000"/>
          <w:sz w:val="16"/>
          <w:szCs w:val="16"/>
          <w:u w:val="none"/>
          <w:shd w:val="clear" w:fill="auto"/>
          <w:vertAlign w:val="baseline"/>
        </w:rPr>
      </w:pPr>
    </w:p>
    <w:tbl>
      <w:tblPr>
        <w:tblStyle w:val="14"/>
        <w:tblW w:w="8896" w:type="dxa"/>
        <w:tblInd w:w="-6"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15" w:type="dxa"/>
          <w:bottom w:w="0" w:type="dxa"/>
          <w:right w:w="115" w:type="dxa"/>
        </w:tblCellMar>
      </w:tblPr>
      <w:tblGrid>
        <w:gridCol w:w="2702"/>
        <w:gridCol w:w="261"/>
        <w:gridCol w:w="5933"/>
      </w:tblGrid>
      <w:tr w14:paraId="4AD186FC">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c>
          <w:tcPr>
            <w:tcBorders>
              <w:top w:val="nil"/>
            </w:tcBorders>
          </w:tcPr>
          <w:p w14:paraId="0000000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u w:val="none"/>
                <w:shd w:val="clear" w:fill="auto"/>
                <w:vertAlign w:val="baseline"/>
                <w:rtl w:val="0"/>
              </w:rPr>
              <w:t>INFORMASI ARTIKEL</w:t>
            </w:r>
          </w:p>
        </w:tc>
        <w:tc>
          <w:tcPr>
            <w:tcBorders>
              <w:top w:val="nil"/>
              <w:bottom w:val="nil"/>
            </w:tcBorders>
          </w:tcPr>
          <w:p w14:paraId="0000000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smallCaps w:val="0"/>
                <w:strike w:val="0"/>
                <w:color w:val="000000"/>
                <w:sz w:val="16"/>
                <w:szCs w:val="16"/>
                <w:u w:val="none"/>
                <w:shd w:val="clear" w:fill="auto"/>
                <w:vertAlign w:val="baseline"/>
              </w:rPr>
            </w:pPr>
          </w:p>
        </w:tc>
        <w:tc>
          <w:tcPr>
            <w:tcBorders>
              <w:top w:val="nil"/>
            </w:tcBorders>
          </w:tcPr>
          <w:p w14:paraId="0000000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u w:val="none"/>
                <w:shd w:val="clear" w:fill="auto"/>
                <w:vertAlign w:val="baseline"/>
                <w:rtl w:val="0"/>
              </w:rPr>
              <w:t>ABSTRAK</w:t>
            </w:r>
          </w:p>
        </w:tc>
      </w:tr>
      <w:tr w14:paraId="5AA6F1B5">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rPr>
          <w:trHeight w:val="78" w:hRule="atLeast"/>
        </w:trPr>
        <w:tc>
          <w:tcPr>
            <w:tcBorders>
              <w:bottom w:val="nil"/>
            </w:tcBorders>
          </w:tcPr>
          <w:p w14:paraId="0000000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smallCaps w:val="0"/>
                <w:strike w:val="0"/>
                <w:color w:val="000000"/>
                <w:sz w:val="16"/>
                <w:szCs w:val="16"/>
                <w:u w:val="none"/>
                <w:shd w:val="clear" w:fill="auto"/>
                <w:vertAlign w:val="baseline"/>
              </w:rPr>
            </w:pPr>
          </w:p>
        </w:tc>
        <w:tc>
          <w:tcPr>
            <w:tcBorders>
              <w:top w:val="nil"/>
              <w:bottom w:val="nil"/>
            </w:tcBorders>
          </w:tcPr>
          <w:p w14:paraId="0000000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smallCaps w:val="0"/>
                <w:strike w:val="0"/>
                <w:color w:val="000000"/>
                <w:sz w:val="16"/>
                <w:szCs w:val="16"/>
                <w:u w:val="none"/>
                <w:shd w:val="clear" w:fill="auto"/>
                <w:vertAlign w:val="baseline"/>
              </w:rPr>
            </w:pPr>
          </w:p>
        </w:tc>
        <w:tc>
          <w:tcPr>
            <w:tcBorders>
              <w:bottom w:val="nil"/>
            </w:tcBorders>
          </w:tcPr>
          <w:p w14:paraId="0000000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smallCaps w:val="0"/>
                <w:strike w:val="0"/>
                <w:color w:val="000000"/>
                <w:sz w:val="16"/>
                <w:szCs w:val="16"/>
                <w:u w:val="none"/>
                <w:shd w:val="clear" w:fill="auto"/>
                <w:vertAlign w:val="baseline"/>
              </w:rPr>
            </w:pPr>
          </w:p>
        </w:tc>
      </w:tr>
      <w:tr w14:paraId="3B7EFFA3">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15" w:type="dxa"/>
            <w:bottom w:w="0" w:type="dxa"/>
            <w:right w:w="115" w:type="dxa"/>
          </w:tblCellMar>
        </w:tblPrEx>
        <w:tc>
          <w:tcPr>
            <w:tcBorders>
              <w:top w:val="nil"/>
              <w:bottom w:val="single" w:color="000000" w:sz="4" w:space="0"/>
            </w:tcBorders>
          </w:tcPr>
          <w:p w14:paraId="00000010">
            <w:pPr>
              <w:spacing w:after="0" w:line="240" w:lineRule="auto"/>
              <w:ind w:right="-108"/>
              <w:rPr>
                <w:rFonts w:ascii="Cambria" w:hAnsi="Cambria" w:eastAsia="Cambria" w:cs="Cambria"/>
                <w:sz w:val="13"/>
                <w:szCs w:val="13"/>
              </w:rPr>
            </w:pPr>
            <w:r>
              <w:rPr>
                <w:rFonts w:ascii="Cambria" w:hAnsi="Cambria" w:eastAsia="Cambria" w:cs="Cambria"/>
                <w:sz w:val="13"/>
                <w:szCs w:val="13"/>
                <w:rtl w:val="0"/>
              </w:rPr>
              <w:t>Submitted:</w:t>
            </w:r>
          </w:p>
          <w:p w14:paraId="00000011">
            <w:pPr>
              <w:spacing w:after="0" w:line="240" w:lineRule="auto"/>
              <w:ind w:right="-108"/>
              <w:rPr>
                <w:rFonts w:ascii="Cambria" w:hAnsi="Cambria" w:eastAsia="Cambria" w:cs="Cambria"/>
                <w:sz w:val="13"/>
                <w:szCs w:val="13"/>
              </w:rPr>
            </w:pPr>
            <w:r>
              <w:rPr>
                <w:rFonts w:ascii="Cambria" w:hAnsi="Cambria" w:eastAsia="Cambria" w:cs="Cambria"/>
                <w:sz w:val="13"/>
                <w:szCs w:val="13"/>
                <w:rtl w:val="0"/>
              </w:rPr>
              <w:t>dd/mm/yy</w:t>
            </w:r>
          </w:p>
          <w:p w14:paraId="00000012">
            <w:pPr>
              <w:spacing w:after="0" w:line="240" w:lineRule="auto"/>
              <w:ind w:right="-108"/>
              <w:rPr>
                <w:rFonts w:ascii="Cambria" w:hAnsi="Cambria" w:eastAsia="Cambria" w:cs="Cambria"/>
                <w:sz w:val="13"/>
                <w:szCs w:val="13"/>
              </w:rPr>
            </w:pPr>
          </w:p>
          <w:p w14:paraId="00000013">
            <w:pPr>
              <w:spacing w:after="0" w:line="240" w:lineRule="auto"/>
              <w:ind w:right="-108"/>
              <w:rPr>
                <w:rFonts w:ascii="Cambria" w:hAnsi="Cambria" w:eastAsia="Cambria" w:cs="Cambria"/>
                <w:sz w:val="13"/>
                <w:szCs w:val="13"/>
              </w:rPr>
            </w:pPr>
            <w:r>
              <w:rPr>
                <w:rFonts w:ascii="Cambria" w:hAnsi="Cambria" w:eastAsia="Cambria" w:cs="Cambria"/>
                <w:sz w:val="13"/>
                <w:szCs w:val="13"/>
                <w:rtl w:val="0"/>
              </w:rPr>
              <w:t>Revised:</w:t>
            </w:r>
          </w:p>
          <w:p w14:paraId="00000014">
            <w:pPr>
              <w:spacing w:after="0" w:line="240" w:lineRule="auto"/>
              <w:ind w:right="-108"/>
              <w:rPr>
                <w:rFonts w:ascii="Cambria" w:hAnsi="Cambria" w:eastAsia="Cambria" w:cs="Cambria"/>
                <w:sz w:val="13"/>
                <w:szCs w:val="13"/>
              </w:rPr>
            </w:pPr>
            <w:r>
              <w:rPr>
                <w:rFonts w:ascii="Cambria" w:hAnsi="Cambria" w:eastAsia="Cambria" w:cs="Cambria"/>
                <w:sz w:val="13"/>
                <w:szCs w:val="13"/>
                <w:rtl w:val="0"/>
              </w:rPr>
              <w:t>dd/mm/yy</w:t>
            </w:r>
          </w:p>
          <w:p w14:paraId="00000015">
            <w:pPr>
              <w:spacing w:after="0" w:line="240" w:lineRule="auto"/>
              <w:ind w:right="-108"/>
              <w:rPr>
                <w:rFonts w:ascii="Cambria" w:hAnsi="Cambria" w:eastAsia="Cambria" w:cs="Cambria"/>
                <w:sz w:val="13"/>
                <w:szCs w:val="13"/>
              </w:rPr>
            </w:pPr>
          </w:p>
          <w:p w14:paraId="00000016">
            <w:pPr>
              <w:spacing w:after="0" w:line="240" w:lineRule="auto"/>
              <w:ind w:right="-108"/>
              <w:rPr>
                <w:rFonts w:ascii="Cambria" w:hAnsi="Cambria" w:eastAsia="Cambria" w:cs="Cambria"/>
                <w:sz w:val="13"/>
                <w:szCs w:val="13"/>
              </w:rPr>
            </w:pPr>
            <w:r>
              <w:rPr>
                <w:rFonts w:ascii="Cambria" w:hAnsi="Cambria" w:eastAsia="Cambria" w:cs="Cambria"/>
                <w:sz w:val="13"/>
                <w:szCs w:val="13"/>
                <w:rtl w:val="0"/>
              </w:rPr>
              <w:t>Accepted:</w:t>
            </w:r>
          </w:p>
          <w:p w14:paraId="00000017">
            <w:pPr>
              <w:spacing w:after="0" w:line="240" w:lineRule="auto"/>
              <w:ind w:right="-108"/>
              <w:rPr>
                <w:rFonts w:ascii="Cambria" w:hAnsi="Cambria" w:eastAsia="Cambria" w:cs="Cambria"/>
                <w:sz w:val="13"/>
                <w:szCs w:val="13"/>
              </w:rPr>
            </w:pPr>
            <w:r>
              <w:rPr>
                <w:rFonts w:ascii="Cambria" w:hAnsi="Cambria" w:eastAsia="Cambria" w:cs="Cambria"/>
                <w:sz w:val="13"/>
                <w:szCs w:val="13"/>
                <w:rtl w:val="0"/>
              </w:rPr>
              <w:t>dd/mm/yy</w:t>
            </w:r>
          </w:p>
          <w:p w14:paraId="00000018">
            <w:pPr>
              <w:spacing w:after="0" w:line="240" w:lineRule="auto"/>
              <w:ind w:right="-108"/>
              <w:rPr>
                <w:rFonts w:ascii="Cambria" w:hAnsi="Cambria" w:eastAsia="Cambria" w:cs="Cambria"/>
                <w:sz w:val="13"/>
                <w:szCs w:val="13"/>
              </w:rPr>
            </w:pPr>
          </w:p>
          <w:p w14:paraId="00000019">
            <w:pPr>
              <w:spacing w:after="0" w:line="240" w:lineRule="auto"/>
              <w:ind w:right="-108"/>
              <w:rPr>
                <w:rFonts w:ascii="Cambria" w:hAnsi="Cambria" w:eastAsia="Cambria" w:cs="Cambria"/>
                <w:sz w:val="13"/>
                <w:szCs w:val="13"/>
              </w:rPr>
            </w:pPr>
            <w:r>
              <w:rPr>
                <w:rFonts w:ascii="Cambria" w:hAnsi="Cambria" w:eastAsia="Cambria" w:cs="Cambria"/>
                <w:sz w:val="13"/>
                <w:szCs w:val="13"/>
                <w:rtl w:val="0"/>
              </w:rPr>
              <w:t xml:space="preserve">Print-Published: </w:t>
            </w:r>
          </w:p>
          <w:p w14:paraId="0000001A">
            <w:pPr>
              <w:spacing w:after="0" w:line="240" w:lineRule="auto"/>
              <w:ind w:right="-108"/>
              <w:rPr>
                <w:rFonts w:ascii="Cambria" w:hAnsi="Cambria" w:eastAsia="Cambria" w:cs="Cambria"/>
                <w:sz w:val="13"/>
                <w:szCs w:val="13"/>
              </w:rPr>
            </w:pPr>
            <w:r>
              <w:rPr>
                <w:rFonts w:ascii="Cambria" w:hAnsi="Cambria" w:eastAsia="Cambria" w:cs="Cambria"/>
                <w:sz w:val="13"/>
                <w:szCs w:val="13"/>
                <w:rtl w:val="0"/>
              </w:rPr>
              <w:t>dd/mm/yy</w:t>
            </w:r>
          </w:p>
          <w:p w14:paraId="0000001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val="0"/>
                <w:smallCaps w:val="0"/>
                <w:strike w:val="0"/>
                <w:color w:val="000000"/>
                <w:sz w:val="16"/>
                <w:szCs w:val="16"/>
                <w:u w:val="none"/>
                <w:shd w:val="clear" w:fill="auto"/>
                <w:vertAlign w:val="baseline"/>
              </w:rPr>
            </w:pPr>
          </w:p>
        </w:tc>
        <w:tc>
          <w:tcPr>
            <w:tcBorders>
              <w:top w:val="nil"/>
              <w:bottom w:val="single" w:color="000000" w:sz="4" w:space="0"/>
            </w:tcBorders>
          </w:tcPr>
          <w:p w14:paraId="0000001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mbria" w:hAnsi="Cambria" w:eastAsia="Cambria" w:cs="Cambria"/>
                <w:b w:val="0"/>
                <w:i/>
                <w:smallCaps w:val="0"/>
                <w:strike w:val="0"/>
                <w:color w:val="000000"/>
                <w:sz w:val="16"/>
                <w:szCs w:val="16"/>
                <w:u w:val="none"/>
                <w:shd w:val="clear" w:fill="auto"/>
                <w:vertAlign w:val="baseline"/>
              </w:rPr>
            </w:pPr>
          </w:p>
        </w:tc>
        <w:tc>
          <w:tcPr>
            <w:tcBorders>
              <w:top w:val="nil"/>
              <w:bottom w:val="single" w:color="000000" w:sz="4" w:space="0"/>
            </w:tcBorders>
          </w:tcPr>
          <w:p w14:paraId="0000001D">
            <w:pPr>
              <w:spacing w:after="0" w:line="240" w:lineRule="auto"/>
              <w:jc w:val="both"/>
              <w:rPr>
                <w:rFonts w:ascii="Cambria" w:hAnsi="Cambria" w:eastAsia="Cambria" w:cs="Cambria"/>
              </w:rPr>
            </w:pPr>
            <w:r>
              <w:commentReference w:id="0"/>
            </w:r>
            <w:r>
              <w:rPr>
                <w:rFonts w:ascii="Times New Roman" w:hAnsi="Times New Roman" w:eastAsia="Times New Roman" w:cs="Times New Roman"/>
                <w:i/>
                <w:sz w:val="20"/>
                <w:szCs w:val="20"/>
                <w:rtl w:val="0"/>
              </w:rPr>
              <w:t>Penelitian ini bertujuan untuk mengevaluasi pengaruh tingkat pengangguran terhadap kesejahteraan masyarakat di Indonesia dengan menggunakan indikator kemiskinan, Indeks Pembangunan Manusia (IPM), dan tingkat kriminalitas. Dengan pendekatan deskriptif kuantitatif dan data sekunder dari Badan Pusat Statistik serta Pusiknas Polri, penelitian ini menganalisis tren nasional dan provinsi dari tahun 2023 hingga proyeksi 2025. Hasil penelitian menunjukkan bahwa secara nasional, penurunan Tingkat Pengangguran Terbuka (TPT) beriringan dengan menurunnya tingkat kemiskinan dan kriminalitas. Namun, pada tingkat provinsi terdapat anomali, seperti di Papua Pegunungan dan Papua Tengah, di mana TPT rendah namun angka kemiskinan tinggi dan IPM rendah. Hal ini menegaskan bahwa kualitas pekerjaan, akses layanan dasar, serta pemerataan pembangunan merupakan elemen penting dalam meningkatkan kesejahteraan masyarakat. Penelitian ini merekomendasikan pendekatan kebijakan yang lebih komprehensif dalam mengatasi pengangguran, tidak hanya dari sisi kuantitas, tetapi juga kualitas dan dampak sosial-ekonominya.</w:t>
            </w:r>
            <w:r>
              <w:rPr>
                <w:rFonts w:ascii="Times New Roman" w:hAnsi="Times New Roman" w:eastAsia="Times New Roman" w:cs="Times New Roman"/>
                <w:i/>
                <w:sz w:val="18"/>
                <w:szCs w:val="18"/>
                <w:rtl w:val="0"/>
              </w:rPr>
              <w:t xml:space="preserve"> </w:t>
            </w:r>
          </w:p>
          <w:p w14:paraId="0000001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i/>
                <w:sz w:val="16"/>
                <w:szCs w:val="16"/>
              </w:rPr>
            </w:pPr>
            <w:r>
              <w:rPr>
                <w:rFonts w:ascii="Cambria" w:hAnsi="Cambria" w:eastAsia="Cambria" w:cs="Cambria"/>
                <w:b/>
                <w:i w:val="0"/>
                <w:smallCaps w:val="0"/>
                <w:strike w:val="0"/>
                <w:color w:val="000000"/>
                <w:sz w:val="16"/>
                <w:szCs w:val="16"/>
                <w:u w:val="none"/>
                <w:shd w:val="clear" w:fill="auto"/>
                <w:vertAlign w:val="baseline"/>
                <w:rtl w:val="0"/>
              </w:rPr>
              <w:t xml:space="preserve">Katakunci: </w:t>
            </w:r>
            <w:r>
              <w:rPr>
                <w:rFonts w:ascii="Cambria" w:hAnsi="Cambria" w:eastAsia="Cambria" w:cs="Cambria"/>
                <w:i/>
                <w:sz w:val="16"/>
                <w:szCs w:val="16"/>
                <w:rtl w:val="0"/>
              </w:rPr>
              <w:t>Pengangguran, Kesejahteraan Masyarakat, Kemiskinan, Indeks Pembangunan Manusia, Kriminalitas.</w:t>
            </w:r>
          </w:p>
          <w:p w14:paraId="0000001F">
            <w:pPr>
              <w:spacing w:after="0" w:line="240" w:lineRule="auto"/>
              <w:jc w:val="both"/>
              <w:rPr>
                <w:rFonts w:ascii="Cambria" w:hAnsi="Cambria" w:eastAsia="Cambria" w:cs="Cambria"/>
              </w:rPr>
            </w:pPr>
          </w:p>
          <w:p w14:paraId="00000020">
            <w:pPr>
              <w:spacing w:after="0" w:line="240" w:lineRule="auto"/>
              <w:jc w:val="both"/>
              <w:rPr>
                <w:rFonts w:ascii="Times New Roman" w:hAnsi="Times New Roman" w:eastAsia="Times New Roman" w:cs="Times New Roman"/>
                <w:i/>
                <w:sz w:val="24"/>
                <w:szCs w:val="24"/>
              </w:rPr>
            </w:pPr>
            <w:r>
              <w:rPr>
                <w:rFonts w:ascii="Times New Roman" w:hAnsi="Times New Roman" w:eastAsia="Times New Roman" w:cs="Times New Roman"/>
                <w:i/>
                <w:sz w:val="24"/>
                <w:szCs w:val="24"/>
                <w:rtl w:val="0"/>
              </w:rPr>
              <w:t>ABSTRACT</w:t>
            </w:r>
          </w:p>
          <w:p w14:paraId="00000021">
            <w:pPr>
              <w:spacing w:after="0" w:line="240" w:lineRule="auto"/>
              <w:jc w:val="both"/>
              <w:rPr>
                <w:rFonts w:ascii="Cambria" w:hAnsi="Cambria" w:eastAsia="Cambria" w:cs="Cambria"/>
              </w:rPr>
            </w:pPr>
          </w:p>
          <w:p w14:paraId="00000022">
            <w:pPr>
              <w:spacing w:after="0" w:line="240" w:lineRule="auto"/>
              <w:jc w:val="both"/>
              <w:rPr>
                <w:rFonts w:ascii="Times New Roman" w:hAnsi="Times New Roman" w:eastAsia="Times New Roman" w:cs="Times New Roman"/>
                <w:i/>
                <w:sz w:val="20"/>
                <w:szCs w:val="20"/>
              </w:rPr>
            </w:pPr>
            <w:r>
              <w:rPr>
                <w:rFonts w:ascii="Times New Roman" w:hAnsi="Times New Roman" w:eastAsia="Times New Roman" w:cs="Times New Roman"/>
                <w:i/>
                <w:sz w:val="20"/>
                <w:szCs w:val="20"/>
                <w:rtl w:val="0"/>
              </w:rPr>
              <w:t>This study aims to evaluate the impact of unemployment on community welfare in Indonesia by examining indicators such as poverty rates, the Human Development Index (HDI), and crime rates. Using a descriptive quantitative approach and secondary data from the Central Bureau of Statistics (BPS) and the National Crime Study Center (Pusiknas Polri), the research analyzes national and provincial trends from 2023 to the projected data of 2025. The findings indicate that a decrease in the Open Unemployment Rate (OUR) at the national level is accompanied by a reduction in poverty and crime rates. However, at the provincial level, paradoxical cases are observed — such as in Highland Papua and Central Papua — where low unemployment coincides with high poverty and low HDI. These findings highlight that job quality, access to basic services, and equitable development are critical to improving societal welfare. The study recommends comprehensive policy approaches that focus not only on reducing unemployment but also on enhancing the overall quality of life.</w:t>
            </w:r>
          </w:p>
          <w:p w14:paraId="00000023">
            <w:pPr>
              <w:spacing w:after="0" w:line="240" w:lineRule="auto"/>
              <w:jc w:val="both"/>
              <w:rPr>
                <w:rFonts w:ascii="Cambria" w:hAnsi="Cambria" w:eastAsia="Cambria" w:cs="Cambria"/>
              </w:rPr>
            </w:pPr>
          </w:p>
          <w:p w14:paraId="0000002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i/>
                <w:sz w:val="16"/>
                <w:szCs w:val="16"/>
              </w:rPr>
            </w:pPr>
            <w:r>
              <w:rPr>
                <w:rFonts w:ascii="Cambria" w:hAnsi="Cambria" w:eastAsia="Cambria" w:cs="Cambria"/>
                <w:b/>
                <w:i w:val="0"/>
                <w:smallCaps w:val="0"/>
                <w:strike w:val="0"/>
                <w:color w:val="000000"/>
                <w:sz w:val="16"/>
                <w:szCs w:val="16"/>
                <w:u w:val="none"/>
                <w:shd w:val="clear" w:fill="auto"/>
                <w:vertAlign w:val="baseline"/>
                <w:rtl w:val="0"/>
              </w:rPr>
              <w:t xml:space="preserve">Keywords: </w:t>
            </w:r>
            <w:r>
              <w:rPr>
                <w:rFonts w:ascii="Cambria" w:hAnsi="Cambria" w:eastAsia="Cambria" w:cs="Cambria"/>
                <w:i/>
                <w:sz w:val="16"/>
                <w:szCs w:val="16"/>
                <w:rtl w:val="0"/>
              </w:rPr>
              <w:t>Unemployment, Community Welfare, Poverty, Human Development Index, Crime Rate</w:t>
            </w:r>
          </w:p>
          <w:p w14:paraId="00000025">
            <w:pPr>
              <w:spacing w:after="0" w:line="240" w:lineRule="auto"/>
              <w:jc w:val="both"/>
              <w:rPr>
                <w:rFonts w:ascii="Cambria" w:hAnsi="Cambria" w:eastAsia="Cambria" w:cs="Cambria"/>
              </w:rPr>
            </w:pPr>
          </w:p>
          <w:p w14:paraId="00000026">
            <w:pPr>
              <w:spacing w:after="0" w:line="240" w:lineRule="auto"/>
              <w:jc w:val="both"/>
              <w:rPr>
                <w:rFonts w:ascii="Cambria" w:hAnsi="Cambria" w:eastAsia="Cambria" w:cs="Cambria"/>
              </w:rPr>
            </w:pPr>
          </w:p>
          <w:p w14:paraId="0000002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mbria" w:hAnsi="Cambria" w:eastAsia="Cambria" w:cs="Cambria"/>
                <w:b w:val="0"/>
                <w:i/>
                <w:smallCaps w:val="0"/>
                <w:strike w:val="0"/>
                <w:color w:val="000000"/>
                <w:sz w:val="16"/>
                <w:szCs w:val="16"/>
                <w:u w:val="none"/>
                <w:shd w:val="clear" w:fill="auto"/>
                <w:vertAlign w:val="baseline"/>
              </w:rPr>
            </w:pPr>
          </w:p>
        </w:tc>
      </w:tr>
    </w:tbl>
    <w:p w14:paraId="00000028">
      <w:pPr>
        <w:spacing w:after="0" w:line="240" w:lineRule="auto"/>
        <w:sectPr>
          <w:headerReference r:id="rId7" w:type="default"/>
          <w:footerReference r:id="rId8" w:type="default"/>
          <w:pgSz w:w="11907" w:h="16840"/>
          <w:pgMar w:top="1418" w:right="1418" w:bottom="1418" w:left="1701" w:header="851" w:footer="737" w:gutter="0"/>
          <w:pgNumType w:start="1"/>
          <w:cols w:space="720" w:num="1"/>
        </w:sectPr>
      </w:pPr>
    </w:p>
    <w:p w14:paraId="000000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4" w:right="0" w:hanging="360"/>
        <w:jc w:val="left"/>
        <w:rPr>
          <w:rFonts w:ascii="Times New Roman" w:hAnsi="Times New Roman" w:eastAsia="Times New Roman" w:cs="Times New Roman"/>
          <w:b/>
          <w:i w:val="0"/>
          <w:smallCaps w:val="0"/>
          <w:strike w:val="0"/>
          <w:color w:val="000000"/>
          <w:sz w:val="22"/>
          <w:szCs w:val="22"/>
          <w:u w:val="none"/>
          <w:shd w:val="clear" w:fill="auto"/>
          <w:vertAlign w:val="baseline"/>
        </w:rPr>
      </w:pPr>
      <w:r>
        <w:commentReference w:id="1"/>
      </w:r>
      <w:r>
        <w:rPr>
          <w:rFonts w:ascii="Times New Roman" w:hAnsi="Times New Roman" w:eastAsia="Times New Roman" w:cs="Times New Roman"/>
          <w:b/>
          <w:i w:val="0"/>
          <w:smallCaps w:val="0"/>
          <w:strike w:val="0"/>
          <w:color w:val="000000"/>
          <w:sz w:val="22"/>
          <w:szCs w:val="22"/>
          <w:u w:val="none"/>
          <w:shd w:val="clear" w:fill="auto"/>
          <w:vertAlign w:val="baseline"/>
          <w:rtl w:val="0"/>
        </w:rPr>
        <w:t>PENDAHULUAN</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70"/>
        <w:jc w:val="both"/>
        <w:rPr>
          <w:rFonts w:ascii="Times New Roman" w:hAnsi="Times New Roman" w:eastAsia="Times New Roman" w:cs="Times New Roman"/>
        </w:rPr>
      </w:pPr>
      <w:r>
        <w:rPr>
          <w:rFonts w:ascii="Times New Roman" w:hAnsi="Times New Roman" w:eastAsia="Times New Roman" w:cs="Times New Roman"/>
          <w:rtl w:val="0"/>
        </w:rPr>
        <w:t xml:space="preserve">Pengangguran merupakan salah satu permasalahan utama yang dihadapi oleh banyak negara berkembang, termasuk Indonesia. Kondisi ini tidak hanya berdampak pada individu yang kehilangan pekerjaan, tetapi juga memiliki implikasi luas terhadap masyarakat dan perekonomian nasional. Pengangguran yang tinggi dapat menyebabkan penurunan pendapatan, peningkatan kemiskinan, dan penurunan kualitas hidup masyarakat. </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70"/>
        <w:jc w:val="both"/>
        <w:rPr>
          <w:rFonts w:ascii="Times New Roman" w:hAnsi="Times New Roman" w:eastAsia="Times New Roman" w:cs="Times New Roman"/>
        </w:rPr>
      </w:pPr>
      <w:r>
        <w:rPr>
          <w:rFonts w:ascii="Times New Roman" w:hAnsi="Times New Roman" w:eastAsia="Times New Roman" w:cs="Times New Roman"/>
          <w:rtl w:val="0"/>
        </w:rPr>
        <w:t xml:space="preserve">Di sisi lain, kesejahteraan masyarakat menjadi indikator penting dalam menilai keberhasilan pembangunan suatu negara. Kesejahteraan ini dapat dilihat melalui indikator seperti tingkat kemiskinan dan Indeks Pembangunan Manusia (IPM). Namun, hubungan antara pengangguran dan kesejahteraan tidak selalu linier. Fenomena seperti rendahnya pengangguran tetapi tetap tingginya kemiskinan di beberapa daerah menunjukkan adanya faktor-faktor lain yang turut mempengaruhi. </w: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70"/>
        <w:jc w:val="both"/>
        <w:rPr>
          <w:rFonts w:ascii="Times New Roman" w:hAnsi="Times New Roman" w:eastAsia="Times New Roman" w:cs="Times New Roman"/>
        </w:rPr>
      </w:pPr>
      <w:r>
        <w:rPr>
          <w:rFonts w:ascii="Times New Roman" w:hAnsi="Times New Roman" w:eastAsia="Times New Roman" w:cs="Times New Roman"/>
          <w:rtl w:val="0"/>
        </w:rPr>
        <w:t>Tulisan ini berfokus pada upaya mengkaji secara lebih mendalam bagaimana pengangguran mempengaruhi kesejahteraan masyarakat di Indonesia, baik secara nasional maupun provinsi. Dengan memahami hubungan ini, diharapkan dapat dirumuskan kebijakan yang lebih efektif dalam mengatasi pengangguran dan meningkatkan kesejahteraan masyarakat secara berkelanjutan.</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7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6" w:right="0" w:hanging="360"/>
        <w:jc w:val="left"/>
        <w:rPr>
          <w:rFonts w:ascii="Times New Roman" w:hAnsi="Times New Roman" w:eastAsia="Times New Roman" w:cs="Times New Roman"/>
          <w:b/>
          <w:i w:val="0"/>
          <w:smallCaps w:val="0"/>
          <w:strike w:val="0"/>
          <w:color w:val="000000"/>
          <w:sz w:val="22"/>
          <w:szCs w:val="22"/>
          <w:u w:val="none"/>
          <w:shd w:val="clear" w:fill="auto"/>
          <w:vertAlign w:val="baseline"/>
        </w:rPr>
      </w:pPr>
      <w:r>
        <w:commentReference w:id="2"/>
      </w:r>
      <w:r>
        <w:rPr>
          <w:rFonts w:ascii="Times New Roman" w:hAnsi="Times New Roman" w:eastAsia="Times New Roman" w:cs="Times New Roman"/>
          <w:b/>
          <w:i w:val="0"/>
          <w:smallCaps w:val="0"/>
          <w:strike w:val="0"/>
          <w:color w:val="000000"/>
          <w:sz w:val="22"/>
          <w:szCs w:val="22"/>
          <w:u w:val="none"/>
          <w:shd w:val="clear" w:fill="auto"/>
          <w:vertAlign w:val="baseline"/>
          <w:rtl w:val="0"/>
        </w:rPr>
        <w:t>METODOLOGI PENELITIAN</w:t>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r>
        <w:rPr>
          <w:rFonts w:ascii="Times New Roman" w:hAnsi="Times New Roman" w:eastAsia="Times New Roman" w:cs="Times New Roman"/>
          <w:rtl w:val="0"/>
        </w:rPr>
        <w:t xml:space="preserve">Studi ini menggunakan pendekatan deskriptif kuantitatif dengan memanfaatkan data sekunder yang diperoleh dari Badan Pusat Statistik (BPS). Fokus utama adalah menganalisis hubungan antara tingkat pengangguran dengan indikator kesejahteraan masyarakat, yaitu tingkat kemiskinan dan Indeks Pembangunan Manusia (IPM) di Indonesia. </w:t>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r>
        <w:rPr>
          <w:rFonts w:ascii="Times New Roman" w:hAnsi="Times New Roman" w:eastAsia="Times New Roman" w:cs="Times New Roman"/>
          <w:rtl w:val="0"/>
        </w:rPr>
        <w:t>Populasi dalam kajian ini mencakup seluruh provinsi di Indonesia. Sampel yang dianalisis adalah data agregat provinsi selama periode tahun 2023 hingga proyeksi 2025. Data dikumpulkan melalui dokumentasi dari laporan resmi BPS, termasuk data Tingkat Pengangguran Terbuka (TPT), kemiskinan, IPM, tingkat kriminalitas.</w:t>
      </w:r>
    </w:p>
    <w:p w14:paraId="00000033">
      <w:pPr>
        <w:spacing w:after="0"/>
        <w:ind w:left="284" w:hanging="284"/>
        <w:rPr>
          <w:rFonts w:ascii="Times New Roman" w:hAnsi="Times New Roman" w:eastAsia="Times New Roman" w:cs="Times New Roman"/>
          <w:b/>
        </w:rPr>
      </w:pPr>
      <w:r>
        <w:rPr>
          <w:rFonts w:ascii="Times New Roman" w:hAnsi="Times New Roman" w:eastAsia="Times New Roman" w:cs="Times New Roman"/>
          <w:b/>
          <w:rtl w:val="0"/>
        </w:rPr>
        <w:t>Variabel Operasional :</w:t>
      </w:r>
    </w:p>
    <w:p w14:paraId="00000034">
      <w:pPr>
        <w:spacing w:after="0"/>
        <w:ind w:left="284" w:hanging="284"/>
        <w:rPr>
          <w:rFonts w:ascii="Times New Roman" w:hAnsi="Times New Roman" w:eastAsia="Times New Roman" w:cs="Times New Roman"/>
        </w:rPr>
      </w:pPr>
      <w:r>
        <w:rPr>
          <w:rFonts w:ascii="Times New Roman" w:hAnsi="Times New Roman" w:eastAsia="Times New Roman" w:cs="Times New Roman"/>
          <w:b/>
          <w:rtl w:val="0"/>
        </w:rPr>
        <w:t>Variabel independent</w:t>
      </w:r>
      <w:r>
        <w:rPr>
          <w:rFonts w:ascii="Times New Roman" w:hAnsi="Times New Roman" w:eastAsia="Times New Roman" w:cs="Times New Roman"/>
          <w:b/>
          <w:rtl w:val="0"/>
        </w:rPr>
        <w:tab/>
      </w:r>
      <w:r>
        <w:rPr>
          <w:rFonts w:ascii="Times New Roman" w:hAnsi="Times New Roman" w:eastAsia="Times New Roman" w:cs="Times New Roman"/>
          <w:b/>
          <w:rtl w:val="0"/>
        </w:rPr>
        <w:t>:</w:t>
      </w:r>
      <w:r>
        <w:rPr>
          <w:rFonts w:ascii="Times New Roman" w:hAnsi="Times New Roman" w:eastAsia="Times New Roman" w:cs="Times New Roman"/>
          <w:rtl w:val="0"/>
        </w:rPr>
        <w:t xml:space="preserve"> Tingkat Pengangguran Terbuka (TPT).</w:t>
      </w:r>
      <w:r>
        <w:rPr>
          <w:rFonts w:ascii="Times New Roman" w:hAnsi="Times New Roman" w:eastAsia="Times New Roman" w:cs="Times New Roman"/>
          <w:rtl w:val="0"/>
        </w:rPr>
        <w:tab/>
      </w:r>
      <w:r>
        <w:rPr>
          <w:rFonts w:ascii="Times New Roman" w:hAnsi="Times New Roman" w:eastAsia="Times New Roman" w:cs="Times New Roman"/>
          <w:rtl w:val="0"/>
        </w:rPr>
        <w:tab/>
      </w:r>
      <w:r>
        <w:rPr>
          <w:rFonts w:ascii="Times New Roman" w:hAnsi="Times New Roman" w:eastAsia="Times New Roman" w:cs="Times New Roman"/>
          <w:rtl w:val="0"/>
        </w:rPr>
        <w:tab/>
      </w:r>
      <w:r>
        <w:rPr>
          <w:rFonts w:ascii="Times New Roman" w:hAnsi="Times New Roman" w:eastAsia="Times New Roman" w:cs="Times New Roman"/>
          <w:rtl w:val="0"/>
        </w:rPr>
        <w:t xml:space="preserve"> </w:t>
      </w:r>
    </w:p>
    <w:p w14:paraId="00000035">
      <w:pPr>
        <w:spacing w:after="0"/>
        <w:ind w:left="284" w:hanging="284"/>
        <w:rPr>
          <w:rFonts w:ascii="Times New Roman" w:hAnsi="Times New Roman" w:eastAsia="Times New Roman" w:cs="Times New Roman"/>
        </w:rPr>
      </w:pPr>
      <w:r>
        <w:rPr>
          <w:rFonts w:ascii="Times New Roman" w:hAnsi="Times New Roman" w:eastAsia="Times New Roman" w:cs="Times New Roman"/>
          <w:b/>
          <w:rtl w:val="0"/>
        </w:rPr>
        <w:t>Variabel dependen</w:t>
      </w:r>
      <w:r>
        <w:rPr>
          <w:rFonts w:ascii="Times New Roman" w:hAnsi="Times New Roman" w:eastAsia="Times New Roman" w:cs="Times New Roman"/>
          <w:b/>
          <w:rtl w:val="0"/>
        </w:rPr>
        <w:tab/>
      </w:r>
      <w:r>
        <w:rPr>
          <w:rFonts w:ascii="Times New Roman" w:hAnsi="Times New Roman" w:eastAsia="Times New Roman" w:cs="Times New Roman"/>
          <w:b/>
          <w:rtl w:val="0"/>
        </w:rPr>
        <w:t>:</w:t>
      </w:r>
      <w:r>
        <w:rPr>
          <w:rFonts w:ascii="Times New Roman" w:hAnsi="Times New Roman" w:eastAsia="Times New Roman" w:cs="Times New Roman"/>
          <w:rtl w:val="0"/>
        </w:rPr>
        <w:t xml:space="preserve"> Tingkat kemisikinan dan Indeks Pembangunan Manusia (IPM), tingkat kriminalitas.</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22"/>
          <w:szCs w:val="22"/>
          <w:u w:val="none"/>
          <w:shd w:val="clear" w:fill="auto"/>
          <w:vertAlign w:val="baseline"/>
        </w:rPr>
      </w:pPr>
    </w:p>
    <w:p w14:paraId="0000003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6" w:right="0" w:hanging="360"/>
        <w:jc w:val="left"/>
        <w:rPr>
          <w:rFonts w:ascii="Times New Roman" w:hAnsi="Times New Roman" w:eastAsia="Times New Roman" w:cs="Times New Roman"/>
          <w:b/>
          <w:i w:val="0"/>
          <w:smallCaps w:val="0"/>
          <w:strike w:val="0"/>
          <w:color w:val="000000"/>
          <w:sz w:val="22"/>
          <w:szCs w:val="22"/>
          <w:u w:val="none"/>
          <w:shd w:val="clear" w:fill="auto"/>
          <w:vertAlign w:val="baseline"/>
        </w:rPr>
      </w:pPr>
      <w:r>
        <w:commentReference w:id="3"/>
      </w:r>
      <w:r>
        <w:rPr>
          <w:rFonts w:ascii="Times New Roman" w:hAnsi="Times New Roman" w:eastAsia="Times New Roman" w:cs="Times New Roman"/>
          <w:b/>
          <w:i w:val="0"/>
          <w:smallCaps w:val="0"/>
          <w:strike w:val="0"/>
          <w:color w:val="000000"/>
          <w:sz w:val="22"/>
          <w:szCs w:val="22"/>
          <w:u w:val="none"/>
          <w:shd w:val="clear" w:fill="auto"/>
          <w:vertAlign w:val="baseline"/>
          <w:rtl w:val="0"/>
        </w:rPr>
        <w:t>HASIL DAN PEMBAHASAN</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b/>
        </w:rPr>
      </w:pPr>
      <w:r>
        <w:rPr>
          <w:rFonts w:ascii="Times New Roman" w:hAnsi="Times New Roman" w:eastAsia="Times New Roman" w:cs="Times New Roman"/>
          <w:rtl w:val="0"/>
        </w:rPr>
        <w:t>Data dianalisis secara deskriptif kuantitatif untuk melihat tren dan korelasi antar variabel. Analisis dilakukan dengan memetakan hubungan antara TPT terhadap indicator kesejahteraan, baik secara nasional maupun per provinsi. Selain itu, visualisasi data digunakan untuk memperjelas pola yang terjadi antar wilayah.</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rPr>
      </w:pPr>
      <w:r>
        <w:rPr>
          <w:rFonts w:ascii="Times New Roman" w:hAnsi="Times New Roman" w:eastAsia="Times New Roman" w:cs="Times New Roman"/>
          <w:b/>
          <w:i w:val="0"/>
          <w:smallCaps w:val="0"/>
          <w:strike w:val="0"/>
          <w:color w:val="000000"/>
          <w:sz w:val="22"/>
          <w:szCs w:val="22"/>
          <w:u w:val="none"/>
          <w:shd w:val="clear" w:fill="auto"/>
          <w:vertAlign w:val="baseline"/>
          <w:rtl w:val="0"/>
        </w:rPr>
        <w:t xml:space="preserve">Tabel 1. </w:t>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bl>
      <w:tblPr>
        <w:tblStyle w:val="15"/>
        <w:tblW w:w="40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46"/>
        <w:gridCol w:w="1346"/>
        <w:gridCol w:w="1346"/>
      </w:tblGrid>
      <w:tr w14:paraId="73C8B1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Tahun</w:t>
            </w:r>
          </w:p>
        </w:tc>
        <w:tc>
          <w:tcPr>
            <w:shd w:val="clear" w:color="auto" w:fill="auto"/>
            <w:tcMar>
              <w:top w:w="100" w:type="dxa"/>
              <w:left w:w="100" w:type="dxa"/>
              <w:bottom w:w="100" w:type="dxa"/>
              <w:right w:w="100" w:type="dxa"/>
            </w:tcMar>
            <w:vAlign w:val="top"/>
          </w:tcPr>
          <w:p w14:paraId="0000003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TPT (feb)</w:t>
            </w:r>
          </w:p>
        </w:tc>
        <w:tc>
          <w:tcPr>
            <w:shd w:val="clear" w:color="auto" w:fill="auto"/>
            <w:tcMar>
              <w:top w:w="100" w:type="dxa"/>
              <w:left w:w="100" w:type="dxa"/>
              <w:bottom w:w="100" w:type="dxa"/>
              <w:right w:w="100" w:type="dxa"/>
            </w:tcMar>
            <w:vAlign w:val="top"/>
          </w:tcPr>
          <w:p w14:paraId="0000004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Kemiskinan (%)</w:t>
            </w:r>
          </w:p>
        </w:tc>
      </w:tr>
      <w:tr w14:paraId="6AF5BB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2023</w:t>
            </w:r>
          </w:p>
        </w:tc>
        <w:tc>
          <w:tcPr>
            <w:shd w:val="clear" w:color="auto" w:fill="auto"/>
            <w:tcMar>
              <w:top w:w="100" w:type="dxa"/>
              <w:left w:w="100" w:type="dxa"/>
              <w:bottom w:w="100" w:type="dxa"/>
              <w:right w:w="100" w:type="dxa"/>
            </w:tcMar>
            <w:vAlign w:val="top"/>
          </w:tcPr>
          <w:p w14:paraId="000000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5,45%</w:t>
            </w:r>
          </w:p>
        </w:tc>
        <w:tc>
          <w:tcPr>
            <w:shd w:val="clear" w:color="auto" w:fill="auto"/>
            <w:tcMar>
              <w:top w:w="100" w:type="dxa"/>
              <w:left w:w="100" w:type="dxa"/>
              <w:bottom w:w="100" w:type="dxa"/>
              <w:right w:w="100" w:type="dxa"/>
            </w:tcMar>
            <w:vAlign w:val="top"/>
          </w:tcPr>
          <w:p w14:paraId="0000004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9,36%</w:t>
            </w:r>
          </w:p>
        </w:tc>
      </w:tr>
      <w:tr w14:paraId="55B4DC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2024</w:t>
            </w:r>
          </w:p>
        </w:tc>
        <w:tc>
          <w:tcPr>
            <w:shd w:val="clear" w:color="auto" w:fill="auto"/>
            <w:tcMar>
              <w:top w:w="100" w:type="dxa"/>
              <w:left w:w="100" w:type="dxa"/>
              <w:bottom w:w="100" w:type="dxa"/>
              <w:right w:w="100" w:type="dxa"/>
            </w:tcMar>
            <w:vAlign w:val="top"/>
          </w:tcPr>
          <w:p w14:paraId="0000004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4,82%</w:t>
            </w:r>
          </w:p>
        </w:tc>
        <w:tc>
          <w:tcPr>
            <w:shd w:val="clear" w:color="auto" w:fill="auto"/>
            <w:tcMar>
              <w:top w:w="100" w:type="dxa"/>
              <w:left w:w="100" w:type="dxa"/>
              <w:bottom w:w="100" w:type="dxa"/>
              <w:right w:w="100" w:type="dxa"/>
            </w:tcMar>
            <w:vAlign w:val="top"/>
          </w:tcPr>
          <w:p w14:paraId="000000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9,03%</w:t>
            </w:r>
          </w:p>
        </w:tc>
      </w:tr>
      <w:tr w14:paraId="7C3070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2025</w:t>
            </w:r>
          </w:p>
        </w:tc>
        <w:tc>
          <w:tcPr>
            <w:shd w:val="clear" w:color="auto" w:fill="auto"/>
            <w:tcMar>
              <w:top w:w="100" w:type="dxa"/>
              <w:left w:w="100" w:type="dxa"/>
              <w:bottom w:w="100" w:type="dxa"/>
              <w:right w:w="100" w:type="dxa"/>
            </w:tcMar>
            <w:vAlign w:val="top"/>
          </w:tcPr>
          <w:p w14:paraId="000000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4,76%</w:t>
            </w:r>
          </w:p>
        </w:tc>
        <w:tc>
          <w:tcPr>
            <w:shd w:val="clear" w:color="auto" w:fill="auto"/>
            <w:tcMar>
              <w:top w:w="100" w:type="dxa"/>
              <w:left w:w="100" w:type="dxa"/>
              <w:bottom w:w="100" w:type="dxa"/>
              <w:right w:w="100" w:type="dxa"/>
            </w:tcMar>
            <w:vAlign w:val="top"/>
          </w:tcPr>
          <w:p w14:paraId="000000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w:t>
            </w:r>
          </w:p>
        </w:tc>
      </w:tr>
    </w:tbl>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r>
        <w:rPr>
          <w:rFonts w:ascii="Times New Roman" w:hAnsi="Times New Roman" w:eastAsia="Times New Roman" w:cs="Times New Roman"/>
          <w:rtl w:val="0"/>
        </w:rPr>
        <w:t>Data dari Badan Pusat Statistik (BPS) menunjukkan bahwa Tingkat Pengangguran Terbuka (TPT) di Indonesia mengalami penurunan konsisten selama tiga tahun terakhir. Pada Februari 2023, TPT tercatat sebesar 5,45%, turun menjadi 4,82% pada Februari 2024, dan diperkirakan akan menurun lagi menjadi 4,76% pada tahun 2025. Seiring dengan tren tersebut, tingkat kemiskinan juga menunjukkan penurunan, dari 9,36% pada Maret 2023 menjadi 9,03% pada Maret 2024. Meskipun angka kemiskinan 2025 belum tersedia, kecenderungan data sebelumnya memungkinkan untuk memprediksi bahwa jika tren penurunan pengangguran berlanjut, maka kemiskinan juga akan ikut menurun. Penurunan TPT merupakan indikator positif dalam perekonomian nasional. Hal ini mencerminkan peningkatan kemampuan pasar tenaga kerja dalam menyerap angkatan kerja baru, baik melalui penciptaan lapangan kerja di sektor formal maupun informal. Ketika jumlah orang yang bekerja meningkat, maka pendapatan rumah tangga juga cenderung meningkat, sehingga mengurangi kemungkinan mereka jatuh dalam kemiskinan.`</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i w:val="0"/>
          <w:smallCaps w:val="0"/>
          <w:strike w:val="0"/>
          <w:color w:val="000000"/>
          <w:sz w:val="22"/>
          <w:szCs w:val="22"/>
          <w:u w:val="none"/>
          <w:shd w:val="clear" w:fill="auto"/>
          <w:vertAlign w:val="baseline"/>
        </w:rPr>
      </w:pPr>
      <w:r>
        <w:rPr>
          <w:rFonts w:ascii="Times New Roman" w:hAnsi="Times New Roman" w:eastAsia="Times New Roman" w:cs="Times New Roman"/>
          <w:b/>
          <w:rtl w:val="0"/>
        </w:rPr>
        <w:t>Tabel 2.</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rPr>
      </w:pPr>
    </w:p>
    <w:tbl>
      <w:tblPr>
        <w:tblStyle w:val="16"/>
        <w:tblW w:w="40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10"/>
        <w:gridCol w:w="1010"/>
        <w:gridCol w:w="1010"/>
        <w:gridCol w:w="1010"/>
      </w:tblGrid>
      <w:tr w14:paraId="37318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Provinsi</w:t>
            </w:r>
          </w:p>
        </w:tc>
        <w:tc>
          <w:tcPr>
            <w:shd w:val="clear" w:color="auto" w:fill="auto"/>
            <w:tcMar>
              <w:top w:w="100" w:type="dxa"/>
              <w:left w:w="100" w:type="dxa"/>
              <w:bottom w:w="100" w:type="dxa"/>
              <w:right w:w="100" w:type="dxa"/>
            </w:tcMar>
            <w:vAlign w:val="top"/>
          </w:tcPr>
          <w:p w14:paraId="000000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TPT (%)</w:t>
            </w:r>
          </w:p>
        </w:tc>
        <w:tc>
          <w:tcPr>
            <w:shd w:val="clear" w:color="auto" w:fill="auto"/>
            <w:tcMar>
              <w:top w:w="100" w:type="dxa"/>
              <w:left w:w="100" w:type="dxa"/>
              <w:bottom w:w="100" w:type="dxa"/>
              <w:right w:w="100" w:type="dxa"/>
            </w:tcMar>
            <w:vAlign w:val="top"/>
          </w:tcPr>
          <w:p w14:paraId="000000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Kemiskinan (%)</w:t>
            </w:r>
          </w:p>
        </w:tc>
        <w:tc>
          <w:tcPr>
            <w:shd w:val="clear" w:color="auto" w:fill="auto"/>
            <w:tcMar>
              <w:top w:w="100" w:type="dxa"/>
              <w:left w:w="100" w:type="dxa"/>
              <w:bottom w:w="100" w:type="dxa"/>
              <w:right w:w="100" w:type="dxa"/>
            </w:tcMar>
            <w:vAlign w:val="top"/>
          </w:tcPr>
          <w:p w14:paraId="000000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IPM</w:t>
            </w:r>
          </w:p>
        </w:tc>
      </w:tr>
      <w:tr w14:paraId="6A8483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 xml:space="preserve">Papua Pegunungan </w:t>
            </w:r>
          </w:p>
        </w:tc>
        <w:tc>
          <w:tcPr>
            <w:shd w:val="clear" w:color="auto" w:fill="auto"/>
            <w:tcMar>
              <w:top w:w="100" w:type="dxa"/>
              <w:left w:w="100" w:type="dxa"/>
              <w:bottom w:w="100" w:type="dxa"/>
              <w:right w:w="100" w:type="dxa"/>
            </w:tcMar>
            <w:vAlign w:val="top"/>
          </w:tcPr>
          <w:p w14:paraId="000000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1,32</w:t>
            </w:r>
          </w:p>
        </w:tc>
        <w:tc>
          <w:tcPr>
            <w:shd w:val="clear" w:color="auto" w:fill="auto"/>
            <w:tcMar>
              <w:top w:w="100" w:type="dxa"/>
              <w:left w:w="100" w:type="dxa"/>
              <w:bottom w:w="100" w:type="dxa"/>
              <w:right w:w="100" w:type="dxa"/>
            </w:tcMar>
            <w:vAlign w:val="top"/>
          </w:tcPr>
          <w:p w14:paraId="0000005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32,97</w:t>
            </w:r>
          </w:p>
        </w:tc>
        <w:tc>
          <w:tcPr>
            <w:shd w:val="clear" w:color="auto" w:fill="auto"/>
            <w:tcMar>
              <w:top w:w="100" w:type="dxa"/>
              <w:left w:w="100" w:type="dxa"/>
              <w:bottom w:w="100" w:type="dxa"/>
              <w:right w:w="100" w:type="dxa"/>
            </w:tcMar>
            <w:vAlign w:val="top"/>
          </w:tcPr>
          <w:p w14:paraId="000000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54,43</w:t>
            </w:r>
          </w:p>
        </w:tc>
      </w:tr>
      <w:tr w14:paraId="3F3872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Papua Tengah</w:t>
            </w:r>
          </w:p>
        </w:tc>
        <w:tc>
          <w:tcPr>
            <w:shd w:val="clear" w:color="auto" w:fill="auto"/>
            <w:tcMar>
              <w:top w:w="100" w:type="dxa"/>
              <w:left w:w="100" w:type="dxa"/>
              <w:bottom w:w="100" w:type="dxa"/>
              <w:right w:w="100" w:type="dxa"/>
            </w:tcMar>
            <w:vAlign w:val="top"/>
          </w:tcPr>
          <w:p w14:paraId="0000005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2,49</w:t>
            </w:r>
          </w:p>
        </w:tc>
        <w:tc>
          <w:tcPr>
            <w:shd w:val="clear" w:color="auto" w:fill="auto"/>
            <w:tcMar>
              <w:top w:w="100" w:type="dxa"/>
              <w:left w:w="100" w:type="dxa"/>
              <w:bottom w:w="100" w:type="dxa"/>
              <w:right w:w="100" w:type="dxa"/>
            </w:tcMar>
            <w:vAlign w:val="top"/>
          </w:tcPr>
          <w:p w14:paraId="0000005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29,76</w:t>
            </w:r>
          </w:p>
        </w:tc>
        <w:tc>
          <w:tcPr>
            <w:shd w:val="clear" w:color="auto" w:fill="auto"/>
            <w:tcMar>
              <w:top w:w="100" w:type="dxa"/>
              <w:left w:w="100" w:type="dxa"/>
              <w:bottom w:w="100" w:type="dxa"/>
              <w:right w:w="100" w:type="dxa"/>
            </w:tcMar>
            <w:vAlign w:val="top"/>
          </w:tcPr>
          <w:p w14:paraId="000000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61,73</w:t>
            </w:r>
          </w:p>
        </w:tc>
      </w:tr>
      <w:tr w14:paraId="49850F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DKI Jakarta</w:t>
            </w:r>
          </w:p>
        </w:tc>
        <w:tc>
          <w:tcPr>
            <w:shd w:val="clear" w:color="auto" w:fill="auto"/>
            <w:tcMar>
              <w:top w:w="100" w:type="dxa"/>
              <w:left w:w="100" w:type="dxa"/>
              <w:bottom w:w="100" w:type="dxa"/>
              <w:right w:w="100" w:type="dxa"/>
            </w:tcMar>
            <w:vAlign w:val="top"/>
          </w:tcPr>
          <w:p w14:paraId="0000005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6,87</w:t>
            </w:r>
          </w:p>
        </w:tc>
        <w:tc>
          <w:tcPr>
            <w:shd w:val="clear" w:color="auto" w:fill="auto"/>
            <w:tcMar>
              <w:top w:w="100" w:type="dxa"/>
              <w:left w:w="100" w:type="dxa"/>
              <w:bottom w:w="100" w:type="dxa"/>
              <w:right w:w="100" w:type="dxa"/>
            </w:tcMar>
            <w:vAlign w:val="top"/>
          </w:tcPr>
          <w:p w14:paraId="0000005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4,30</w:t>
            </w:r>
          </w:p>
        </w:tc>
        <w:tc>
          <w:tcPr>
            <w:shd w:val="clear" w:color="auto" w:fill="auto"/>
            <w:tcMar>
              <w:top w:w="100" w:type="dxa"/>
              <w:left w:w="100" w:type="dxa"/>
              <w:bottom w:w="100" w:type="dxa"/>
              <w:right w:w="100" w:type="dxa"/>
            </w:tcMar>
            <w:vAlign w:val="top"/>
          </w:tcPr>
          <w:p w14:paraId="0000005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84,15</w:t>
            </w:r>
          </w:p>
        </w:tc>
      </w:tr>
      <w:tr w14:paraId="377786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 xml:space="preserve">DI Yogyakarta </w:t>
            </w:r>
          </w:p>
        </w:tc>
        <w:tc>
          <w:tcPr>
            <w:shd w:val="clear" w:color="auto" w:fill="auto"/>
            <w:tcMar>
              <w:top w:w="100" w:type="dxa"/>
              <w:left w:w="100" w:type="dxa"/>
              <w:bottom w:w="100" w:type="dxa"/>
              <w:right w:w="100" w:type="dxa"/>
            </w:tcMar>
            <w:vAlign w:val="top"/>
          </w:tcPr>
          <w:p w14:paraId="0000006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4,36</w:t>
            </w:r>
          </w:p>
        </w:tc>
        <w:tc>
          <w:tcPr>
            <w:shd w:val="clear" w:color="auto" w:fill="auto"/>
            <w:tcMar>
              <w:top w:w="100" w:type="dxa"/>
              <w:left w:w="100" w:type="dxa"/>
              <w:bottom w:w="100" w:type="dxa"/>
              <w:right w:w="100" w:type="dxa"/>
            </w:tcMar>
            <w:vAlign w:val="top"/>
          </w:tcPr>
          <w:p w14:paraId="0000006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11,04</w:t>
            </w:r>
          </w:p>
        </w:tc>
        <w:tc>
          <w:tcPr>
            <w:shd w:val="clear" w:color="auto" w:fill="auto"/>
            <w:tcMar>
              <w:top w:w="100" w:type="dxa"/>
              <w:left w:w="100" w:type="dxa"/>
              <w:bottom w:w="100" w:type="dxa"/>
              <w:right w:w="100" w:type="dxa"/>
            </w:tcMar>
            <w:vAlign w:val="top"/>
          </w:tcPr>
          <w:p w14:paraId="0000006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rPr>
            </w:pPr>
            <w:r>
              <w:rPr>
                <w:rFonts w:ascii="Times New Roman" w:hAnsi="Times New Roman" w:eastAsia="Times New Roman" w:cs="Times New Roman"/>
                <w:rtl w:val="0"/>
              </w:rPr>
              <w:t>80,64</w:t>
            </w:r>
          </w:p>
        </w:tc>
      </w:tr>
    </w:tbl>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rPr>
      </w:pP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r>
        <w:rPr>
          <w:rFonts w:ascii="Times New Roman" w:hAnsi="Times New Roman" w:eastAsia="Times New Roman" w:cs="Times New Roman"/>
          <w:rtl w:val="0"/>
        </w:rPr>
        <w:t>Tingkat Pengangguran Terbuka (TPT) di Papua Pegunungan dan Papua Tengah tergolong sangat rendah, masing-masing hanya 1,32% dan 2,49%. Namun, keduanya memiliki tingkat kemiskinan yang sangat tinggi, yaitu 32,97% dan 29,76%. Ini merupakan salah satu contoh nyata dari “paradoks statistik tenaga kerja”, di mana tingkat pengangguran rendah tidak selalu menunjukkan kesejahteraan. DKI Jakarta, sebagai pusat pemerintahan dan ekonomi Indonesia, mencatat TPT tertinggi dari data ini, yaitu 6,87%, tetapi memiliki tingkat kemiskinan yang sangat rendah, hanya 4,30%, dan IPM yang tinggi, 84,15. Yogyakarta mencatat TPT 4,36%, kemiskinan 11,04%, dan IPM yang tinggi (80,64). Provinsi ini memiliki keseimbangan antara kualitas hidup dan tantangan ekonomi. Berikut adalah grafik yang menunjukkan hubungan antara Tingkat Pengangguran Terbuka.</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r>
        <w:rPr>
          <w:rFonts w:ascii="Times New Roman" w:hAnsi="Times New Roman" w:eastAsia="Times New Roman" w:cs="Times New Roman"/>
          <w:rtl w:val="0"/>
        </w:rPr>
        <w:t>Berikut adalah grafik yang menunjukkan hubungan antara Tingkat Pengangguran Terbuka (TPT) dan Tingkat Kemiskinan di Indonesia dari tahun 2023 hingga 2025:</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p>
    <w:p w14:paraId="00000068">
      <w:pPr>
        <w:spacing w:after="0" w:line="360" w:lineRule="auto"/>
        <w:ind w:right="162"/>
        <w:jc w:val="both"/>
        <w:rPr>
          <w:rFonts w:ascii="Times New Roman" w:hAnsi="Times New Roman" w:eastAsia="Times New Roman" w:cs="Times New Roman"/>
        </w:rPr>
      </w:pPr>
      <w:r>
        <w:rPr>
          <w:rFonts w:ascii="Times New Roman" w:hAnsi="Times New Roman" w:eastAsia="Times New Roman" w:cs="Times New Roman"/>
          <w:sz w:val="24"/>
          <w:szCs w:val="24"/>
        </w:rPr>
        <w:drawing>
          <wp:inline distT="114300" distB="114300" distL="114300" distR="114300">
            <wp:extent cx="3164840" cy="18014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3165343" cy="1801657"/>
                    </a:xfrm>
                    <a:prstGeom prst="rect">
                      <a:avLst/>
                    </a:prstGeom>
                  </pic:spPr>
                </pic:pic>
              </a:graphicData>
            </a:graphic>
          </wp:inline>
        </w:drawing>
      </w:r>
    </w:p>
    <w:p w14:paraId="00000069">
      <w:pPr>
        <w:spacing w:after="0" w:line="240" w:lineRule="auto"/>
        <w:ind w:left="0" w:firstLine="0"/>
        <w:jc w:val="both"/>
        <w:rPr>
          <w:rFonts w:ascii="Times New Roman" w:hAnsi="Times New Roman" w:eastAsia="Times New Roman" w:cs="Times New Roman"/>
        </w:rPr>
      </w:pPr>
      <w:r>
        <w:rPr>
          <w:rFonts w:ascii="Times New Roman" w:hAnsi="Times New Roman" w:eastAsia="Times New Roman" w:cs="Times New Roman"/>
          <w:rtl w:val="0"/>
        </w:rPr>
        <w:t xml:space="preserve"> </w:t>
      </w:r>
    </w:p>
    <w:p w14:paraId="0000006A">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Titik-titik data menunjukkan bahwa sebagian besar provinsi dengan TPT tinggi juga memiliki tingkat kemiskinan yang tinggi. Namun, ada outlier seperti Papua yang menunjukkan TPT rendah tetapi kemiskinan tinggi, yang menunjukkan bahwa faktor kualitas pekerjaan dan akses pembangunan juga berpengaruh besar terhadap kesejahteraan. Terlihat bahwa semakin rendah TPT, maka kemiskinan juga cenderung menurun, menunjukkan adanya hubungan positif antara kedua variabel.</w:t>
      </w:r>
    </w:p>
    <w:p w14:paraId="0000006B">
      <w:pPr>
        <w:spacing w:after="0" w:line="240" w:lineRule="auto"/>
        <w:ind w:firstLine="284"/>
        <w:jc w:val="both"/>
        <w:rPr>
          <w:rFonts w:ascii="Times New Roman" w:hAnsi="Times New Roman" w:eastAsia="Times New Roman" w:cs="Times New Roman"/>
        </w:rPr>
      </w:pPr>
    </w:p>
    <w:p w14:paraId="0000006C">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Indeks Pembangunan Manusia (IPM) adalah ukuran yang digunakan untuk menilai keberhasilan pembangunan jangka panjang dalam tiga dimensi dasar: umur panjang dan hidup sehat, pengetahuan, dan standar hidup layak. Tingginya pengangguran dan kemiskinan cenderung menurunkan IPM karena:</w:t>
      </w:r>
    </w:p>
    <w:p w14:paraId="0000006D">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Indeks Pembangunan Manusia (IPM) adalah ukuran yang digunakan untuk menilai keberhasilan pembangunan jangka panjang dalam tiga dimensi dasar: umur panjang dan hidup sehat, pengetahuan, dan standar hidup layak. Tingginya pengangguran dan kemiskinan cenderung menurunkan IPM karena penduduk miskin cenderung memiliki akses terbatas ke pelayanan kesehatan dan pendidikan dan pengangguran mengurangi daya beli dan mempengaruhi kemampuan untuk membiayai kehidupan yang layak.</w:t>
      </w:r>
    </w:p>
    <w:p w14:paraId="0000006E">
      <w:pPr>
        <w:spacing w:after="0" w:line="360" w:lineRule="auto"/>
        <w:ind w:right="162"/>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Tabel 3.</w:t>
      </w:r>
    </w:p>
    <w:tbl>
      <w:tblPr>
        <w:tblStyle w:val="17"/>
        <w:tblW w:w="421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36"/>
        <w:gridCol w:w="2474"/>
      </w:tblGrid>
      <w:tr w14:paraId="5A51D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6F">
            <w:pPr>
              <w:spacing w:after="0" w:line="360" w:lineRule="auto"/>
              <w:ind w:right="162"/>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Bulan/Tahun</w:t>
            </w:r>
          </w:p>
        </w:tc>
        <w:tc>
          <w:p w14:paraId="00000070">
            <w:pPr>
              <w:spacing w:after="0" w:line="360" w:lineRule="auto"/>
              <w:ind w:right="162"/>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Jumlah Kasus Kriminalitas</w:t>
            </w:r>
          </w:p>
        </w:tc>
      </w:tr>
      <w:tr w14:paraId="7539B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1">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Jan 2023</w:t>
            </w:r>
          </w:p>
        </w:tc>
        <w:tc>
          <w:p w14:paraId="00000072">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36.945</w:t>
            </w:r>
          </w:p>
        </w:tc>
      </w:tr>
      <w:tr w14:paraId="6061B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3">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Feb 2023</w:t>
            </w:r>
          </w:p>
        </w:tc>
        <w:tc>
          <w:p w14:paraId="00000074">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35.491</w:t>
            </w:r>
          </w:p>
        </w:tc>
      </w:tr>
      <w:tr w14:paraId="56A87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5">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Mar 2023</w:t>
            </w:r>
          </w:p>
        </w:tc>
        <w:tc>
          <w:p w14:paraId="00000076">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39.451</w:t>
            </w:r>
          </w:p>
        </w:tc>
      </w:tr>
      <w:tr w14:paraId="780E3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7">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Apr 2023</w:t>
            </w:r>
          </w:p>
        </w:tc>
        <w:tc>
          <w:p w14:paraId="00000078">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32.735</w:t>
            </w:r>
          </w:p>
        </w:tc>
      </w:tr>
      <w:tr w14:paraId="29E75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9">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Mei 2023</w:t>
            </w:r>
          </w:p>
        </w:tc>
        <w:tc>
          <w:p w14:paraId="0000007A">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39.974</w:t>
            </w:r>
          </w:p>
        </w:tc>
      </w:tr>
      <w:tr w14:paraId="431C4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B">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Jun 2023</w:t>
            </w:r>
          </w:p>
        </w:tc>
        <w:tc>
          <w:p w14:paraId="0000007C">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36.475</w:t>
            </w:r>
          </w:p>
        </w:tc>
      </w:tr>
      <w:tr w14:paraId="0C4AB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D">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Jul 2023</w:t>
            </w:r>
          </w:p>
        </w:tc>
        <w:tc>
          <w:p w14:paraId="0000007E">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37.030</w:t>
            </w:r>
          </w:p>
        </w:tc>
      </w:tr>
      <w:tr w14:paraId="6C2C6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7F">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Agu 2023</w:t>
            </w:r>
          </w:p>
        </w:tc>
        <w:tc>
          <w:p w14:paraId="00000080">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38.100</w:t>
            </w:r>
          </w:p>
        </w:tc>
      </w:tr>
      <w:tr w14:paraId="6ED77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1">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Sep 2023</w:t>
            </w:r>
          </w:p>
        </w:tc>
        <w:tc>
          <w:p w14:paraId="00000082">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35.736</w:t>
            </w:r>
          </w:p>
        </w:tc>
      </w:tr>
      <w:tr w14:paraId="383F4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3">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Okt 2023</w:t>
            </w:r>
          </w:p>
        </w:tc>
        <w:tc>
          <w:p w14:paraId="00000084">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36.448</w:t>
            </w:r>
          </w:p>
        </w:tc>
      </w:tr>
      <w:tr w14:paraId="7ADC5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5">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Nov 2023</w:t>
            </w:r>
          </w:p>
        </w:tc>
        <w:tc>
          <w:p w14:paraId="00000086">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34.754</w:t>
            </w:r>
          </w:p>
        </w:tc>
      </w:tr>
      <w:tr w14:paraId="3E89C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7">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Des 2023</w:t>
            </w:r>
          </w:p>
        </w:tc>
        <w:tc>
          <w:p w14:paraId="00000088">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31.629</w:t>
            </w:r>
          </w:p>
        </w:tc>
      </w:tr>
      <w:tr w14:paraId="000888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9">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Jan 2024</w:t>
            </w:r>
          </w:p>
        </w:tc>
        <w:tc>
          <w:p w14:paraId="0000008A">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36.840</w:t>
            </w:r>
          </w:p>
        </w:tc>
      </w:tr>
      <w:tr w14:paraId="4B433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B">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Feb 2024</w:t>
            </w:r>
          </w:p>
        </w:tc>
        <w:tc>
          <w:p w14:paraId="0000008C">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31.365</w:t>
            </w:r>
          </w:p>
        </w:tc>
      </w:tr>
      <w:tr w14:paraId="4F974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D">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Mar 2024</w:t>
            </w:r>
          </w:p>
        </w:tc>
        <w:tc>
          <w:p w14:paraId="0000008E">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36.380</w:t>
            </w:r>
          </w:p>
        </w:tc>
      </w:tr>
      <w:tr w14:paraId="56202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8F">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Apr 2024</w:t>
            </w:r>
          </w:p>
        </w:tc>
        <w:tc>
          <w:p w14:paraId="00000090">
            <w:pPr>
              <w:spacing w:after="0" w:line="360" w:lineRule="auto"/>
              <w:ind w:right="16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25.113</w:t>
            </w:r>
          </w:p>
        </w:tc>
      </w:tr>
    </w:tbl>
    <w:p w14:paraId="00000091">
      <w:pPr>
        <w:spacing w:after="0" w:line="240" w:lineRule="auto"/>
        <w:ind w:left="0" w:firstLine="0"/>
        <w:jc w:val="both"/>
        <w:rPr>
          <w:rFonts w:ascii="Times New Roman" w:hAnsi="Times New Roman" w:eastAsia="Times New Roman" w:cs="Times New Roman"/>
        </w:rPr>
      </w:pPr>
    </w:p>
    <w:p w14:paraId="00000092">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Berdasarkan data yang dikutip dari Pusiknas Polri, berikut adalah jumlah kasus kejahatan nasional per bulan. Jenis kejahatan yang paling dominan sepanjang periode ini adalah Curat (Pencurian dengan Pemberatan), dengan angka tertinggi mencapai 10.000 kasus dalam sebulan (Maret–April 2023).</w:t>
      </w:r>
    </w:p>
    <w:p w14:paraId="00000093">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 xml:space="preserve">Kenaikan kriminalitas pada bulan Maret dan Mei 2023 (di atas 39.000 kasus) terjadi pada saat Indonesia masih dalam tekanan ekonomi pasca-pandemi, dengan TPT nasional cukup tinggi (sekitar 5,45% menurut BPS). Mayoritas kasus adalah pencurian dengan pemberatan, jenis kejahatan yang biasanya dilakukan karena motif ekonomi. Pada saat kriminalitas turun drastis (April 2024 – 25.113 kasus), dapat diasumsikan ada peningkatan efektivitas penegakan hukum atau membaiknya kondisi ekonomi, termasuk kemungkinan turunnya TPT dan peningkatan lapangan kerja. </w:t>
      </w:r>
    </w:p>
    <w:p w14:paraId="00000094">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Kesejahteraan masyarakat mencakup aspek ekonomi, sosial, dan keamanan. Naiknya kriminalitas khususnya kejahatan seperti Curat yang mencerminkan ketidakstabilan sosial dan ekonomi masyarakat. Tingkat pengangguran yang tinggi berkontribusi langsung. terhadap kemiskinan dan ketimpangan, dua faktor yang menurunkan kesejahteraan. Tingkat kriminalitas yang tinggi menimbulkan rasa tidak aman, menurunkan kualitas hidup, dan mempengaruhi iklim investasi serta produktivitas masyarakat. Hal ini sejalan dengan :</w:t>
      </w:r>
    </w:p>
    <w:p w14:paraId="00000095">
      <w:pPr>
        <w:numPr>
          <w:ilvl w:val="0"/>
          <w:numId w:val="2"/>
        </w:numPr>
        <w:spacing w:after="0" w:line="240"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Teori Strain Sosial dari Robert K. Merton yang menyatakan bahwa ketika individu tidak mampu mencapai tujuan-tujuan hidup yang diinginkan melalui jalur-jalur legal, maka mereka akan mencari jalan alternatif, termasuk tindakan kriminal Campedelli dkk, 2020). </w:t>
      </w:r>
    </w:p>
    <w:p w14:paraId="00000096">
      <w:pPr>
        <w:numPr>
          <w:ilvl w:val="0"/>
          <w:numId w:val="2"/>
        </w:numPr>
        <w:spacing w:after="0" w:line="240"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Teori Ekonomi Kejahatan oleh Gary Becker juga menyebutkan bahwa seseorang akan melakukan kejahatan jika manfaat yang diperoleh melebihi risiko hukuman (Astuti, 2025). Dalam konteks pengangguran, potensi kehilangan penghasilan bisa meningkatkan insentif untuk melakukan kejahatan, khususnya kejahatan yang bersifat ekonomi seperti pencurian.</w:t>
      </w:r>
    </w:p>
    <w:p w14:paraId="00000097">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Data dari Pusiknas Polri menunjukkan bahwa kasus pencurian dengan pemberatan (Curat) adalah jenis kejahatan paling dominan dari Januari 2023 hingga April 2024. Kasus tertinggi terjadi pada Maret dan Mei 2023, ketika Indonesia juga masih mengalami tekanan ekonomi pasca-pandemi dan tingkat pengangguran yang cukup tinggi. Kesejahteraan masyarakat tidak hanya mencakup aspek ekonomi (pendapatan, kemiskinan), tetapi juga aspek sosial dan keamanan. Meningkatnya kriminalitas akibat pengangguran berkontribusi pada:</w:t>
      </w:r>
    </w:p>
    <w:p w14:paraId="00000098">
      <w:pPr>
        <w:numPr>
          <w:ilvl w:val="0"/>
          <w:numId w:val="3"/>
        </w:numPr>
        <w:spacing w:after="0" w:line="240"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Turunnya rasa aman masyarakat, yang berdampak pada kualitas hidup.</w:t>
      </w:r>
    </w:p>
    <w:p w14:paraId="00000099">
      <w:pPr>
        <w:numPr>
          <w:ilvl w:val="0"/>
          <w:numId w:val="3"/>
        </w:numPr>
        <w:spacing w:after="0" w:line="240"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Menurunnya iklim usaha dan investasi, yang kemudian memperburuk kondisi lapangan kerja. </w:t>
      </w:r>
    </w:p>
    <w:p w14:paraId="0000009A">
      <w:pPr>
        <w:numPr>
          <w:ilvl w:val="0"/>
          <w:numId w:val="3"/>
        </w:numPr>
        <w:spacing w:after="0" w:line="240"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Peningkatan biaya sosial dan ekonomi, seperti biaya keamanan, kerugian akibat pencurian, hingga trauma psikologis masyarakat.</w:t>
      </w:r>
    </w:p>
    <w:p w14:paraId="0000009B">
      <w:pPr>
        <w:spacing w:after="0" w:line="240" w:lineRule="auto"/>
        <w:ind w:firstLine="284"/>
        <w:jc w:val="both"/>
        <w:rPr>
          <w:rFonts w:ascii="Times New Roman" w:hAnsi="Times New Roman" w:eastAsia="Times New Roman" w:cs="Times New Roman"/>
        </w:rPr>
      </w:pPr>
      <w:r>
        <w:rPr>
          <w:rFonts w:ascii="Times New Roman" w:hAnsi="Times New Roman" w:eastAsia="Times New Roman" w:cs="Times New Roman"/>
          <w:rtl w:val="0"/>
        </w:rPr>
        <w:t>Menurut Todaro dan Smith (2011), kesejahteraan masyarakat bergantung pada produktivitas tenaga kerja dan efisiensi ekonomi. Tingkat pengangguran yang tinggi mencerminkan inefisiensi pasar tenaga kerja, yang mengarah pada penurunan kualitas hidup dan peningkatan kemiskinan Berdasarkan data 2023–2024:</w:t>
      </w:r>
    </w:p>
    <w:p w14:paraId="0000009C">
      <w:pPr>
        <w:numPr>
          <w:ilvl w:val="0"/>
          <w:numId w:val="4"/>
        </w:numPr>
        <w:spacing w:after="0" w:line="240"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 xml:space="preserve">Peningkatan kejahatan (seperti di bulan Maret dan Mei 2023) terjadi ketika pengangguran masih tinggi dan kemiskinan belum menurun signifikan. </w:t>
      </w:r>
    </w:p>
    <w:p w14:paraId="0000009D">
      <w:pPr>
        <w:numPr>
          <w:ilvl w:val="0"/>
          <w:numId w:val="4"/>
        </w:numPr>
        <w:spacing w:after="0" w:line="240" w:lineRule="auto"/>
        <w:ind w:left="720" w:hanging="360"/>
        <w:jc w:val="both"/>
        <w:rPr>
          <w:rFonts w:ascii="Times New Roman" w:hAnsi="Times New Roman" w:eastAsia="Times New Roman" w:cs="Times New Roman"/>
        </w:rPr>
      </w:pPr>
      <w:r>
        <w:rPr>
          <w:rFonts w:ascii="Times New Roman" w:hAnsi="Times New Roman" w:eastAsia="Times New Roman" w:cs="Times New Roman"/>
          <w:rtl w:val="0"/>
        </w:rPr>
        <w:t>Penurunan kriminalitas drastis pada April 2024 mungkin berhubungan dengan peningkatan efektivitas penegakan hukum atau stabilitas ekonomi, meskipun data pengangguran nasional 2024 perlu dipastikan secara statistik lebih lanjut.</w:t>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p>
    <w:p w14:paraId="0000009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Times New Roman" w:hAnsi="Times New Roman" w:eastAsia="Times New Roman" w:cs="Times New Roman"/>
          <w:b/>
          <w:i w:val="0"/>
          <w:smallCaps w:val="0"/>
          <w:strike w:val="0"/>
          <w:color w:val="000000"/>
          <w:sz w:val="22"/>
          <w:szCs w:val="22"/>
          <w:u w:val="none"/>
          <w:shd w:val="clear" w:fill="auto"/>
          <w:vertAlign w:val="baseline"/>
        </w:rPr>
      </w:pPr>
      <w:commentRangeStart w:id="4"/>
      <w:r>
        <w:rPr>
          <w:rFonts w:ascii="Times New Roman" w:hAnsi="Times New Roman" w:eastAsia="Times New Roman" w:cs="Times New Roman"/>
          <w:b/>
          <w:i w:val="0"/>
          <w:smallCaps w:val="0"/>
          <w:strike w:val="0"/>
          <w:color w:val="000000"/>
          <w:sz w:val="22"/>
          <w:szCs w:val="22"/>
          <w:u w:val="none"/>
          <w:shd w:val="clear" w:fill="auto"/>
          <w:vertAlign w:val="baseline"/>
          <w:rtl w:val="0"/>
        </w:rPr>
        <w:t>KESIMPULAN</w:t>
      </w:r>
      <w:commentRangeEnd w:id="4"/>
      <w:r>
        <w:commentReference w:id="4"/>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bookmarkStart w:id="0" w:name="_52nyfkwdinih" w:colFirst="0" w:colLast="0"/>
      <w:bookmarkEnd w:id="0"/>
      <w:r>
        <w:rPr>
          <w:rFonts w:ascii="Times New Roman" w:hAnsi="Times New Roman" w:eastAsia="Times New Roman" w:cs="Times New Roman"/>
          <w:rtl w:val="0"/>
        </w:rPr>
        <w:t xml:space="preserve">Penelitian ini menyoroti hubungan yang kompleks antara pengangguran dan kesejahteraan masyarakat di Indonesia, dengan mempertimbangkan indikator tingkat kemiskinan, Indeks Pembangunan Manusia (IPM), dan tingkat kriminalitas. Berdasarkan analisis data dari 2023 hingga proyeksi 2025, ditemukan bahwa secara nasional, penurunan Tingkat Pengangguran Terbuka (TPT) cenderung beriringan dengan penurunan tingkat kemiskinan dan menurunnya angka kriminalitas. Hal ini menunjukkan bahwa penurunan pengangguran dapat menjadi salah satu indikator perbaikan kondisi ekonomi masyarakat. </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bookmarkStart w:id="1" w:name="_lhy1u8n3j7zs" w:colFirst="0" w:colLast="0"/>
      <w:bookmarkEnd w:id="1"/>
      <w:r>
        <w:rPr>
          <w:rFonts w:ascii="Times New Roman" w:hAnsi="Times New Roman" w:eastAsia="Times New Roman" w:cs="Times New Roman"/>
          <w:rtl w:val="0"/>
        </w:rPr>
        <w:t xml:space="preserve">Namun, tketika dianalisis lebih lanjut pada tingkat provinsi, terdapat fenomena yang tidak selaras dengan tren nasional. Beberapa daerah, seperti Papua Pegunungan dan Papua Tengah, memperlihatkan TPT yang sangat rendah tetapi masih memiliki tingkat kemiskinan yang tinggi dan IPM yang rendah. Hal ini mengindikasikan bahwa keberadaan pekerjaan semata tidak cukup untuk menjamin peningkatan kesejahteraan masyarakat jika pekerjaan tersebut tidak layak, informal, atau tidak memberikan penghasilan yang cukup. Di sisi lain, provinsi seperti DKI Jakarta dan DI Yogyakarta menunjukkan bahwa keseimbangan antara ketersediaan pekerjaan, kualitas pendidikan, dan layanan dasar lainnya dapat menghasilkan IPM tinggi dan tingkat kemiskinan rendah meskipun TPT relatif tinggi. </w:t>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bookmarkStart w:id="2" w:name="_1nr6f037k7m9" w:colFirst="0" w:colLast="0"/>
      <w:bookmarkEnd w:id="2"/>
      <w:r>
        <w:rPr>
          <w:rFonts w:ascii="Times New Roman" w:hAnsi="Times New Roman" w:eastAsia="Times New Roman" w:cs="Times New Roman"/>
          <w:rtl w:val="0"/>
        </w:rPr>
        <w:t xml:space="preserve">Selain itu, keterkaitan antara pengangguran dan kriminalitas juga menjadi perhatian penting. Data menunjukkan bahwa tingginya angka pengangguran berkorelasi dengan meningkatnya kasus kejahatan, khususnya kejahatan bermotif ekonomi seperti pencurian dengan pemberatan (Curat). Hal ini sejalan dengan teori-teori sosiologis dan ekonomi yang menyatakan bahwa tekanan ekonomi akibat pengangguran dapat mendorong individu untuk melakukan tindakan kriminal sebagai alternatif pemenuhan kebutuhan hidup. </w:t>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bookmarkStart w:id="3" w:name="_spgcmex0m1wc" w:colFirst="0" w:colLast="0"/>
      <w:bookmarkEnd w:id="3"/>
      <w:r>
        <w:rPr>
          <w:rFonts w:ascii="Times New Roman" w:hAnsi="Times New Roman" w:eastAsia="Times New Roman" w:cs="Times New Roman"/>
          <w:rtl w:val="0"/>
        </w:rPr>
        <w:t xml:space="preserve">Temuan-temuan ini memberikan gambaran bahwa kesejahteraan masyarakat tidak hanya ditentukan oleh seberapa rendah tingkat pengangguran, tetapi juga oleh kualitas lapangan pekerjaan yang tersedia, pemerataan pembangunan antar wilayah, akses terhadap pendidikan dan kesehatan, serta stabilitas sosial. Maka dari itu, upaya pemerintah dalam menurunkan pengangguran harus dibarengi dengan kebijakan peningkatan kualitas kerja, pelatihan tenaga kerja, penyediaan layanan dasar yang memadai, dan penguatan sistem perlindungan sosial untuk kelompok rentan. </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rPr>
      </w:pPr>
      <w:bookmarkStart w:id="4" w:name="_ywh3hrd3a8ws" w:colFirst="0" w:colLast="0"/>
      <w:bookmarkEnd w:id="4"/>
      <w:r>
        <w:rPr>
          <w:rFonts w:ascii="Times New Roman" w:hAnsi="Times New Roman" w:eastAsia="Times New Roman" w:cs="Times New Roman"/>
          <w:rtl w:val="0"/>
        </w:rPr>
        <w:t>Dengan demikian, diperlukan pendekatan kebijakan yang lebih komprehensif dan lintas sektor yang tidak hanya fokus pada penciptaan lapangan kerja, tetapi juga mengintegrasikan aspek kualitas hidup secara menyeluruh. Hanya dengan cara ini tujuan pembangunan yang inklusif dan berkelanjutan dapat tercapai, serta kesejahteraan masyarakat Indonesia dapat meningkat secara merata.</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p>
    <w:p w14:paraId="000000A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4" w:right="0" w:hanging="284"/>
        <w:jc w:val="both"/>
        <w:rPr>
          <w:rFonts w:ascii="Times New Roman" w:hAnsi="Times New Roman" w:eastAsia="Times New Roman" w:cs="Times New Roman"/>
          <w:b/>
          <w:i w:val="0"/>
          <w:smallCaps w:val="0"/>
          <w:strike w:val="0"/>
          <w:color w:val="000000"/>
          <w:sz w:val="22"/>
          <w:szCs w:val="22"/>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UCAPAN TERIMA KASIH</w:t>
      </w: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284"/>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rtl w:val="0"/>
        </w:rPr>
        <w:t>Terima kasih saya ucapkan pada Allah SWT, teman-teman, Dosen dan keluarga  sekalian yang sudah membantu pembuatan jurnal ini dari awal hingga selesai, semoga jurnal ini bisa bermanfaat bagi banyak orang.</w:t>
      </w: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p>
    <w:p w14:paraId="000000A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4" w:right="0" w:hanging="284"/>
        <w:jc w:val="both"/>
        <w:rPr>
          <w:rFonts w:ascii="Times New Roman" w:hAnsi="Times New Roman" w:eastAsia="Times New Roman" w:cs="Times New Roman"/>
          <w:b/>
          <w:i w:val="0"/>
          <w:smallCaps w:val="0"/>
          <w:strike w:val="0"/>
          <w:color w:val="000000"/>
          <w:sz w:val="22"/>
          <w:szCs w:val="22"/>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DAFTAR PUSTAKA</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tl w:val="0"/>
        </w:rPr>
        <w:t xml:space="preserve"> </w:t>
      </w:r>
    </w:p>
    <w:p w14:paraId="000000AD">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Astuti, A. W., Hasanah Hasibuan, Z., Harahap, P. N., Simanjuntak, T. F. B., Zuhriadi, M., Hasanah, I., Syahrani, D., &amp; Pratama, L. S. (2025). Pengaruh pengangguran dan pendidikan terhadap tingkat kriminalitas dengan kemiskinan sebagai variabel intervening di Indonesia [Artikel jurnal]. TAMBORA: Jurnal Pendidikan dan Ekonomi, 9(1).</w:t>
      </w:r>
    </w:p>
    <w:p w14:paraId="000000AE">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 xml:space="preserve">Becker, G. S. (1968). Crime and punishment: An economic approach. Journal of Political Economy, 76(2), 169–217. </w:t>
      </w:r>
    </w:p>
    <w:p w14:paraId="000000AF">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BPS. (2024). Persentase Penduduk Miskin 2023–2024. diakses pada tanggal 1 Juni 2025 https://www.bps.go.id</w:t>
      </w:r>
    </w:p>
    <w:p w14:paraId="000000B0">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 xml:space="preserve">BPS. (2024). Tingkat Pengangguran Terbuka 2023–2024. diakses pada tanggal 1 Juni 2025 https://www.bps.go.id </w:t>
      </w:r>
    </w:p>
    <w:p w14:paraId="000000B1">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Campedelli, G. M., Aziani, A., &amp; Favarin, S. (2020). Disentangling community-level changes in crime trends during the COVID‑19 pandemic in Chicago. Crime Science, 9(21).</w:t>
      </w:r>
    </w:p>
    <w:p w14:paraId="000000B2">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 xml:space="preserve">Mankiw, N. G. (2018). Principles of economics (8th ed.). Stamford, CT: Cengage Learning. </w:t>
      </w:r>
    </w:p>
    <w:p w14:paraId="000000B3">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Pusat Studi Kejahatan Nasional (Pusiknas). (2024). Data Kejahatan Nasional 2023–2024. diakses pada tanggal 1 Juni 2025 https://pusiknas.polri.go.id/data_kejahatan</w:t>
      </w:r>
    </w:p>
    <w:p w14:paraId="000000B4">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 xml:space="preserve">Sullivan, A., &amp; Sheffrin, S. M. (2018). Economics: Principles in action. Upper Saddle River, NJ: Pearson Education. </w:t>
      </w:r>
    </w:p>
    <w:p w14:paraId="000000B5">
      <w:pPr>
        <w:spacing w:after="0" w:line="240" w:lineRule="auto"/>
        <w:ind w:left="284" w:hanging="284"/>
        <w:jc w:val="both"/>
        <w:rPr>
          <w:rFonts w:ascii="Times New Roman" w:hAnsi="Times New Roman" w:eastAsia="Times New Roman" w:cs="Times New Roman"/>
        </w:rPr>
      </w:pPr>
      <w:r>
        <w:rPr>
          <w:rFonts w:ascii="Times New Roman" w:hAnsi="Times New Roman" w:eastAsia="Times New Roman" w:cs="Times New Roman"/>
          <w:rtl w:val="0"/>
        </w:rPr>
        <w:t>Todaro, M. P., &amp; Smith, S. C. (2011). Economic Development (11th ed.). Boston: Addison Wesley.</w:t>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sectPr>
          <w:type w:val="continuous"/>
          <w:pgSz w:w="11907" w:h="16840"/>
          <w:pgMar w:top="1418" w:right="1418" w:bottom="1418" w:left="1701" w:header="851" w:footer="737" w:gutter="0"/>
          <w:cols w:equalWidth="0" w:num="2">
            <w:col w:w="4040" w:space="708"/>
            <w:col w:w="4040"/>
          </w:cols>
        </w:sectPr>
      </w:pP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2"/>
          <w:szCs w:val="22"/>
          <w:u w:val="none"/>
          <w:shd w:val="clear" w:fill="auto"/>
          <w:vertAlign w:val="baseline"/>
        </w:rPr>
      </w:pPr>
    </w:p>
    <w:sectPr>
      <w:type w:val="continuous"/>
      <w:pgSz w:w="11907" w:h="16840"/>
      <w:pgMar w:top="1418" w:right="1418" w:bottom="1418" w:left="1701" w:header="851" w:footer="737"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08-13T08:22:58Z" w:initials="">
    <w:p w14:paraId="29F54F76">
      <w:pPr>
        <w:pStyle w:val="10"/>
        <w:rPr>
          <w:rFonts w:hint="default"/>
          <w:lang w:val="en-US"/>
        </w:rPr>
      </w:pPr>
      <w:r>
        <w:rPr>
          <w:rFonts w:hint="default"/>
          <w:lang w:val="en-US"/>
        </w:rPr>
        <w:t>baik</w:t>
      </w:r>
    </w:p>
  </w:comment>
  <w:comment w:id="1" w:author="WPS_1749506791" w:date="2025-08-13T08:24:38Z" w:initials="">
    <w:p w14:paraId="76D99646">
      <w:pPr>
        <w:pStyle w:val="10"/>
        <w:rPr>
          <w:rFonts w:hint="default"/>
          <w:lang w:val="en-US"/>
        </w:rPr>
      </w:pPr>
      <w:r>
        <w:rPr>
          <w:rFonts w:hint="default"/>
          <w:lang w:val="en-US"/>
        </w:rPr>
        <w:t xml:space="preserve">Pastikan </w:t>
      </w:r>
      <w:r>
        <w:rPr>
          <w:rFonts w:ascii="Helvetica" w:hAnsi="Helvetica" w:eastAsia="Helvetica" w:cs="Helvetica"/>
          <w:i w:val="0"/>
          <w:iCs w:val="0"/>
          <w:caps w:val="0"/>
          <w:color w:val="000000"/>
          <w:spacing w:val="0"/>
          <w:sz w:val="21"/>
          <w:szCs w:val="21"/>
          <w:shd w:val="clear" w:fill="FFFFFF"/>
        </w:rPr>
        <w:t>disampaikan latar belakang penelitian/tulisan, secara ringkas tinjauan pustaka (literatur) yang menjelaskan state of the art penelitian dan tujuan penelitian/tulisan.</w:t>
      </w:r>
    </w:p>
  </w:comment>
  <w:comment w:id="2" w:author="WPS_1749506791" w:date="2025-08-13T08:25:31Z" w:initials="">
    <w:p w14:paraId="3D1FFE20">
      <w:pPr>
        <w:pStyle w:val="10"/>
        <w:rPr>
          <w:rFonts w:hint="default"/>
          <w:lang w:val="en-US"/>
        </w:rPr>
      </w:pPr>
      <w:r>
        <w:rPr>
          <w:rFonts w:hint="default"/>
          <w:lang w:val="en-US"/>
        </w:rPr>
        <w:t>Pastikan telah menggunakan metode yang tepat</w:t>
      </w:r>
    </w:p>
  </w:comment>
  <w:comment w:id="3" w:author="WPS_1749506791" w:date="2025-08-13T08:25:57Z" w:initials="">
    <w:p w14:paraId="5E7CFEA3">
      <w:pPr>
        <w:pStyle w:val="10"/>
        <w:rPr>
          <w:rFonts w:hint="default"/>
          <w:lang w:val="en-US"/>
        </w:rPr>
      </w:pPr>
      <w:r>
        <w:rPr>
          <w:rFonts w:hint="default"/>
          <w:lang w:val="en-US"/>
        </w:rPr>
        <w:t xml:space="preserve">Pastikan </w:t>
      </w:r>
      <w:r>
        <w:rPr>
          <w:rFonts w:ascii="Helvetica" w:hAnsi="Helvetica" w:eastAsia="Helvetica" w:cs="Helvetica"/>
          <w:i w:val="0"/>
          <w:iCs w:val="0"/>
          <w:caps w:val="0"/>
          <w:color w:val="000000"/>
          <w:spacing w:val="0"/>
          <w:sz w:val="21"/>
          <w:szCs w:val="21"/>
          <w:shd w:val="clear" w:fill="FFFFFF"/>
        </w:rPr>
        <w:t>disampaikan hasil penelitian yang diperoleh secara sistematis dan konstruktif dilengkapi dengan pembahasan yang komprehensif yang mendukung tujuan penelitian dan memperkuat kesimpulan.</w:t>
      </w:r>
    </w:p>
  </w:comment>
  <w:comment w:id="4" w:author="WPS_1749506791" w:date="2025-08-13T08:26:39Z" w:initials="">
    <w:p w14:paraId="3BC5793A">
      <w:pPr>
        <w:pStyle w:val="10"/>
        <w:rPr>
          <w:rFonts w:hint="default"/>
          <w:lang w:val="en-US"/>
        </w:rPr>
      </w:pPr>
      <w:r>
        <w:rPr>
          <w:rFonts w:hint="default"/>
          <w:lang w:val="en-US"/>
        </w:rPr>
        <w:t xml:space="preserve">Pastikan </w:t>
      </w:r>
      <w:r>
        <w:rPr>
          <w:rFonts w:ascii="Helvetica" w:hAnsi="Helvetica" w:eastAsia="Helvetica" w:cs="Helvetica"/>
          <w:i w:val="0"/>
          <w:iCs w:val="0"/>
          <w:caps w:val="0"/>
          <w:color w:val="000000"/>
          <w:spacing w:val="0"/>
          <w:sz w:val="21"/>
          <w:szCs w:val="21"/>
          <w:shd w:val="clear" w:fill="FFFFFF"/>
        </w:rPr>
        <w:t>disampaikan secara ringkas kesimpulan utama dari hasil yang diperoleh</w:t>
      </w:r>
      <w:bookmarkStart w:id="5" w:name="_GoBack"/>
      <w:bookmarkEnd w:id="5"/>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F54F76" w15:done="0"/>
  <w15:commentEx w15:paraId="76D99646" w15:done="0"/>
  <w15:commentEx w15:paraId="3D1FFE20" w15:done="0"/>
  <w15:commentEx w15:paraId="5E7CFEA3" w15:done="0"/>
  <w15:commentEx w15:paraId="3BC5793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w:t>
    </w: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r>
      <mc:AlternateContent>
        <mc:Choice Requires="wps">
          <w:drawing>
            <wp:anchor distT="0" distB="0" distL="114300" distR="114300" simplePos="0" relativeHeight="251659264" behindDoc="0" locked="0" layoutInCell="1" allowOverlap="1">
              <wp:simplePos x="0" y="0"/>
              <wp:positionH relativeFrom="column">
                <wp:posOffset>-96520</wp:posOffset>
              </wp:positionH>
              <wp:positionV relativeFrom="paragraph">
                <wp:posOffset>26670</wp:posOffset>
              </wp:positionV>
              <wp:extent cx="4248150" cy="4095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A0980">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pt;margin-top:2.1pt;height:32.25pt;width:334.5pt;z-index:251659264;mso-width-relative:page;mso-height-relative:page;" fillcolor="#FFFFFF [3201]" filled="t" stroked="f" coordsize="21600,21600" o:gfxdata="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D8kaLUAAAACAEAAA8AAAAAAAAAAQAgAAAAIgAAAGRy&#10;cy9kb3ducmV2LnhtbFBLAQIUABQAAAAIAIdO4kBxtq7NQgIAAJwEAAAOAAAAAAAAAAEAIAAAACMB&#10;AABkcnMvZTJvRG9jLnhtbFBLBQYAAAAABgAGAFkBAADXBQAAAAA=&#10;">
              <v:fill on="t" focussize="0,0"/>
              <v:stroke on="f" weight="0.5pt"/>
              <v:imagedata o:title=""/>
              <o:lock v:ext="edit" aspectratio="f"/>
              <v:textbox>
                <w:txbxContent>
                  <w:p w14:paraId="44CA0980">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-40005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85pt;margin-top:-3.15pt;height:0.05pt;width:445.5pt;z-index:251659264;mso-width-relative:page;mso-height-relative:page;" filled="f" stroked="t" coordsize="21600,21600" o:gfxdata="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Gg4D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000000C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0"/>
        <w:szCs w:val="20"/>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Jurnal Riset Akuntansi Tridinanti (Jurnal Ratri), Vol. xy, No. xz, hal. XX – XX, Juni dan Desember,</w:t>
    </w:r>
  </w:p>
  <w:p w14:paraId="000000C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p-ISSN 2715-0208; e-ISSN 2827-9328</w:t>
    </w:r>
  </w:p>
  <w:p w14:paraId="000000C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i w:val="0"/>
        <w:smallCaps w:val="0"/>
        <w:strike w:val="0"/>
        <w:color w:val="000000"/>
        <w:sz w:val="20"/>
        <w:szCs w:val="20"/>
        <w:u w:val="none"/>
        <w:shd w:val="clear" w:fill="auto"/>
        <w:vertAlign w:val="baseline"/>
      </w:rPr>
    </w:pPr>
    <w: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92075</wp:posOffset>
              </wp:positionV>
              <wp:extent cx="5657850" cy="635"/>
              <wp:effectExtent l="0" t="0" r="19050" b="37465"/>
              <wp:wrapNone/>
              <wp:docPr id="3" name="Straight Arrow Connector 3"/>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pt;margin-top:7.25pt;height:0.05pt;width:445.5pt;z-index:251659264;mso-width-relative:page;mso-height-relative:page;" filled="f" stroked="t" coordsize="21600,21600" o:gfxdata="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ctZN91wAAAAgBAAAPAAAA&#10;AAAAAAEAIAAAACIAAABkcnMvZG93bnJldi54bWxQSwECFAAUAAAACACHTuJAA44vb90BAADDAwAA&#10;DgAAAAAAAAABACAAAAAmAQAAZHJzL2Uyb0RvYy54bWxQSwUGAAAAAAYABgBZAQAAdQUAAAAA&#10;">
              <v:fill on="f" focussize="0,0"/>
              <v:stroke color="#000000" joinstyle="round"/>
              <v:imagedata o:title=""/>
              <o:lock v:ext="edit" aspectratio="f"/>
            </v:shape>
          </w:pict>
        </mc:Fallback>
      </mc:AlternateContent>
    </w:r>
  </w:p>
  <w:p w14:paraId="000000C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74E27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annotation text"/>
    <w:basedOn w:val="1"/>
    <w:uiPriority w:val="0"/>
    <w:pPr>
      <w:jc w:val="left"/>
    </w:p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pageBreakBefore w:val="0"/>
      <w:spacing w:before="480" w:after="120"/>
    </w:pPr>
    <w:rPr>
      <w:b/>
      <w:sz w:val="72"/>
      <w:szCs w:val="72"/>
    </w:rPr>
  </w:style>
  <w:style w:type="table" w:customStyle="1" w:styleId="13">
    <w:name w:val="TableNormal"/>
    <w:uiPriority w:val="0"/>
  </w:style>
  <w:style w:type="table" w:customStyle="1" w:styleId="14">
    <w:name w:val="_Style 10"/>
    <w:basedOn w:val="13"/>
    <w:uiPriority w:val="0"/>
    <w:tblPr>
      <w:tblCellMar>
        <w:top w:w="0" w:type="dxa"/>
        <w:left w:w="115" w:type="dxa"/>
        <w:bottom w:w="0" w:type="dxa"/>
        <w:right w:w="115" w:type="dxa"/>
      </w:tblCellMar>
    </w:tblPr>
  </w:style>
  <w:style w:type="table" w:customStyle="1" w:styleId="15">
    <w:name w:val="_Style 11"/>
    <w:basedOn w:val="13"/>
    <w:uiPriority w:val="0"/>
    <w:tblPr>
      <w:tblCellMar>
        <w:top w:w="100" w:type="dxa"/>
        <w:left w:w="100" w:type="dxa"/>
        <w:bottom w:w="100" w:type="dxa"/>
        <w:right w:w="100" w:type="dxa"/>
      </w:tblCellMar>
    </w:tblPr>
  </w:style>
  <w:style w:type="table" w:customStyle="1" w:styleId="16">
    <w:name w:val="_Style 12"/>
    <w:basedOn w:val="13"/>
    <w:uiPriority w:val="0"/>
    <w:tblPr>
      <w:tblCellMar>
        <w:top w:w="100" w:type="dxa"/>
        <w:left w:w="100" w:type="dxa"/>
        <w:bottom w:w="100" w:type="dxa"/>
        <w:right w:w="100" w:type="dxa"/>
      </w:tblCellMar>
    </w:tblPr>
  </w:style>
  <w:style w:type="table" w:customStyle="1" w:styleId="17">
    <w:name w:val="_Style 13"/>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TotalTime>4</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2025-08-13T01:21:58Z</dcterms:created>
  <dc:creator>lapto</dc:creator>
  <cp:lastModifiedBy>WPS_1749506791</cp:lastModifiedBy>
  <dcterms:modified xsi:type="dcterms:W3CDTF">2025-08-13T01:26:45Z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C84664E3BEBE42AFB4DA51E374F6D026_12</vt:lpwstr>
  </property>
</Properties>
</file>