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2AA7F">
      <w:pPr>
        <w:pStyle w:val="20"/>
        <w:pBdr>
          <w:bottom w:val="double" w:color="auto" w:sz="6" w:space="1"/>
        </w:pBdr>
        <w:spacing w:after="0"/>
        <w:rPr>
          <w:rFonts w:hint="default"/>
          <w:b/>
          <w:i w:val="0"/>
          <w:sz w:val="24"/>
          <w:szCs w:val="24"/>
          <w:lang w:val="en-US"/>
        </w:rPr>
      </w:pPr>
      <w:r>
        <w:rPr>
          <w:rFonts w:hint="default"/>
          <w:b/>
          <w:i w:val="0"/>
          <w:sz w:val="24"/>
          <w:szCs w:val="24"/>
          <w:lang w:val="en-US"/>
        </w:rPr>
        <w:t xml:space="preserve">PENGARUH PERENCANAAN PAJAK, KEPUTUSAN INVESTASI DAN </w:t>
      </w:r>
      <w:r>
        <w:rPr>
          <w:rFonts w:hint="default"/>
          <w:b/>
          <w:i/>
          <w:iCs/>
          <w:sz w:val="24"/>
          <w:szCs w:val="24"/>
          <w:lang w:val="en-US"/>
        </w:rPr>
        <w:t xml:space="preserve">CASH HOLDING </w:t>
      </w:r>
      <w:r>
        <w:rPr>
          <w:rFonts w:hint="default"/>
          <w:b/>
          <w:i w:val="0"/>
          <w:sz w:val="24"/>
          <w:szCs w:val="24"/>
          <w:lang w:val="en-US"/>
        </w:rPr>
        <w:t>TERHADAP NILAI PERUSAHAAN PADA SUBSEKTOR PERBANKAN YANG TERDAFTAR DI BEI PERIODE 2022-2024</w:t>
      </w:r>
    </w:p>
    <w:p w14:paraId="73F61A50">
      <w:pPr>
        <w:pStyle w:val="20"/>
        <w:pBdr>
          <w:bottom w:val="double" w:color="auto" w:sz="6" w:space="1"/>
        </w:pBdr>
        <w:spacing w:after="0"/>
        <w:rPr>
          <w:rFonts w:hint="default"/>
          <w:b/>
          <w:i w:val="0"/>
          <w:sz w:val="22"/>
          <w:szCs w:val="22"/>
          <w:lang w:val="en-US"/>
        </w:rPr>
      </w:pPr>
    </w:p>
    <w:p w14:paraId="73912F79">
      <w:pPr>
        <w:pStyle w:val="20"/>
        <w:pBdr>
          <w:bottom w:val="double" w:color="auto" w:sz="6" w:space="1"/>
        </w:pBdr>
        <w:spacing w:after="0"/>
        <w:rPr>
          <w:rFonts w:hint="default" w:ascii="Cambria" w:hAnsi="Cambria"/>
          <w:i w:val="0"/>
          <w:sz w:val="28"/>
          <w:szCs w:val="28"/>
          <w:lang w:val="en-US"/>
        </w:rPr>
      </w:pPr>
      <w:r>
        <w:rPr>
          <w:rFonts w:hint="default"/>
          <w:b/>
          <w:i w:val="0"/>
          <w:sz w:val="22"/>
          <w:szCs w:val="22"/>
          <w:lang w:val="en-US"/>
        </w:rPr>
        <w:t>Ika Haryanti</w:t>
      </w:r>
      <w:r>
        <w:rPr>
          <w:b/>
          <w:i w:val="0"/>
          <w:sz w:val="22"/>
          <w:szCs w:val="22"/>
          <w:vertAlign w:val="superscript"/>
          <w:lang w:val="id-ID"/>
        </w:rPr>
        <w:t>1</w:t>
      </w:r>
      <w:r>
        <w:rPr>
          <w:b/>
          <w:i w:val="0"/>
          <w:sz w:val="22"/>
          <w:szCs w:val="22"/>
          <w:vertAlign w:val="superscript"/>
          <w:lang w:val="en-US"/>
        </w:rPr>
        <w:t>)</w:t>
      </w:r>
      <w:r>
        <w:rPr>
          <w:b/>
          <w:i w:val="0"/>
          <w:sz w:val="22"/>
          <w:szCs w:val="22"/>
          <w:lang w:val="en-US"/>
        </w:rPr>
        <w:t xml:space="preserve">, </w:t>
      </w:r>
      <w:r>
        <w:rPr>
          <w:rFonts w:hint="default"/>
          <w:b/>
          <w:i w:val="0"/>
          <w:sz w:val="22"/>
          <w:szCs w:val="22"/>
          <w:lang w:val="en-US"/>
        </w:rPr>
        <w:t>Sahila</w:t>
      </w:r>
      <w:r>
        <w:rPr>
          <w:b/>
          <w:i w:val="0"/>
          <w:sz w:val="22"/>
          <w:szCs w:val="22"/>
          <w:vertAlign w:val="superscript"/>
          <w:lang w:val="en-US"/>
        </w:rPr>
        <w:t>2</w:t>
      </w:r>
      <w:r>
        <w:rPr>
          <w:rFonts w:hint="default"/>
          <w:b/>
          <w:i w:val="0"/>
          <w:sz w:val="22"/>
          <w:szCs w:val="22"/>
          <w:vertAlign w:val="superscript"/>
          <w:lang w:val="en-US"/>
        </w:rPr>
        <w:t>)</w:t>
      </w:r>
      <w:r>
        <w:rPr>
          <w:rFonts w:hint="default"/>
          <w:b/>
          <w:i w:val="0"/>
          <w:sz w:val="22"/>
          <w:szCs w:val="22"/>
          <w:vertAlign w:val="baseline"/>
          <w:lang w:val="en-US"/>
        </w:rPr>
        <w:t>, Aida Rakhmawati</w:t>
      </w:r>
      <w:r>
        <w:rPr>
          <w:rFonts w:hint="default"/>
          <w:b/>
          <w:i w:val="0"/>
          <w:sz w:val="22"/>
          <w:szCs w:val="22"/>
          <w:vertAlign w:val="superscript"/>
          <w:lang w:val="en-US"/>
        </w:rPr>
        <w:t>3)</w:t>
      </w:r>
    </w:p>
    <w:p w14:paraId="3E782F73">
      <w:pPr>
        <w:pStyle w:val="20"/>
        <w:pBdr>
          <w:bottom w:val="double" w:color="auto" w:sz="6" w:space="1"/>
        </w:pBdr>
        <w:spacing w:after="0"/>
        <w:rPr>
          <w:i w:val="0"/>
          <w:sz w:val="18"/>
          <w:szCs w:val="18"/>
          <w:lang w:val="en-US"/>
        </w:rPr>
      </w:pPr>
    </w:p>
    <w:p w14:paraId="46DF6DD0">
      <w:pPr>
        <w:pStyle w:val="20"/>
        <w:pBdr>
          <w:bottom w:val="double" w:color="auto" w:sz="6" w:space="1"/>
        </w:pBdr>
        <w:spacing w:after="0"/>
        <w:rPr>
          <w:rFonts w:ascii="Cambria" w:hAnsi="Cambria"/>
          <w:szCs w:val="16"/>
          <w:lang w:val="id-ID"/>
        </w:rPr>
      </w:pPr>
      <w:r>
        <w:rPr>
          <w:rFonts w:hint="default" w:ascii="Cambria" w:hAnsi="Cambria"/>
          <w:i w:val="0"/>
          <w:iCs/>
          <w:szCs w:val="16"/>
          <w:vertAlign w:val="superscript"/>
          <w:lang w:val="en-US"/>
        </w:rPr>
        <w:t>1,2,3</w:t>
      </w:r>
      <w:r>
        <w:rPr>
          <w:rFonts w:hint="default" w:ascii="Cambria" w:hAnsi="Cambria"/>
          <w:szCs w:val="16"/>
          <w:vertAlign w:val="superscript"/>
          <w:lang w:val="en-US"/>
        </w:rPr>
        <w:t>)</w:t>
      </w:r>
      <w:r>
        <w:rPr>
          <w:rFonts w:ascii="Cambria" w:hAnsi="Cambria"/>
          <w:szCs w:val="16"/>
          <w:lang w:val="en-US"/>
        </w:rPr>
        <w:t>,</w:t>
      </w:r>
      <w:r>
        <w:rPr>
          <w:rFonts w:hint="default" w:ascii="Cambria" w:hAnsi="Cambria"/>
          <w:i w:val="0"/>
          <w:iCs/>
          <w:szCs w:val="16"/>
          <w:lang w:val="en-US"/>
        </w:rPr>
        <w:t xml:space="preserve"> Fakultas Ekonomi dan Bisnis,</w:t>
      </w:r>
      <w:r>
        <w:rPr>
          <w:rFonts w:ascii="Cambria" w:hAnsi="Cambria"/>
          <w:szCs w:val="16"/>
          <w:lang w:val="en-US"/>
        </w:rPr>
        <w:t xml:space="preserve"> </w:t>
      </w:r>
      <w:r>
        <w:rPr>
          <w:rFonts w:ascii="Cambria" w:hAnsi="Cambria"/>
          <w:i w:val="0"/>
          <w:iCs/>
          <w:szCs w:val="16"/>
          <w:lang w:val="en-US"/>
        </w:rPr>
        <w:t>Universitas</w:t>
      </w:r>
      <w:r>
        <w:rPr>
          <w:rFonts w:hint="default" w:ascii="Cambria" w:hAnsi="Cambria"/>
          <w:i w:val="0"/>
          <w:iCs/>
          <w:szCs w:val="16"/>
          <w:lang w:val="en-US"/>
        </w:rPr>
        <w:t xml:space="preserve"> Tridinanti, Sumatera Selatan</w:t>
      </w:r>
    </w:p>
    <w:p w14:paraId="44222501">
      <w:pPr>
        <w:pStyle w:val="20"/>
        <w:pBdr>
          <w:bottom w:val="double" w:color="auto" w:sz="6" w:space="1"/>
        </w:pBdr>
        <w:spacing w:after="0"/>
        <w:rPr>
          <w:rStyle w:val="11"/>
          <w:rFonts w:hint="default"/>
          <w:sz w:val="20"/>
          <w:szCs w:val="20"/>
          <w:lang w:val="en-US"/>
        </w:rPr>
      </w:pPr>
      <w:r>
        <w:rPr>
          <w:rFonts w:ascii="Cambria" w:hAnsi="Cambria"/>
          <w:i w:val="0"/>
          <w:szCs w:val="16"/>
          <w:lang w:val="en-US"/>
        </w:rPr>
        <w:t>Email</w:t>
      </w:r>
      <w:r>
        <w:rPr>
          <w:rFonts w:hint="default" w:ascii="Cambria" w:hAnsi="Cambria"/>
          <w:i w:val="0"/>
          <w:szCs w:val="16"/>
          <w:lang w:val="en-US"/>
        </w:rPr>
        <w:t xml:space="preserve"> korespoden</w:t>
      </w:r>
      <w:r>
        <w:rPr>
          <w:rFonts w:ascii="Cambria" w:hAnsi="Cambria"/>
          <w:i w:val="0"/>
          <w:szCs w:val="16"/>
          <w:lang w:val="en-US"/>
        </w:rPr>
        <w:t xml:space="preserve"> </w:t>
      </w:r>
      <w:r>
        <w:rPr>
          <w:rFonts w:ascii="Cambria" w:hAnsi="Cambria"/>
          <w:i w:val="0"/>
          <w:szCs w:val="16"/>
          <w:lang w:val="id-ID"/>
        </w:rPr>
        <w:t>:</w:t>
      </w:r>
      <w:r>
        <w:rPr>
          <w:rFonts w:hint="default" w:ascii="Cambria" w:hAnsi="Cambria"/>
          <w:i w:val="0"/>
          <w:szCs w:val="16"/>
          <w:lang w:val="en-US"/>
        </w:rPr>
        <w:t xml:space="preserve"> </w:t>
      </w:r>
      <w:r>
        <w:rPr>
          <w:rFonts w:hint="default" w:ascii="Cambria" w:hAnsi="Cambria"/>
          <w:i w:val="0"/>
          <w:szCs w:val="16"/>
          <w:vertAlign w:val="superscript"/>
          <w:lang w:val="en-US"/>
        </w:rPr>
        <w:t>1</w:t>
      </w:r>
      <w:r>
        <w:rPr>
          <w:rStyle w:val="11"/>
          <w:rFonts w:hint="default"/>
          <w:sz w:val="20"/>
          <w:szCs w:val="20"/>
          <w:lang w:val="en-US"/>
        </w:rPr>
        <w:t xml:space="preserve"> </w:t>
      </w:r>
      <w:r>
        <w:rPr>
          <w:rStyle w:val="11"/>
          <w:rFonts w:hint="default"/>
          <w:sz w:val="20"/>
          <w:szCs w:val="20"/>
          <w:lang w:val="en-US"/>
        </w:rPr>
        <w:fldChar w:fldCharType="begin"/>
      </w:r>
      <w:r>
        <w:rPr>
          <w:rStyle w:val="11"/>
          <w:rFonts w:hint="default"/>
          <w:sz w:val="20"/>
          <w:szCs w:val="20"/>
          <w:lang w:val="en-US"/>
        </w:rPr>
        <w:instrText xml:space="preserve"> HYPERLINK "mailto:ikahariyanti27@gmail.com" </w:instrText>
      </w:r>
      <w:r>
        <w:rPr>
          <w:rStyle w:val="11"/>
          <w:rFonts w:hint="default"/>
          <w:sz w:val="20"/>
          <w:szCs w:val="20"/>
          <w:lang w:val="en-US"/>
        </w:rPr>
        <w:fldChar w:fldCharType="separate"/>
      </w:r>
      <w:r>
        <w:rPr>
          <w:rStyle w:val="11"/>
          <w:rFonts w:hint="default"/>
          <w:sz w:val="20"/>
          <w:szCs w:val="20"/>
          <w:lang w:val="en-US"/>
        </w:rPr>
        <w:t>ikahariyanti27@gmail.com</w:t>
      </w:r>
      <w:r>
        <w:rPr>
          <w:rStyle w:val="11"/>
          <w:rFonts w:hint="default"/>
          <w:sz w:val="20"/>
          <w:szCs w:val="20"/>
          <w:lang w:val="en-US"/>
        </w:rPr>
        <w:fldChar w:fldCharType="end"/>
      </w:r>
      <w:r>
        <w:rPr>
          <w:rFonts w:ascii="Cambria" w:hAnsi="Cambria"/>
          <w:i w:val="0"/>
          <w:szCs w:val="16"/>
          <w:lang w:val="id-ID"/>
        </w:rPr>
        <w:t xml:space="preserve"> </w:t>
      </w:r>
      <w:r>
        <w:rPr>
          <w:rFonts w:hint="default" w:ascii="Cambria" w:hAnsi="Cambria"/>
          <w:i w:val="0"/>
          <w:szCs w:val="16"/>
          <w:lang w:val="en-US"/>
        </w:rPr>
        <w:t xml:space="preserve"> </w:t>
      </w:r>
      <w:r>
        <w:rPr>
          <w:rFonts w:hint="default" w:ascii="Cambria" w:hAnsi="Cambria"/>
          <w:i w:val="0"/>
          <w:szCs w:val="16"/>
          <w:vertAlign w:val="superscript"/>
          <w:lang w:val="en-US"/>
        </w:rPr>
        <w:t xml:space="preserve">2 </w:t>
      </w:r>
      <w:r>
        <w:rPr>
          <w:rStyle w:val="11"/>
          <w:rFonts w:hint="default"/>
          <w:sz w:val="20"/>
          <w:szCs w:val="20"/>
          <w:lang w:val="en-US"/>
        </w:rPr>
        <w:t xml:space="preserve"> </w:t>
      </w:r>
      <w:r>
        <w:rPr>
          <w:rStyle w:val="11"/>
          <w:rFonts w:hint="default"/>
          <w:sz w:val="20"/>
          <w:szCs w:val="20"/>
          <w:lang w:val="en-US"/>
        </w:rPr>
        <w:fldChar w:fldCharType="begin"/>
      </w:r>
      <w:r>
        <w:rPr>
          <w:rStyle w:val="11"/>
          <w:rFonts w:hint="default"/>
          <w:sz w:val="20"/>
          <w:szCs w:val="20"/>
          <w:lang w:val="en-US"/>
        </w:rPr>
        <w:instrText xml:space="preserve"> HYPERLINK "mailto:sahila@univ-tridinanti.ac.id" </w:instrText>
      </w:r>
      <w:r>
        <w:rPr>
          <w:rStyle w:val="11"/>
          <w:rFonts w:hint="default"/>
          <w:sz w:val="20"/>
          <w:szCs w:val="20"/>
          <w:lang w:val="en-US"/>
        </w:rPr>
        <w:fldChar w:fldCharType="separate"/>
      </w:r>
      <w:r>
        <w:rPr>
          <w:rStyle w:val="11"/>
          <w:rFonts w:hint="default"/>
          <w:sz w:val="20"/>
          <w:szCs w:val="20"/>
          <w:lang w:val="en-US"/>
        </w:rPr>
        <w:t>sahila@univ-tridinanti.ac.id</w:t>
      </w:r>
      <w:r>
        <w:rPr>
          <w:rStyle w:val="11"/>
          <w:rFonts w:hint="default"/>
          <w:sz w:val="20"/>
          <w:szCs w:val="20"/>
          <w:lang w:val="en-US"/>
        </w:rPr>
        <w:fldChar w:fldCharType="end"/>
      </w:r>
    </w:p>
    <w:p w14:paraId="43EB719D">
      <w:pPr>
        <w:pStyle w:val="20"/>
        <w:pBdr>
          <w:bottom w:val="double" w:color="auto" w:sz="6" w:space="1"/>
        </w:pBdr>
        <w:spacing w:after="0"/>
        <w:rPr>
          <w:rFonts w:ascii="Cambria" w:hAnsi="Cambria"/>
          <w:lang w:val="en-US"/>
        </w:rPr>
      </w:pPr>
    </w:p>
    <w:p w14:paraId="44C82046">
      <w:pPr>
        <w:pStyle w:val="20"/>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02"/>
        <w:gridCol w:w="261"/>
        <w:gridCol w:w="5933"/>
      </w:tblGrid>
      <w:tr w14:paraId="11674B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02" w:type="dxa"/>
            <w:tcBorders>
              <w:top w:val="nil"/>
            </w:tcBorders>
          </w:tcPr>
          <w:p w14:paraId="5AB6C710">
            <w:pPr>
              <w:pStyle w:val="20"/>
              <w:spacing w:after="0"/>
              <w:jc w:val="left"/>
              <w:rPr>
                <w:sz w:val="24"/>
                <w:szCs w:val="24"/>
                <w:lang w:val="en-US"/>
              </w:rPr>
            </w:pPr>
            <w:r>
              <w:rPr>
                <w:sz w:val="24"/>
                <w:szCs w:val="24"/>
                <w:lang w:val="en-US"/>
              </w:rPr>
              <w:t>INFORMASI ARTIKEL</w:t>
            </w:r>
          </w:p>
        </w:tc>
        <w:tc>
          <w:tcPr>
            <w:tcW w:w="261" w:type="dxa"/>
            <w:tcBorders>
              <w:top w:val="nil"/>
              <w:bottom w:val="nil"/>
            </w:tcBorders>
          </w:tcPr>
          <w:p w14:paraId="07EC7950">
            <w:pPr>
              <w:pStyle w:val="20"/>
              <w:spacing w:after="0"/>
              <w:rPr>
                <w:lang w:val="en-US"/>
              </w:rPr>
            </w:pPr>
          </w:p>
        </w:tc>
        <w:tc>
          <w:tcPr>
            <w:tcW w:w="5933" w:type="dxa"/>
            <w:tcBorders>
              <w:top w:val="nil"/>
            </w:tcBorders>
          </w:tcPr>
          <w:p w14:paraId="01EA2846">
            <w:pPr>
              <w:pStyle w:val="20"/>
              <w:spacing w:after="0"/>
              <w:jc w:val="left"/>
              <w:rPr>
                <w:sz w:val="24"/>
                <w:szCs w:val="24"/>
                <w:lang w:val="en-US"/>
              </w:rPr>
            </w:pPr>
            <w:r>
              <w:rPr>
                <w:sz w:val="24"/>
                <w:szCs w:val="24"/>
                <w:lang w:val="en-US"/>
              </w:rPr>
              <w:t>ABSTRAK</w:t>
            </w:r>
          </w:p>
        </w:tc>
      </w:tr>
      <w:tr w14:paraId="397042A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702" w:type="dxa"/>
            <w:tcBorders>
              <w:bottom w:val="nil"/>
            </w:tcBorders>
          </w:tcPr>
          <w:p w14:paraId="0B2F2ACC">
            <w:pPr>
              <w:pStyle w:val="20"/>
              <w:spacing w:after="0"/>
              <w:rPr>
                <w:rFonts w:ascii="Cambria" w:hAnsi="Cambria"/>
                <w:lang w:val="en-US"/>
              </w:rPr>
            </w:pPr>
          </w:p>
        </w:tc>
        <w:tc>
          <w:tcPr>
            <w:tcW w:w="261" w:type="dxa"/>
            <w:tcBorders>
              <w:top w:val="nil"/>
              <w:bottom w:val="nil"/>
            </w:tcBorders>
          </w:tcPr>
          <w:p w14:paraId="1769C2F5">
            <w:pPr>
              <w:pStyle w:val="20"/>
              <w:spacing w:after="0"/>
              <w:rPr>
                <w:rFonts w:ascii="Cambria" w:hAnsi="Cambria"/>
                <w:lang w:val="en-US"/>
              </w:rPr>
            </w:pPr>
          </w:p>
        </w:tc>
        <w:tc>
          <w:tcPr>
            <w:tcW w:w="5933" w:type="dxa"/>
            <w:tcBorders>
              <w:bottom w:val="nil"/>
            </w:tcBorders>
          </w:tcPr>
          <w:p w14:paraId="438F1813">
            <w:pPr>
              <w:pStyle w:val="20"/>
              <w:spacing w:after="0"/>
              <w:rPr>
                <w:rFonts w:ascii="Cambria" w:hAnsi="Cambria"/>
                <w:lang w:val="en-US"/>
              </w:rPr>
            </w:pPr>
          </w:p>
        </w:tc>
      </w:tr>
      <w:tr w14:paraId="038145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02" w:type="dxa"/>
            <w:tcBorders>
              <w:top w:val="nil"/>
              <w:bottom w:val="single" w:color="auto" w:sz="4" w:space="0"/>
            </w:tcBorders>
          </w:tcPr>
          <w:p w14:paraId="67578EC2">
            <w:pPr>
              <w:pStyle w:val="20"/>
              <w:spacing w:after="0"/>
              <w:rPr>
                <w:rFonts w:ascii="Cambria" w:hAnsi="Cambria"/>
                <w:i w:val="0"/>
                <w:lang w:val="en-US"/>
              </w:rPr>
            </w:pPr>
          </w:p>
        </w:tc>
        <w:tc>
          <w:tcPr>
            <w:tcW w:w="261" w:type="dxa"/>
            <w:tcBorders>
              <w:top w:val="nil"/>
              <w:bottom w:val="single" w:color="auto" w:sz="4" w:space="0"/>
            </w:tcBorders>
          </w:tcPr>
          <w:p w14:paraId="72DD3F38">
            <w:pPr>
              <w:pStyle w:val="20"/>
              <w:spacing w:after="0"/>
              <w:rPr>
                <w:rFonts w:ascii="Cambria" w:hAnsi="Cambria"/>
                <w:lang w:val="en-US"/>
              </w:rPr>
            </w:pPr>
          </w:p>
        </w:tc>
        <w:tc>
          <w:tcPr>
            <w:tcW w:w="5933" w:type="dxa"/>
            <w:tcBorders>
              <w:top w:val="nil"/>
              <w:bottom w:val="single" w:color="auto" w:sz="4" w:space="0"/>
            </w:tcBorders>
          </w:tcPr>
          <w:p w14:paraId="5316DBFC">
            <w:pPr>
              <w:pStyle w:val="20"/>
              <w:spacing w:after="0"/>
              <w:jc w:val="left"/>
              <w:rPr>
                <w:rFonts w:ascii="Cambria" w:hAnsi="Cambria"/>
                <w:lang w:val="en-US"/>
              </w:rPr>
            </w:pPr>
          </w:p>
        </w:tc>
      </w:tr>
      <w:tr w14:paraId="31025A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702" w:type="dxa"/>
            <w:tcBorders>
              <w:top w:val="nil"/>
              <w:bottom w:val="single" w:color="auto" w:sz="4" w:space="0"/>
            </w:tcBorders>
          </w:tcPr>
          <w:p w14:paraId="01D8FB4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45F2C6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8D7139A">
            <w:pPr>
              <w:autoSpaceDE w:val="0"/>
              <w:autoSpaceDN w:val="0"/>
              <w:adjustRightInd w:val="0"/>
              <w:spacing w:after="0" w:line="240" w:lineRule="auto"/>
              <w:ind w:right="-108"/>
              <w:rPr>
                <w:rFonts w:ascii="Cambria" w:hAnsi="Cambria" w:cs="AdvGulliv-R"/>
                <w:sz w:val="13"/>
                <w:szCs w:val="13"/>
              </w:rPr>
            </w:pPr>
          </w:p>
          <w:p w14:paraId="5605E21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2BE26E2">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D201EBC">
            <w:pPr>
              <w:autoSpaceDE w:val="0"/>
              <w:autoSpaceDN w:val="0"/>
              <w:adjustRightInd w:val="0"/>
              <w:spacing w:after="0" w:line="240" w:lineRule="auto"/>
              <w:ind w:right="-108"/>
              <w:rPr>
                <w:rFonts w:ascii="Cambria" w:hAnsi="Cambria" w:cs="AdvGulliv-R"/>
                <w:sz w:val="13"/>
                <w:szCs w:val="13"/>
              </w:rPr>
            </w:pPr>
          </w:p>
          <w:p w14:paraId="1C4B049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6B3FC8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0462F2">
            <w:pPr>
              <w:autoSpaceDE w:val="0"/>
              <w:autoSpaceDN w:val="0"/>
              <w:adjustRightInd w:val="0"/>
              <w:spacing w:after="0" w:line="240" w:lineRule="auto"/>
              <w:ind w:right="-108"/>
              <w:rPr>
                <w:rFonts w:ascii="Cambria" w:hAnsi="Cambria" w:cs="AdvGulliv-R"/>
                <w:sz w:val="13"/>
                <w:szCs w:val="13"/>
              </w:rPr>
            </w:pPr>
          </w:p>
          <w:p w14:paraId="2E0F14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C68300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6C668A8">
            <w:pPr>
              <w:pStyle w:val="20"/>
              <w:spacing w:after="0"/>
              <w:rPr>
                <w:rFonts w:ascii="Cambria" w:hAnsi="Cambria"/>
                <w:i w:val="0"/>
                <w:lang w:val="en-US"/>
              </w:rPr>
            </w:pPr>
          </w:p>
        </w:tc>
        <w:tc>
          <w:tcPr>
            <w:tcW w:w="261" w:type="dxa"/>
            <w:tcBorders>
              <w:top w:val="nil"/>
              <w:bottom w:val="single" w:color="auto" w:sz="4" w:space="0"/>
            </w:tcBorders>
          </w:tcPr>
          <w:p w14:paraId="2C5E6F13">
            <w:pPr>
              <w:pStyle w:val="20"/>
              <w:spacing w:after="0"/>
              <w:rPr>
                <w:rFonts w:ascii="Cambria" w:hAnsi="Cambria"/>
                <w:lang w:val="en-US"/>
              </w:rPr>
            </w:pPr>
          </w:p>
        </w:tc>
        <w:tc>
          <w:tcPr>
            <w:tcW w:w="5933" w:type="dxa"/>
            <w:tcBorders>
              <w:top w:val="nil"/>
              <w:bottom w:val="single" w:color="auto" w:sz="4" w:space="0"/>
            </w:tcBorders>
          </w:tcPr>
          <w:p w14:paraId="57B8E46C">
            <w:pPr>
              <w:jc w:val="both"/>
              <w:rPr>
                <w:rFonts w:eastAsia="Times New Roman"/>
                <w:b/>
                <w:i/>
                <w:iCs/>
                <w:sz w:val="18"/>
                <w:szCs w:val="18"/>
              </w:rPr>
            </w:pPr>
            <w:r>
              <w:rPr>
                <w:rFonts w:hint="default" w:ascii="Times New Roman" w:hAnsi="Times New Roman" w:cs="Times New Roman"/>
                <w:i w:val="0"/>
                <w:iCs w:val="0"/>
                <w:sz w:val="18"/>
                <w:szCs w:val="18"/>
                <w:lang w:val="en-GB" w:eastAsia="en-US"/>
              </w:rPr>
              <w:t>Penelitian ini</w:t>
            </w:r>
            <w:r>
              <w:rPr>
                <w:rFonts w:hint="default" w:ascii="Times New Roman" w:hAnsi="Times New Roman" w:cs="Times New Roman"/>
                <w:i w:val="0"/>
                <w:iCs w:val="0"/>
                <w:sz w:val="18"/>
                <w:szCs w:val="18"/>
                <w:lang w:val="en-US" w:eastAsia="en-US"/>
              </w:rPr>
              <w:t xml:space="preserve"> membahas mengenai </w:t>
            </w:r>
            <w:r>
              <w:rPr>
                <w:rFonts w:hint="default" w:ascii="Times New Roman" w:hAnsi="Times New Roman" w:cs="Times New Roman"/>
                <w:i w:val="0"/>
                <w:iCs w:val="0"/>
                <w:sz w:val="18"/>
                <w:szCs w:val="18"/>
                <w:lang w:val="en-GB" w:eastAsia="en-US"/>
              </w:rPr>
              <w:t>pengaruh</w:t>
            </w:r>
            <w:r>
              <w:rPr>
                <w:rFonts w:hint="default" w:ascii="Times New Roman" w:hAnsi="Times New Roman" w:cs="Times New Roman"/>
                <w:i w:val="0"/>
                <w:iCs w:val="0"/>
                <w:sz w:val="18"/>
                <w:szCs w:val="18"/>
                <w:lang w:val="en-US" w:eastAsia="en-US"/>
              </w:rPr>
              <w:t xml:space="preserve"> perencanaan pajak</w:t>
            </w:r>
            <w:r>
              <w:rPr>
                <w:rFonts w:hint="default" w:ascii="Times New Roman" w:hAnsi="Times New Roman" w:cs="Times New Roman"/>
                <w:i w:val="0"/>
                <w:iCs w:val="0"/>
                <w:sz w:val="18"/>
                <w:szCs w:val="18"/>
                <w:lang w:val="en-GB" w:eastAsia="en-US"/>
              </w:rPr>
              <w:t xml:space="preserve">, </w:t>
            </w:r>
            <w:r>
              <w:rPr>
                <w:rFonts w:hint="default" w:ascii="Times New Roman" w:hAnsi="Times New Roman" w:cs="Times New Roman"/>
                <w:i w:val="0"/>
                <w:iCs w:val="0"/>
                <w:sz w:val="18"/>
                <w:szCs w:val="18"/>
                <w:lang w:val="en-US" w:eastAsia="en-US"/>
              </w:rPr>
              <w:t>keputusan investa</w:t>
            </w:r>
            <w:r>
              <w:rPr>
                <w:rFonts w:hint="default" w:ascii="Times New Roman" w:hAnsi="Times New Roman" w:cs="Times New Roman"/>
                <w:i w:val="0"/>
                <w:iCs w:val="0"/>
                <w:sz w:val="18"/>
                <w:szCs w:val="18"/>
                <w:lang w:val="en-GB" w:eastAsia="en-US"/>
              </w:rPr>
              <w:t>s</w:t>
            </w:r>
            <w:r>
              <w:rPr>
                <w:rFonts w:hint="default" w:ascii="Times New Roman" w:hAnsi="Times New Roman" w:cs="Times New Roman"/>
                <w:i w:val="0"/>
                <w:iCs w:val="0"/>
                <w:sz w:val="18"/>
                <w:szCs w:val="18"/>
                <w:lang w:val="en-US" w:eastAsia="en-US"/>
              </w:rPr>
              <w:t>i dan</w:t>
            </w:r>
            <w:r>
              <w:rPr>
                <w:rFonts w:hint="default" w:ascii="Times New Roman" w:hAnsi="Times New Roman" w:cs="Times New Roman"/>
                <w:i/>
                <w:iCs/>
                <w:sz w:val="18"/>
                <w:szCs w:val="18"/>
                <w:lang w:val="en-US" w:eastAsia="en-US"/>
              </w:rPr>
              <w:t xml:space="preserve"> cash holding</w:t>
            </w:r>
            <w:r>
              <w:rPr>
                <w:rFonts w:hint="default" w:ascii="Times New Roman" w:hAnsi="Times New Roman" w:cs="Times New Roman"/>
                <w:i w:val="0"/>
                <w:iCs w:val="0"/>
                <w:sz w:val="18"/>
                <w:szCs w:val="18"/>
                <w:lang w:val="en-US" w:eastAsia="en-US"/>
              </w:rPr>
              <w:t xml:space="preserve"> terhadap n</w:t>
            </w:r>
            <w:bookmarkStart w:id="0" w:name="_GoBack"/>
            <w:bookmarkEnd w:id="0"/>
            <w:r>
              <w:rPr>
                <w:rFonts w:hint="default" w:ascii="Times New Roman" w:hAnsi="Times New Roman" w:cs="Times New Roman"/>
                <w:i w:val="0"/>
                <w:iCs w:val="0"/>
                <w:sz w:val="18"/>
                <w:szCs w:val="18"/>
                <w:lang w:val="en-US" w:eastAsia="en-US"/>
              </w:rPr>
              <w:t>ilai perusahaan pada subsektor perbankan yang terdaftar di Bursa Efek Indonesia periode 2022-2024. T</w:t>
            </w:r>
            <w:r>
              <w:rPr>
                <w:rFonts w:hint="default" w:ascii="Times New Roman" w:hAnsi="Times New Roman" w:cs="Times New Roman"/>
                <w:i w:val="0"/>
                <w:iCs w:val="0"/>
                <w:sz w:val="18"/>
                <w:szCs w:val="18"/>
                <w:lang w:val="en-GB" w:eastAsia="en-US"/>
              </w:rPr>
              <w:t>ujuan</w:t>
            </w:r>
            <w:r>
              <w:rPr>
                <w:rFonts w:hint="default" w:ascii="Times New Roman" w:hAnsi="Times New Roman" w:cs="Times New Roman"/>
                <w:i w:val="0"/>
                <w:iCs w:val="0"/>
                <w:sz w:val="18"/>
                <w:szCs w:val="18"/>
                <w:lang w:val="en-US" w:eastAsia="en-US"/>
              </w:rPr>
              <w:t xml:space="preserve"> penelitan ini adalah untuk mengetahui, menganalisis dan membuktikan </w:t>
            </w:r>
            <w:r>
              <w:rPr>
                <w:rFonts w:hint="default" w:ascii="Times New Roman" w:hAnsi="Times New Roman" w:cs="Times New Roman"/>
                <w:i w:val="0"/>
                <w:iCs w:val="0"/>
                <w:sz w:val="18"/>
                <w:szCs w:val="18"/>
                <w:lang w:val="en-GB" w:eastAsia="en-US"/>
              </w:rPr>
              <w:t>pengaruh</w:t>
            </w:r>
            <w:r>
              <w:rPr>
                <w:rFonts w:hint="default" w:ascii="Times New Roman" w:hAnsi="Times New Roman" w:cs="Times New Roman"/>
                <w:i w:val="0"/>
                <w:iCs w:val="0"/>
                <w:sz w:val="18"/>
                <w:szCs w:val="18"/>
                <w:lang w:val="en-US" w:eastAsia="en-US"/>
              </w:rPr>
              <w:t xml:space="preserve"> variabel tersebut baik secara simultan maupun parsial. Pemilihan sampel dilakukan dengan metode </w:t>
            </w:r>
            <w:r>
              <w:rPr>
                <w:rFonts w:hint="default" w:ascii="Times New Roman" w:hAnsi="Times New Roman" w:cs="Times New Roman"/>
                <w:i/>
                <w:iCs/>
                <w:sz w:val="18"/>
                <w:szCs w:val="18"/>
                <w:lang w:val="en-US" w:eastAsia="en-US"/>
              </w:rPr>
              <w:t>purposive</w:t>
            </w:r>
            <w:r>
              <w:rPr>
                <w:rFonts w:hint="default" w:ascii="Times New Roman" w:hAnsi="Times New Roman" w:cs="Times New Roman"/>
                <w:i/>
                <w:iCs/>
                <w:sz w:val="18"/>
                <w:szCs w:val="18"/>
                <w:lang w:val="en-GB" w:eastAsia="en-US"/>
              </w:rPr>
              <w:t xml:space="preserve"> sampling</w:t>
            </w:r>
            <w:r>
              <w:rPr>
                <w:rFonts w:hint="default" w:ascii="Times New Roman" w:hAnsi="Times New Roman" w:cs="Times New Roman"/>
                <w:i/>
                <w:iCs/>
                <w:sz w:val="18"/>
                <w:szCs w:val="18"/>
                <w:lang w:val="en-US" w:eastAsia="en-US"/>
              </w:rPr>
              <w:t xml:space="preserve">, </w:t>
            </w:r>
            <w:r>
              <w:rPr>
                <w:rFonts w:hint="default" w:ascii="Times New Roman" w:hAnsi="Times New Roman" w:cs="Times New Roman"/>
                <w:i w:val="0"/>
                <w:iCs w:val="0"/>
                <w:sz w:val="18"/>
                <w:szCs w:val="18"/>
                <w:lang w:val="en-US" w:eastAsia="en-US"/>
              </w:rPr>
              <w:t xml:space="preserve">sehingga diperoleh 20 perusahaan sesuai kriteria. Metode analisis yang digunakan memakai uji statistik deskriptif, uji asumsi klasik, serta analisis regresi linear berganda dengan bantuan SPSS 27. Hasil penelitian ini secara simultan menunjukkan variabel perencanaan pajak  yang diukur memakai rasio </w:t>
            </w:r>
            <w:r>
              <w:rPr>
                <w:rFonts w:hint="default" w:ascii="Times New Roman" w:hAnsi="Times New Roman" w:cs="Times New Roman"/>
                <w:i/>
                <w:iCs/>
                <w:sz w:val="18"/>
                <w:szCs w:val="18"/>
                <w:lang w:val="en-US" w:eastAsia="en-US"/>
              </w:rPr>
              <w:t>Effective Tax Rate</w:t>
            </w:r>
            <w:r>
              <w:rPr>
                <w:rFonts w:hint="default" w:ascii="Times New Roman" w:hAnsi="Times New Roman" w:cs="Times New Roman"/>
                <w:i w:val="0"/>
                <w:iCs w:val="0"/>
                <w:sz w:val="18"/>
                <w:szCs w:val="18"/>
                <w:lang w:val="en-US" w:eastAsia="en-US"/>
              </w:rPr>
              <w:t xml:space="preserve"> (ETR), keputusan investasi yang diukur dengan </w:t>
            </w:r>
            <w:r>
              <w:rPr>
                <w:rFonts w:hint="default" w:ascii="Times New Roman" w:hAnsi="Times New Roman" w:cs="Times New Roman"/>
                <w:i/>
                <w:iCs/>
                <w:sz w:val="18"/>
                <w:szCs w:val="18"/>
                <w:lang w:val="en-US" w:eastAsia="en-US"/>
              </w:rPr>
              <w:t>Price Earning Ratio</w:t>
            </w:r>
            <w:r>
              <w:rPr>
                <w:rFonts w:hint="default" w:ascii="Times New Roman" w:hAnsi="Times New Roman" w:cs="Times New Roman"/>
                <w:i w:val="0"/>
                <w:iCs w:val="0"/>
                <w:sz w:val="18"/>
                <w:szCs w:val="18"/>
                <w:lang w:val="en-US" w:eastAsia="en-US"/>
              </w:rPr>
              <w:t xml:space="preserve"> (PER) dan </w:t>
            </w:r>
            <w:r>
              <w:rPr>
                <w:rFonts w:hint="default" w:ascii="Times New Roman" w:hAnsi="Times New Roman" w:cs="Times New Roman"/>
                <w:i/>
                <w:iCs/>
                <w:sz w:val="18"/>
                <w:szCs w:val="18"/>
                <w:lang w:val="en-US" w:eastAsia="en-US"/>
              </w:rPr>
              <w:t xml:space="preserve">cash holding </w:t>
            </w:r>
            <w:r>
              <w:rPr>
                <w:rFonts w:hint="default" w:ascii="Times New Roman" w:hAnsi="Times New Roman" w:cs="Times New Roman"/>
                <w:i w:val="0"/>
                <w:iCs w:val="0"/>
                <w:sz w:val="18"/>
                <w:szCs w:val="18"/>
                <w:lang w:val="en-US" w:eastAsia="en-US"/>
              </w:rPr>
              <w:t xml:space="preserve">yang diukur dengan (CH) mempunyai pengaruh yang signifikan terhadap nilai perusahaan yang diukur dengan rasio </w:t>
            </w:r>
            <w:r>
              <w:rPr>
                <w:rFonts w:hint="default" w:ascii="Times New Roman" w:hAnsi="Times New Roman" w:cs="Times New Roman"/>
                <w:i/>
                <w:iCs/>
                <w:sz w:val="18"/>
                <w:szCs w:val="18"/>
                <w:lang w:val="en-US" w:eastAsia="en-US"/>
              </w:rPr>
              <w:t xml:space="preserve">Price to Book Value </w:t>
            </w:r>
            <w:r>
              <w:rPr>
                <w:rFonts w:hint="default" w:ascii="Times New Roman" w:hAnsi="Times New Roman" w:cs="Times New Roman"/>
                <w:i w:val="0"/>
                <w:iCs w:val="0"/>
                <w:sz w:val="18"/>
                <w:szCs w:val="18"/>
                <w:lang w:val="en-US" w:eastAsia="en-US"/>
              </w:rPr>
              <w:t xml:space="preserve">(PBV). Secara parsial, menunjukkan perencanaan pajak dan keputusan investasi berpengaruh signifikan terhadap nilai perusahaan, sedangkan </w:t>
            </w:r>
            <w:r>
              <w:rPr>
                <w:rFonts w:hint="default" w:ascii="Times New Roman" w:hAnsi="Times New Roman" w:cs="Times New Roman"/>
                <w:i/>
                <w:iCs/>
                <w:sz w:val="18"/>
                <w:szCs w:val="18"/>
                <w:lang w:val="en-US" w:eastAsia="en-US"/>
              </w:rPr>
              <w:t xml:space="preserve">cash holding </w:t>
            </w:r>
            <w:r>
              <w:rPr>
                <w:rFonts w:hint="default" w:ascii="Times New Roman" w:hAnsi="Times New Roman" w:cs="Times New Roman"/>
                <w:i w:val="0"/>
                <w:iCs w:val="0"/>
                <w:sz w:val="18"/>
                <w:szCs w:val="18"/>
                <w:lang w:val="en-US" w:eastAsia="en-US"/>
              </w:rPr>
              <w:t xml:space="preserve">tidak berpengaruh signifikan terhadap nilai perusahaan pada sub sektor perbankan yang terdaftar di BEI periode 2022-2024. </w:t>
            </w:r>
          </w:p>
          <w:p w14:paraId="21D20846">
            <w:pPr>
              <w:pStyle w:val="12"/>
              <w:jc w:val="both"/>
              <w:textAlignment w:val="baseline"/>
              <w:rPr>
                <w:rFonts w:ascii="Cambria" w:hAnsi="Cambria"/>
              </w:rPr>
            </w:pPr>
            <w:r>
              <w:rPr>
                <w:rFonts w:ascii="Times New Roman" w:hAnsi="Times New Roman" w:eastAsia="Segoe UI" w:cs="Times New Roman"/>
                <w:b/>
                <w:bCs/>
                <w:sz w:val="18"/>
                <w:szCs w:val="18"/>
                <w:shd w:val="clear" w:color="auto" w:fill="FFFFFF"/>
              </w:rPr>
              <w:t xml:space="preserve">Kata Kunci : </w:t>
            </w:r>
            <w:r>
              <w:rPr>
                <w:rFonts w:ascii="Times New Roman" w:hAnsi="Times New Roman" w:eastAsia="Segoe UI" w:cs="Times New Roman"/>
                <w:b/>
                <w:bCs/>
                <w:i/>
                <w:iCs/>
                <w:sz w:val="18"/>
                <w:szCs w:val="18"/>
                <w:shd w:val="clear" w:color="auto" w:fill="FFFFFF"/>
              </w:rPr>
              <w:t>Perencanaan Pajak, Keputusan Investasi, Cash Holding, Nilai Perusahaan</w:t>
            </w:r>
          </w:p>
          <w:p w14:paraId="52874E2D">
            <w:pPr>
              <w:spacing w:after="0" w:line="240" w:lineRule="auto"/>
              <w:jc w:val="both"/>
              <w:rPr>
                <w:rFonts w:ascii="Times New Roman" w:hAnsi="Times New Roman"/>
                <w:i/>
                <w:sz w:val="24"/>
                <w:szCs w:val="24"/>
              </w:rPr>
            </w:pPr>
            <w:r>
              <w:rPr>
                <w:rFonts w:ascii="Times New Roman" w:hAnsi="Times New Roman"/>
                <w:i/>
                <w:sz w:val="24"/>
                <w:szCs w:val="24"/>
              </w:rPr>
              <w:t>ABSTRACT</w:t>
            </w:r>
          </w:p>
          <w:p w14:paraId="182B3E05">
            <w:pPr>
              <w:spacing w:after="0" w:line="240" w:lineRule="auto"/>
              <w:jc w:val="both"/>
              <w:rPr>
                <w:rFonts w:ascii="Times New Roman" w:hAnsi="Times New Roman"/>
                <w:i/>
                <w:sz w:val="24"/>
                <w:szCs w:val="24"/>
              </w:rPr>
            </w:pPr>
          </w:p>
          <w:p w14:paraId="4091BB8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240" w:lineRule="auto"/>
              <w:ind w:left="0" w:right="0" w:firstLine="0"/>
              <w:jc w:val="both"/>
              <w:rPr>
                <w:rFonts w:hint="default" w:ascii="Times New Roman" w:hAnsi="Times New Roman" w:cs="Times New Roman"/>
                <w:i/>
                <w:iCs/>
                <w:caps w:val="0"/>
                <w:color w:val="1F1F1F"/>
                <w:spacing w:val="0"/>
                <w:sz w:val="18"/>
                <w:szCs w:val="18"/>
                <w:shd w:val="clear" w:fill="F8F9FA"/>
                <w:lang w:val="en-US"/>
              </w:rPr>
            </w:pPr>
            <w:r>
              <w:rPr>
                <w:rFonts w:hint="default" w:ascii="Times New Roman" w:hAnsi="Times New Roman" w:cs="Times New Roman"/>
                <w:i/>
                <w:iCs/>
                <w:caps w:val="0"/>
                <w:color w:val="1F1F1F"/>
                <w:spacing w:val="0"/>
                <w:sz w:val="18"/>
                <w:szCs w:val="18"/>
                <w:shd w:val="clear" w:fill="F8F9FA"/>
                <w:lang w:val="en-US"/>
              </w:rPr>
              <w:t>This study examines the influence of tax planning, investment decisions, and cash holdings on firm value in the banking subsector listed on the Indonesia Stock Exchange for the 2022-2024 period. The objective of this study is to identify, analyze, and demonstrate the influence of these variables both simultaneously and partially. The sample was selected using a purposive sampling method, resulting in 20 companies meeting the criteria. The analysis method employed descriptive statistical tests, classical assumption tests, and multiple linear regression analysis using SPSS 27. The results of this study simultaneously indicate that tax planning, measured by the Effective Tax Rate (ETR), investment decisions, measured by the Price-Earnings Ratio (PER), and cash holdings, measured by the Price-to-Book Value (PBV), have a significant influence on firm value, as measured by the Price-to-Book Value (PBV). Partially, this study indicates that tax planning and investment decisions significantly influence firm value, while cash holdings do not significantly influence firm value in the banking subsector listed on the IDX for the 2022-2024 period.</w:t>
            </w:r>
          </w:p>
          <w:p w14:paraId="01C8092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240" w:lineRule="auto"/>
              <w:ind w:left="0" w:right="0" w:firstLine="0"/>
              <w:jc w:val="both"/>
              <w:rPr>
                <w:rFonts w:hint="default" w:ascii="Times New Roman" w:hAnsi="Times New Roman" w:cs="Times New Roman"/>
                <w:i/>
                <w:iCs/>
                <w:caps w:val="0"/>
                <w:color w:val="1F1F1F"/>
                <w:spacing w:val="0"/>
                <w:sz w:val="18"/>
                <w:szCs w:val="18"/>
                <w:shd w:val="clear" w:fill="F8F9FA"/>
                <w:lang w:val="en-US"/>
              </w:rPr>
            </w:pPr>
          </w:p>
          <w:p w14:paraId="728895C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360" w:lineRule="auto"/>
              <w:ind w:left="0" w:right="0" w:firstLine="0"/>
              <w:jc w:val="left"/>
              <w:rPr>
                <w:rFonts w:hint="default" w:ascii="Times New Roman" w:hAnsi="Times New Roman" w:cs="Times New Roman"/>
                <w:i/>
                <w:iCs/>
                <w:caps w:val="0"/>
                <w:color w:val="1F1F1F"/>
                <w:spacing w:val="0"/>
                <w:sz w:val="18"/>
                <w:szCs w:val="18"/>
                <w:shd w:val="clear" w:fill="F8F9FA"/>
                <w:lang w:val="en-US"/>
              </w:rPr>
            </w:pPr>
            <w:r>
              <w:rPr>
                <w:rFonts w:hint="default" w:ascii="Times New Roman" w:hAnsi="Times New Roman" w:cs="Times New Roman"/>
                <w:b/>
                <w:bCs/>
                <w:i/>
                <w:iCs/>
                <w:caps w:val="0"/>
                <w:color w:val="1F1F1F"/>
                <w:spacing w:val="0"/>
                <w:sz w:val="18"/>
                <w:szCs w:val="18"/>
                <w:shd w:val="clear" w:fill="F8F9FA"/>
                <w:lang w:val="en-US"/>
              </w:rPr>
              <w:t>Keywords</w:t>
            </w:r>
            <w:r>
              <w:rPr>
                <w:rFonts w:hint="default" w:ascii="Times New Roman" w:hAnsi="Times New Roman" w:cs="Times New Roman"/>
                <w:i/>
                <w:iCs/>
                <w:caps w:val="0"/>
                <w:color w:val="1F1F1F"/>
                <w:spacing w:val="0"/>
                <w:sz w:val="18"/>
                <w:szCs w:val="18"/>
                <w:shd w:val="clear" w:fill="F8F9FA"/>
                <w:lang w:val="en-US"/>
              </w:rPr>
              <w:t>: Tax Planning, Investment Decisions, Cash Holdings, Firm Value</w:t>
            </w:r>
          </w:p>
        </w:tc>
      </w:tr>
    </w:tbl>
    <w:p w14:paraId="534E6353">
      <w:pPr>
        <w:spacing w:after="0" w:line="240" w:lineRule="auto"/>
      </w:pPr>
    </w:p>
    <w:p w14:paraId="66D90993">
      <w:pPr>
        <w:pStyle w:val="21"/>
        <w:numPr>
          <w:ilvl w:val="0"/>
          <w:numId w:val="1"/>
        </w:numPr>
        <w:spacing w:before="0" w:after="0"/>
        <w:ind w:left="284" w:hanging="284"/>
        <w:outlineLvl w:val="0"/>
        <w:rPr>
          <w:sz w:val="22"/>
          <w:szCs w:val="22"/>
          <w:lang w:val="en-US"/>
        </w:rPr>
        <w:sectPr>
          <w:headerReference r:id="rId5" w:type="default"/>
          <w:footerReference r:id="rId6" w:type="default"/>
          <w:pgSz w:w="11907" w:h="16840"/>
          <w:pgMar w:top="1418" w:right="1418" w:bottom="1418" w:left="1701" w:header="851" w:footer="737" w:gutter="0"/>
          <w:cols w:space="708" w:num="1"/>
          <w:docGrid w:linePitch="360" w:charSpace="0"/>
        </w:sectPr>
      </w:pPr>
    </w:p>
    <w:p w14:paraId="560BFE8D">
      <w:pPr>
        <w:pStyle w:val="21"/>
        <w:numPr>
          <w:ilvl w:val="0"/>
          <w:numId w:val="2"/>
        </w:numPr>
        <w:spacing w:before="0" w:after="0"/>
        <w:ind w:left="284"/>
        <w:outlineLvl w:val="0"/>
        <w:rPr>
          <w:sz w:val="22"/>
          <w:szCs w:val="22"/>
          <w:lang w:val="en-US"/>
        </w:rPr>
      </w:pPr>
      <w:r>
        <w:rPr>
          <w:sz w:val="22"/>
          <w:szCs w:val="22"/>
          <w:lang w:val="en-US"/>
        </w:rPr>
        <w:t>PENDAHULUAN</w:t>
      </w:r>
    </w:p>
    <w:p w14:paraId="7424CFEF">
      <w:pPr>
        <w:pStyle w:val="21"/>
        <w:spacing w:before="0" w:after="0"/>
        <w:ind w:firstLine="270"/>
        <w:jc w:val="both"/>
        <w:rPr>
          <w:rFonts w:hint="default"/>
          <w:b w:val="0"/>
          <w:sz w:val="22"/>
          <w:szCs w:val="22"/>
          <w:lang w:val="en-US"/>
        </w:rPr>
      </w:pPr>
      <w:r>
        <w:rPr>
          <w:rFonts w:hint="default"/>
          <w:b w:val="0"/>
          <w:sz w:val="22"/>
          <w:szCs w:val="22"/>
          <w:lang w:val="en-US"/>
        </w:rPr>
        <w:t>Pajak merupakan salah satu sumber utama penerimaan negara yang berperan penting dalam menjaga stabilitas ekonomi dan mendukung pembangunan nasional. Penerimaan pajak yang dikelola secara efektif memberi ruang bagi pemerintah untuk membiayai program prioritas, serta memperkuat ketahanan fiskal. Dengan kata lain pajak bukan hanya sekedar kewajiban, tetapi juga instrumen penting dalam menjaga pertumbuhan ekonomi yang berkelanjutan.</w:t>
      </w:r>
    </w:p>
    <w:p w14:paraId="0A11242A">
      <w:pPr>
        <w:pStyle w:val="21"/>
        <w:spacing w:before="0" w:after="0"/>
        <w:ind w:firstLine="270"/>
        <w:jc w:val="both"/>
        <w:rPr>
          <w:rFonts w:hint="default"/>
          <w:b w:val="0"/>
          <w:sz w:val="22"/>
          <w:szCs w:val="22"/>
          <w:lang w:val="en-US"/>
        </w:rPr>
      </w:pPr>
      <w:r>
        <w:rPr>
          <w:rFonts w:hint="default"/>
          <w:b w:val="0"/>
          <w:sz w:val="22"/>
          <w:szCs w:val="22"/>
          <w:lang w:val="en-US"/>
        </w:rPr>
        <w:t>Salah satu bentuk nyata pemanfaatan penerimaan negara adalah melalui pengembangan pasar modal. Dalam hal ini, Bursa Efek Indonesia (BEI) memegang peran strategis sebagai sarana penghimpunan dana bagi perusahaan. Bagi sektor perbankan, keberadaan BEI semakin penting karena perbankan memiliki fungsi intermediasi yang mendorong perputaran ekonomi, baik melalui penghimpunan dana masyarakat maupun penyaluran kredit ke sektor produktif.</w:t>
      </w:r>
    </w:p>
    <w:p w14:paraId="11A28C68">
      <w:pPr>
        <w:pStyle w:val="21"/>
        <w:spacing w:before="0" w:after="0" w:line="240" w:lineRule="auto"/>
        <w:ind w:firstLine="270"/>
        <w:jc w:val="both"/>
        <w:rPr>
          <w:rFonts w:hint="default"/>
          <w:b w:val="0"/>
          <w:bCs/>
          <w:sz w:val="22"/>
          <w:szCs w:val="22"/>
          <w:lang w:val="en-US"/>
        </w:rPr>
      </w:pPr>
      <w:r>
        <w:rPr>
          <w:rFonts w:hint="default"/>
          <w:b w:val="0"/>
          <w:sz w:val="22"/>
          <w:szCs w:val="22"/>
          <w:lang w:val="en-US"/>
        </w:rPr>
        <w:t xml:space="preserve">   Nilai perusahaan menjadi salah satu indikator utama dalam menilai kinerja dan prospek perusahaan di pasar modal.</w:t>
      </w:r>
      <w:r>
        <w:rPr>
          <w:rFonts w:ascii="Times New Roman" w:hAnsi="Times New Roman" w:cs="Times New Roman"/>
          <w:sz w:val="24"/>
          <w:szCs w:val="24"/>
        </w:rPr>
        <w:t xml:space="preserve"> </w:t>
      </w:r>
      <w:r>
        <w:rPr>
          <w:rFonts w:ascii="Times New Roman" w:hAnsi="Times New Roman" w:cs="Times New Roman"/>
          <w:b w:val="0"/>
          <w:bCs/>
          <w:sz w:val="22"/>
          <w:szCs w:val="22"/>
        </w:rPr>
        <w:t>Nilai perusahaan mencerminkan sejauh mana pasar menilai kinerja serta potensi pertumbuhan jangka panjang suatu perusahaan, yang umumnya tercermin melalui harga sahamnya. Semakin tinggi nilai perusahaan, semakin menarik pula perusahaan tersebut di mata investor karena dianggap mampu memberikan keuntungan dalam jangka panjang.</w:t>
      </w:r>
    </w:p>
    <w:p w14:paraId="0E837CB0">
      <w:pPr>
        <w:pStyle w:val="21"/>
        <w:spacing w:before="0" w:after="0"/>
        <w:ind w:firstLine="270"/>
        <w:jc w:val="both"/>
        <w:rPr>
          <w:rFonts w:ascii="Times New Roman" w:hAnsi="Times New Roman" w:eastAsia="Segoe UI" w:cs="Times New Roman"/>
          <w:b w:val="0"/>
          <w:bCs/>
          <w:shd w:val="clear" w:color="auto" w:fill="FFFFFF"/>
        </w:rPr>
      </w:pPr>
      <w:r>
        <w:rPr>
          <w:rFonts w:hint="default" w:ascii="Times New Roman" w:hAnsi="Times New Roman" w:eastAsia="Segoe UI" w:cs="Times New Roman"/>
          <w:b w:val="0"/>
          <w:bCs/>
          <w:shd w:val="clear" w:color="auto" w:fill="FFFFFF"/>
          <w:lang w:val="en-US"/>
        </w:rPr>
        <w:t xml:space="preserve">Pada penelitian ini  </w:t>
      </w:r>
      <w:r>
        <w:rPr>
          <w:rFonts w:ascii="Times New Roman" w:hAnsi="Times New Roman" w:eastAsia="Segoe UI" w:cs="Times New Roman"/>
          <w:b w:val="0"/>
          <w:bCs/>
          <w:shd w:val="clear" w:color="auto" w:fill="FFFFFF"/>
        </w:rPr>
        <w:t>PBV</w:t>
      </w:r>
      <w:r>
        <w:rPr>
          <w:rFonts w:hint="default" w:ascii="Times New Roman" w:hAnsi="Times New Roman" w:eastAsia="Segoe UI" w:cs="Times New Roman"/>
          <w:b w:val="0"/>
          <w:bCs/>
          <w:shd w:val="clear" w:color="auto" w:fill="FFFFFF"/>
          <w:lang w:val="en-US"/>
        </w:rPr>
        <w:t xml:space="preserve"> </w:t>
      </w:r>
      <w:r>
        <w:rPr>
          <w:rFonts w:hint="default" w:ascii="Times New Roman" w:hAnsi="Times New Roman" w:eastAsia="Segoe UI" w:cs="Times New Roman"/>
          <w:b w:val="0"/>
          <w:bCs/>
          <w:i/>
          <w:iCs/>
          <w:shd w:val="clear" w:color="auto" w:fill="FFFFFF"/>
          <w:lang w:val="en-US"/>
        </w:rPr>
        <w:t>(Price to Book Value)</w:t>
      </w:r>
      <w:r>
        <w:rPr>
          <w:rFonts w:hint="default" w:ascii="Times New Roman" w:hAnsi="Times New Roman" w:eastAsia="Segoe UI" w:cs="Times New Roman"/>
          <w:b w:val="0"/>
          <w:bCs/>
          <w:shd w:val="clear" w:color="auto" w:fill="FFFFFF"/>
          <w:lang w:val="en-US"/>
        </w:rPr>
        <w:t xml:space="preserve"> </w:t>
      </w:r>
      <w:r>
        <w:rPr>
          <w:rFonts w:ascii="Times New Roman" w:hAnsi="Times New Roman" w:eastAsia="Segoe UI" w:cs="Times New Roman"/>
          <w:b w:val="0"/>
          <w:bCs/>
          <w:shd w:val="clear" w:color="auto" w:fill="FFFFFF"/>
        </w:rPr>
        <w:t xml:space="preserve"> </w:t>
      </w:r>
      <w:r>
        <w:rPr>
          <w:rFonts w:hint="default" w:ascii="Times New Roman" w:hAnsi="Times New Roman" w:eastAsia="Segoe UI" w:cs="Times New Roman"/>
          <w:b w:val="0"/>
          <w:bCs/>
          <w:shd w:val="clear" w:color="auto" w:fill="FFFFFF"/>
          <w:lang w:val="en-US"/>
        </w:rPr>
        <w:t>digunakan untuk mengukur nilai perusahaan. PBV adalah</w:t>
      </w:r>
      <w:r>
        <w:rPr>
          <w:rFonts w:ascii="Times New Roman" w:hAnsi="Times New Roman" w:cs="Times New Roman"/>
          <w:b w:val="0"/>
          <w:bCs/>
        </w:rPr>
        <w:t xml:space="preserve"> rasio yang membandingkan harga pasar saham dengan nilai buku persaha</w:t>
      </w:r>
      <w:r>
        <w:rPr>
          <w:rFonts w:hint="default" w:ascii="Times New Roman" w:hAnsi="Times New Roman" w:cs="Times New Roman"/>
          <w:b w:val="0"/>
          <w:bCs/>
          <w:lang w:val="en-US"/>
        </w:rPr>
        <w:t>m</w:t>
      </w:r>
      <w:r>
        <w:rPr>
          <w:rFonts w:ascii="Times New Roman" w:hAnsi="Times New Roman" w:cs="Times New Roman"/>
          <w:b w:val="0"/>
          <w:bCs/>
        </w:rPr>
        <w:t xml:space="preserve">. Rasio PBV yang tinggi sering kali mencerminkan pandangan pasar yang positif terhadap prospek perusahaan, sedangkan PBV yang rendah bisa menunjukkan bahwa pasar memiliki pandangan yang kurang optimis atau menganggap saham tersebut </w:t>
      </w:r>
      <w:r>
        <w:rPr>
          <w:rFonts w:ascii="Times New Roman" w:hAnsi="Times New Roman" w:cs="Times New Roman"/>
          <w:b w:val="0"/>
          <w:bCs/>
          <w:i/>
          <w:iCs/>
        </w:rPr>
        <w:t>undervalued</w:t>
      </w:r>
      <w:r>
        <w:rPr>
          <w:rFonts w:ascii="Times New Roman" w:hAnsi="Times New Roman" w:eastAsia="Segoe UI" w:cs="Times New Roman"/>
          <w:b w:val="0"/>
          <w:bCs/>
          <w:shd w:val="clear" w:color="auto" w:fill="FFFFFF"/>
        </w:rPr>
        <w:t>.</w:t>
      </w:r>
    </w:p>
    <w:p w14:paraId="5A921A4E">
      <w:pPr>
        <w:pStyle w:val="21"/>
        <w:spacing w:before="0" w:after="0"/>
        <w:ind w:firstLine="270"/>
        <w:jc w:val="both"/>
        <w:rPr>
          <w:rFonts w:ascii="Times New Roman" w:hAnsi="Times New Roman" w:eastAsia="Segoe UI" w:cs="Times New Roman"/>
          <w:sz w:val="22"/>
          <w:szCs w:val="22"/>
          <w:shd w:val="clear" w:color="auto" w:fill="FFFFFF"/>
        </w:rPr>
      </w:pPr>
      <w:r>
        <w:rPr>
          <w:rFonts w:ascii="Times New Roman" w:hAnsi="Times New Roman" w:eastAsia="Segoe UI" w:cs="Times New Roman"/>
          <w:b w:val="0"/>
          <w:bCs/>
          <w:sz w:val="22"/>
          <w:szCs w:val="22"/>
          <w:shd w:val="clear" w:color="auto" w:fill="FFFFFF"/>
        </w:rPr>
        <w:t>Berdasarkan</w:t>
      </w:r>
      <w:r>
        <w:rPr>
          <w:rFonts w:hint="default" w:ascii="Times New Roman" w:hAnsi="Times New Roman" w:eastAsia="Segoe UI" w:cs="Times New Roman"/>
          <w:b w:val="0"/>
          <w:bCs/>
          <w:sz w:val="22"/>
          <w:szCs w:val="22"/>
          <w:shd w:val="clear" w:color="auto" w:fill="FFFFFF"/>
          <w:lang w:val="en-US"/>
        </w:rPr>
        <w:t xml:space="preserve"> perhitungan nilai peusahaan</w:t>
      </w:r>
      <w:r>
        <w:rPr>
          <w:rFonts w:ascii="Times New Roman" w:hAnsi="Times New Roman" w:eastAsia="Segoe UI" w:cs="Times New Roman"/>
          <w:b w:val="0"/>
          <w:bCs/>
          <w:sz w:val="22"/>
          <w:szCs w:val="22"/>
          <w:shd w:val="clear" w:color="auto" w:fill="FFFFFF"/>
        </w:rPr>
        <w:t xml:space="preserve"> (PBV) pada sub sektor perbankan yang terdaftar di Bursa Efek Indonesia (BEI) selama periode 2022</w:t>
      </w:r>
      <w:r>
        <w:rPr>
          <w:rFonts w:hint="default" w:ascii="Times New Roman" w:hAnsi="Times New Roman" w:eastAsia="Segoe UI" w:cs="Times New Roman"/>
          <w:b w:val="0"/>
          <w:bCs/>
          <w:sz w:val="22"/>
          <w:szCs w:val="22"/>
          <w:shd w:val="clear" w:color="auto" w:fill="FFFFFF"/>
          <w:lang w:val="en-US"/>
        </w:rPr>
        <w:t>-</w:t>
      </w:r>
      <w:r>
        <w:rPr>
          <w:rFonts w:ascii="Times New Roman" w:hAnsi="Times New Roman" w:eastAsia="Segoe UI" w:cs="Times New Roman"/>
          <w:b w:val="0"/>
          <w:bCs/>
          <w:sz w:val="22"/>
          <w:szCs w:val="22"/>
          <w:shd w:val="clear" w:color="auto" w:fill="FFFFFF"/>
        </w:rPr>
        <w:t>2024, terlihat adanya fluktuasi serta ketimpangan nilai PBV antarbank. Rata-rata PBV menunjukkan tren penurunan dari 1,11 pada tahun 2023 menjadi 0,93 pada tahun 2024, yang mencerminkan bahwa sebagian besar bank</w:t>
      </w:r>
      <w:r>
        <w:rPr>
          <w:rFonts w:ascii="Times New Roman" w:hAnsi="Times New Roman" w:eastAsia="Segoe UI" w:cs="Times New Roman"/>
          <w:sz w:val="22"/>
          <w:szCs w:val="22"/>
          <w:shd w:val="clear" w:color="auto" w:fill="FFFFFF"/>
        </w:rPr>
        <w:t xml:space="preserve"> </w:t>
      </w:r>
      <w:r>
        <w:rPr>
          <w:rFonts w:ascii="Times New Roman" w:hAnsi="Times New Roman" w:eastAsia="Segoe UI" w:cs="Times New Roman"/>
          <w:b w:val="0"/>
          <w:bCs/>
          <w:sz w:val="22"/>
          <w:szCs w:val="22"/>
          <w:shd w:val="clear" w:color="auto" w:fill="FFFFFF"/>
        </w:rPr>
        <w:t>dinilai oleh pasar lebih rendah dari nilai bukunya. Selain itu, terdapat beberapa bank yang diukur dengan PBV sangat tinggi seperti Bank Ina Perdana (BINA) dan Allo Bank (BBHI), sementara bank-bank lainya cenderung memiliki PBV yang rendah dan tidak stabil. Perbedaan ini menunjukkan bahwa persepsi pasar terhadap kinerja dan prospek masing-masing bank tidak seragam, meskipun beroperasi dalam industri yang sama. Ketidakseragaman ini mengindikasi kemungkinan adanya perbedaan strategi keuangan antar perusahaan, seperti dalam perencanaan pajak, keputusan investasi, dan pengelolaan kas.</w:t>
      </w:r>
      <w:r>
        <w:rPr>
          <w:rFonts w:ascii="Times New Roman" w:hAnsi="Times New Roman" w:eastAsia="Segoe UI" w:cs="Times New Roman"/>
          <w:sz w:val="22"/>
          <w:szCs w:val="22"/>
          <w:shd w:val="clear" w:color="auto" w:fill="FFFFFF"/>
        </w:rPr>
        <w:t xml:space="preserve"> </w:t>
      </w:r>
    </w:p>
    <w:p w14:paraId="2C9E7CD4">
      <w:pPr>
        <w:pStyle w:val="21"/>
        <w:spacing w:before="0" w:after="0"/>
        <w:ind w:firstLine="270"/>
        <w:jc w:val="both"/>
        <w:rPr>
          <w:rFonts w:ascii="Times New Roman" w:hAnsi="Times New Roman" w:eastAsia="Segoe UI" w:cs="Times New Roman"/>
          <w:b w:val="0"/>
          <w:bCs/>
          <w:sz w:val="22"/>
          <w:szCs w:val="22"/>
          <w:shd w:val="clear" w:color="auto" w:fill="FFFFFF"/>
          <w:lang w:val="id-ID"/>
        </w:rPr>
      </w:pPr>
      <w:r>
        <w:rPr>
          <w:rFonts w:ascii="Times New Roman" w:hAnsi="Times New Roman" w:eastAsia="Segoe UI" w:cs="Times New Roman"/>
          <w:b w:val="0"/>
          <w:bCs/>
          <w:sz w:val="22"/>
          <w:szCs w:val="22"/>
          <w:shd w:val="clear" w:color="auto" w:fill="FFFFFF"/>
          <w:lang w:val="id-ID"/>
        </w:rPr>
        <w:t>Hal ini seja</w:t>
      </w:r>
      <w:r>
        <w:rPr>
          <w:rFonts w:ascii="Times New Roman" w:hAnsi="Times New Roman" w:eastAsia="Segoe UI" w:cs="Times New Roman"/>
          <w:b w:val="0"/>
          <w:bCs/>
          <w:sz w:val="22"/>
          <w:szCs w:val="22"/>
          <w:shd w:val="clear" w:color="auto" w:fill="FFFFFF"/>
        </w:rPr>
        <w:t>la</w:t>
      </w:r>
      <w:r>
        <w:rPr>
          <w:rFonts w:ascii="Times New Roman" w:hAnsi="Times New Roman" w:eastAsia="Segoe UI" w:cs="Times New Roman"/>
          <w:b w:val="0"/>
          <w:bCs/>
          <w:sz w:val="22"/>
          <w:szCs w:val="22"/>
          <w:shd w:val="clear" w:color="auto" w:fill="FFFFFF"/>
          <w:lang w:val="id-ID"/>
        </w:rPr>
        <w:t>n dengan yang di</w:t>
      </w:r>
      <w:r>
        <w:rPr>
          <w:rFonts w:ascii="Times New Roman" w:hAnsi="Times New Roman" w:eastAsia="Segoe UI" w:cs="Times New Roman"/>
          <w:b w:val="0"/>
          <w:bCs/>
          <w:sz w:val="22"/>
          <w:szCs w:val="22"/>
          <w:shd w:val="clear" w:color="auto" w:fill="FFFFFF"/>
        </w:rPr>
        <w:t>t</w:t>
      </w:r>
      <w:r>
        <w:rPr>
          <w:rFonts w:ascii="Times New Roman" w:hAnsi="Times New Roman" w:eastAsia="Segoe UI" w:cs="Times New Roman"/>
          <w:b w:val="0"/>
          <w:bCs/>
          <w:sz w:val="22"/>
          <w:szCs w:val="22"/>
          <w:shd w:val="clear" w:color="auto" w:fill="FFFFFF"/>
          <w:lang w:val="id-ID"/>
        </w:rPr>
        <w:t>emukan oleh Nadhiyah (202</w:t>
      </w:r>
      <w:r>
        <w:rPr>
          <w:rFonts w:ascii="Times New Roman" w:hAnsi="Times New Roman" w:eastAsia="Segoe UI" w:cs="Times New Roman"/>
          <w:b w:val="0"/>
          <w:bCs/>
          <w:sz w:val="22"/>
          <w:szCs w:val="22"/>
          <w:shd w:val="clear" w:color="auto" w:fill="FFFFFF"/>
        </w:rPr>
        <w:t>1</w:t>
      </w:r>
      <w:r>
        <w:rPr>
          <w:rFonts w:ascii="Times New Roman" w:hAnsi="Times New Roman" w:eastAsia="Segoe UI" w:cs="Times New Roman"/>
          <w:b w:val="0"/>
          <w:bCs/>
          <w:sz w:val="22"/>
          <w:szCs w:val="22"/>
          <w:shd w:val="clear" w:color="auto" w:fill="FFFFFF"/>
          <w:lang w:val="id-ID"/>
        </w:rPr>
        <w:t xml:space="preserve">), bahwa </w:t>
      </w:r>
      <w:r>
        <w:rPr>
          <w:rFonts w:ascii="Times New Roman" w:hAnsi="Times New Roman" w:eastAsia="Segoe UI" w:cs="Times New Roman"/>
          <w:b w:val="0"/>
          <w:bCs/>
          <w:sz w:val="22"/>
          <w:szCs w:val="22"/>
          <w:shd w:val="clear" w:color="auto" w:fill="FFFFFF"/>
        </w:rPr>
        <w:t>rasio pbv yang rendah mencerminkan nilai saham yang rendah, yang dapat berdampak neg</w:t>
      </w:r>
      <w:r>
        <w:rPr>
          <w:rFonts w:ascii="Times New Roman" w:hAnsi="Times New Roman" w:eastAsia="Segoe UI" w:cs="Times New Roman"/>
          <w:b w:val="0"/>
          <w:bCs/>
          <w:sz w:val="22"/>
          <w:szCs w:val="22"/>
          <w:shd w:val="clear" w:color="auto" w:fill="FFFFFF"/>
          <w:lang w:val="id-ID"/>
        </w:rPr>
        <w:t>a</w:t>
      </w:r>
      <w:r>
        <w:rPr>
          <w:rFonts w:ascii="Times New Roman" w:hAnsi="Times New Roman" w:eastAsia="Segoe UI" w:cs="Times New Roman"/>
          <w:b w:val="0"/>
          <w:bCs/>
          <w:sz w:val="22"/>
          <w:szCs w:val="22"/>
          <w:shd w:val="clear" w:color="auto" w:fill="FFFFFF"/>
        </w:rPr>
        <w:t>tif terhadap persepi investor dan nilai perusahaan secara keseluruhan.</w:t>
      </w:r>
      <w:r>
        <w:rPr>
          <w:rFonts w:ascii="Times New Roman" w:hAnsi="Times New Roman" w:eastAsia="Segoe UI" w:cs="Times New Roman"/>
          <w:b w:val="0"/>
          <w:bCs/>
          <w:sz w:val="22"/>
          <w:szCs w:val="22"/>
          <w:shd w:val="clear" w:color="auto" w:fill="FFFFFF"/>
          <w:lang w:val="id-ID"/>
        </w:rPr>
        <w:t xml:space="preserve"> sebaliknya </w:t>
      </w:r>
      <w:r>
        <w:rPr>
          <w:rFonts w:ascii="Times New Roman" w:hAnsi="Times New Roman" w:eastAsia="Segoe UI" w:cs="Times New Roman"/>
          <w:b w:val="0"/>
          <w:bCs/>
          <w:sz w:val="22"/>
          <w:szCs w:val="22"/>
          <w:shd w:val="clear" w:color="auto" w:fill="FFFFFF"/>
        </w:rPr>
        <w:t>Perusahaan dengan rasio pbv yang tinggi menunjukan keberhasilan dalam menciptakan nilai bagi pemegang saham yang ditunjukan dari nilai saham yang tinggi</w:t>
      </w:r>
      <w:r>
        <w:rPr>
          <w:rFonts w:ascii="Times New Roman" w:hAnsi="Times New Roman" w:eastAsia="Segoe UI" w:cs="Times New Roman"/>
          <w:b w:val="0"/>
          <w:bCs/>
          <w:sz w:val="22"/>
          <w:szCs w:val="22"/>
          <w:shd w:val="clear" w:color="auto" w:fill="FFFFFF"/>
          <w:lang w:val="id-ID"/>
        </w:rPr>
        <w:t>.</w:t>
      </w:r>
    </w:p>
    <w:p w14:paraId="0C83A005">
      <w:pPr>
        <w:pStyle w:val="21"/>
        <w:spacing w:before="0" w:after="0"/>
        <w:ind w:firstLine="270"/>
        <w:jc w:val="both"/>
        <w:rPr>
          <w:rFonts w:hint="default" w:ascii="Times New Roman" w:hAnsi="Times New Roman" w:eastAsia="Segoe UI" w:cs="Times New Roman"/>
          <w:b w:val="0"/>
          <w:bCs/>
          <w:i/>
          <w:sz w:val="22"/>
          <w:szCs w:val="22"/>
          <w:shd w:val="clear" w:color="auto" w:fill="FFFFFF"/>
          <w:lang w:val="en-US"/>
        </w:rPr>
      </w:pPr>
      <w:r>
        <w:rPr>
          <w:rFonts w:ascii="Times New Roman" w:hAnsi="Times New Roman" w:eastAsia="Segoe UI" w:cs="Times New Roman"/>
          <w:b w:val="0"/>
          <w:bCs/>
          <w:sz w:val="22"/>
          <w:szCs w:val="22"/>
          <w:shd w:val="clear" w:color="auto" w:fill="FFFFFF"/>
          <w:lang w:val="id-ID"/>
        </w:rPr>
        <w:t>Kemudian dalam</w:t>
      </w:r>
      <w:r>
        <w:rPr>
          <w:rFonts w:ascii="Times New Roman" w:hAnsi="Times New Roman" w:eastAsia="Segoe UI" w:cs="Times New Roman"/>
          <w:b w:val="0"/>
          <w:bCs/>
          <w:sz w:val="22"/>
          <w:szCs w:val="22"/>
          <w:shd w:val="clear" w:color="auto" w:fill="FFFFFF"/>
        </w:rPr>
        <w:t xml:space="preserve"> penelitian ini nilai perusahaan sendiri dipengaruh oleh beberapa faktor diantaranya perencanaan pajak, keputusan investasi dan </w:t>
      </w:r>
      <w:r>
        <w:rPr>
          <w:rFonts w:ascii="Times New Roman" w:hAnsi="Times New Roman" w:eastAsia="Segoe UI" w:cs="Times New Roman"/>
          <w:b w:val="0"/>
          <w:bCs/>
          <w:i/>
          <w:sz w:val="22"/>
          <w:szCs w:val="22"/>
          <w:shd w:val="clear" w:color="auto" w:fill="FFFFFF"/>
        </w:rPr>
        <w:t>cash holding</w:t>
      </w:r>
      <w:r>
        <w:rPr>
          <w:rFonts w:hint="default" w:ascii="Times New Roman" w:hAnsi="Times New Roman" w:eastAsia="Segoe UI" w:cs="Times New Roman"/>
          <w:b w:val="0"/>
          <w:bCs/>
          <w:i/>
          <w:sz w:val="22"/>
          <w:szCs w:val="22"/>
          <w:shd w:val="clear" w:color="auto" w:fill="FFFFFF"/>
          <w:lang w:val="en-US"/>
        </w:rPr>
        <w:t>.</w:t>
      </w:r>
    </w:p>
    <w:p w14:paraId="7692A640">
      <w:pPr>
        <w:pStyle w:val="21"/>
        <w:spacing w:before="0" w:after="0"/>
        <w:ind w:firstLine="270"/>
        <w:jc w:val="both"/>
        <w:rPr>
          <w:rFonts w:ascii="Times New Roman" w:hAnsi="Times New Roman" w:eastAsia="Segoe UI" w:cs="Times New Roman"/>
          <w:b w:val="0"/>
          <w:bCs/>
          <w:sz w:val="22"/>
          <w:szCs w:val="22"/>
          <w:shd w:val="clear" w:color="auto" w:fill="FFFFFF"/>
        </w:rPr>
      </w:pPr>
      <w:r>
        <w:rPr>
          <w:rFonts w:ascii="Times New Roman" w:hAnsi="Times New Roman" w:eastAsia="Segoe UI" w:cs="Times New Roman"/>
          <w:b w:val="0"/>
          <w:bCs/>
          <w:sz w:val="22"/>
          <w:szCs w:val="22"/>
          <w:shd w:val="clear" w:color="auto" w:fill="FFFFFF"/>
        </w:rPr>
        <w:t>Perencanaan pajak merupakan upaya yang dilakukan oleh wajib pajak untuk meminimalkan jumlah pajak yang harus dibayar tanpa melanggar ketentuan perpajakan (Hidayati &amp; Priyadi, 2022). Dalam industri perbankan, penerapan strategi ini menjadi relevan karena adanya kompleksitas transaksi keuangan dan ketentuan fiskal yang dinamis. Dengan melakukan perencanaan pajak yang efektif, beban pajak perusahaan dapat ditekan, sehingga laba ini sering kali ditangkap pasar sebagai sinyal positif atas kinerja perusahaan, yang pada akhirnya berdampak pada kenaikan nilai perusahaan.</w:t>
      </w:r>
      <w:r>
        <w:rPr>
          <w:rFonts w:hint="default" w:ascii="Times New Roman" w:hAnsi="Times New Roman" w:eastAsia="Segoe UI" w:cs="Times New Roman"/>
          <w:b w:val="0"/>
          <w:bCs/>
          <w:sz w:val="22"/>
          <w:szCs w:val="22"/>
          <w:shd w:val="clear" w:color="auto" w:fill="FFFFFF"/>
          <w:lang w:val="en-US"/>
        </w:rPr>
        <w:t xml:space="preserve"> </w:t>
      </w:r>
      <w:r>
        <w:rPr>
          <w:rFonts w:ascii="Times New Roman" w:hAnsi="Times New Roman" w:eastAsia="Segoe UI" w:cs="Times New Roman"/>
          <w:b w:val="0"/>
          <w:bCs/>
          <w:sz w:val="22"/>
          <w:szCs w:val="22"/>
          <w:shd w:val="clear" w:color="auto" w:fill="FFFFFF"/>
          <w:lang w:val="id-ID"/>
        </w:rPr>
        <w:t xml:space="preserve">Hal ini diperkuat dari hasil penelitian </w:t>
      </w:r>
      <w:r>
        <w:rPr>
          <w:rFonts w:ascii="Times New Roman" w:hAnsi="Times New Roman" w:eastAsia="Segoe UI" w:cs="Times New Roman"/>
          <w:b w:val="0"/>
          <w:bCs/>
          <w:sz w:val="22"/>
          <w:szCs w:val="22"/>
          <w:shd w:val="clear" w:color="auto" w:fill="FFFFFF"/>
        </w:rPr>
        <w:t>oleh Putri &amp; Ambarita</w:t>
      </w:r>
      <w:r>
        <w:rPr>
          <w:rFonts w:ascii="Times New Roman" w:hAnsi="Times New Roman" w:eastAsia="Segoe UI" w:cs="Times New Roman"/>
          <w:b w:val="0"/>
          <w:bCs/>
          <w:sz w:val="22"/>
          <w:szCs w:val="22"/>
          <w:shd w:val="clear" w:color="auto" w:fill="FFFFFF"/>
          <w:lang w:val="id-ID"/>
        </w:rPr>
        <w:t xml:space="preserve"> (</w:t>
      </w:r>
      <w:r>
        <w:rPr>
          <w:rFonts w:ascii="Times New Roman" w:hAnsi="Times New Roman" w:eastAsia="Segoe UI" w:cs="Times New Roman"/>
          <w:b w:val="0"/>
          <w:bCs/>
          <w:sz w:val="22"/>
          <w:szCs w:val="22"/>
          <w:shd w:val="clear" w:color="auto" w:fill="FFFFFF"/>
        </w:rPr>
        <w:t>2025),</w:t>
      </w:r>
      <w:r>
        <w:rPr>
          <w:rFonts w:ascii="Times New Roman" w:hAnsi="Times New Roman" w:eastAsia="Segoe UI" w:cs="Times New Roman"/>
          <w:b w:val="0"/>
          <w:bCs/>
          <w:sz w:val="22"/>
          <w:szCs w:val="22"/>
          <w:shd w:val="clear" w:color="auto" w:fill="FFFFFF"/>
          <w:lang w:val="id-ID"/>
        </w:rPr>
        <w:t xml:space="preserve"> menyatakan bahwa</w:t>
      </w:r>
      <w:r>
        <w:rPr>
          <w:rFonts w:ascii="Times New Roman" w:hAnsi="Times New Roman" w:eastAsia="Segoe UI" w:cs="Times New Roman"/>
          <w:b w:val="0"/>
          <w:bCs/>
          <w:sz w:val="22"/>
          <w:szCs w:val="22"/>
          <w:shd w:val="clear" w:color="auto" w:fill="FFFFFF"/>
        </w:rPr>
        <w:t xml:space="preserve"> perencanaan pajak terhadap  nilai perusahaan berpengaruh signifikan.  </w:t>
      </w:r>
      <w:r>
        <w:rPr>
          <w:rFonts w:ascii="Times New Roman" w:hAnsi="Times New Roman" w:eastAsia="Segoe UI" w:cs="Times New Roman"/>
          <w:b w:val="0"/>
          <w:bCs/>
          <w:sz w:val="22"/>
          <w:szCs w:val="22"/>
          <w:shd w:val="clear" w:color="auto" w:fill="FFFFFF"/>
          <w:lang w:val="id-ID"/>
        </w:rPr>
        <w:t>Namun b</w:t>
      </w:r>
      <w:r>
        <w:rPr>
          <w:rFonts w:ascii="Times New Roman" w:hAnsi="Times New Roman" w:eastAsia="Segoe UI" w:cs="Times New Roman"/>
          <w:b w:val="0"/>
          <w:bCs/>
          <w:sz w:val="22"/>
          <w:szCs w:val="22"/>
          <w:shd w:val="clear" w:color="auto" w:fill="FFFFFF"/>
        </w:rPr>
        <w:t>erbeda</w:t>
      </w:r>
      <w:r>
        <w:rPr>
          <w:rFonts w:ascii="Times New Roman" w:hAnsi="Times New Roman" w:eastAsia="Segoe UI" w:cs="Times New Roman"/>
          <w:b w:val="0"/>
          <w:bCs/>
          <w:sz w:val="22"/>
          <w:szCs w:val="22"/>
          <w:shd w:val="clear" w:color="auto" w:fill="FFFFFF"/>
          <w:lang w:val="id-ID"/>
        </w:rPr>
        <w:t xml:space="preserve"> dengan </w:t>
      </w:r>
      <w:r>
        <w:rPr>
          <w:rFonts w:ascii="Times New Roman" w:hAnsi="Times New Roman" w:eastAsia="Segoe UI" w:cs="Times New Roman"/>
          <w:b w:val="0"/>
          <w:bCs/>
          <w:sz w:val="22"/>
          <w:szCs w:val="22"/>
          <w:shd w:val="clear" w:color="auto" w:fill="FFFFFF"/>
        </w:rPr>
        <w:t>penelitian</w:t>
      </w:r>
      <w:r>
        <w:rPr>
          <w:rFonts w:ascii="Times New Roman" w:hAnsi="Times New Roman" w:eastAsia="Segoe UI" w:cs="Times New Roman"/>
          <w:b w:val="0"/>
          <w:bCs/>
          <w:sz w:val="22"/>
          <w:szCs w:val="22"/>
          <w:shd w:val="clear" w:color="auto" w:fill="FFFFFF"/>
          <w:lang w:val="id-ID"/>
        </w:rPr>
        <w:t xml:space="preserve"> oleh</w:t>
      </w:r>
      <w:r>
        <w:rPr>
          <w:rFonts w:ascii="Times New Roman" w:hAnsi="Times New Roman" w:eastAsia="Segoe UI" w:cs="Times New Roman"/>
          <w:b w:val="0"/>
          <w:bCs/>
          <w:sz w:val="22"/>
          <w:szCs w:val="22"/>
          <w:shd w:val="clear" w:color="auto" w:fill="FFFFFF"/>
        </w:rPr>
        <w:t xml:space="preserve"> </w:t>
      </w:r>
      <w:r>
        <w:rPr>
          <w:rFonts w:ascii="Times New Roman" w:hAnsi="Times New Roman" w:eastAsia="Times New Roman" w:cs="Times New Roman"/>
          <w:b w:val="0"/>
          <w:bCs/>
          <w:sz w:val="22"/>
          <w:szCs w:val="22"/>
          <w:shd w:val="clear" w:color="auto" w:fill="FFFFFF"/>
        </w:rPr>
        <w:t xml:space="preserve">Sari &amp; Trisnawati (2024), </w:t>
      </w:r>
      <w:r>
        <w:rPr>
          <w:rFonts w:ascii="Times New Roman" w:hAnsi="Times New Roman" w:eastAsia="Segoe UI" w:cs="Times New Roman"/>
          <w:b w:val="0"/>
          <w:bCs/>
          <w:sz w:val="22"/>
          <w:szCs w:val="22"/>
          <w:shd w:val="clear" w:color="auto" w:fill="FFFFFF"/>
        </w:rPr>
        <w:t>Romadhina &amp; Andhitiyara</w:t>
      </w:r>
      <w:r>
        <w:rPr>
          <w:rFonts w:ascii="Times New Roman" w:hAnsi="Times New Roman" w:eastAsia="Segoe UI" w:cs="Times New Roman"/>
          <w:b w:val="0"/>
          <w:bCs/>
          <w:sz w:val="22"/>
          <w:szCs w:val="22"/>
          <w:shd w:val="clear" w:color="auto" w:fill="FFFFFF"/>
          <w:lang w:val="id-ID"/>
        </w:rPr>
        <w:t xml:space="preserve"> (</w:t>
      </w:r>
      <w:r>
        <w:rPr>
          <w:rFonts w:ascii="Times New Roman" w:hAnsi="Times New Roman" w:eastAsia="Segoe UI" w:cs="Times New Roman"/>
          <w:b w:val="0"/>
          <w:bCs/>
          <w:sz w:val="22"/>
          <w:szCs w:val="22"/>
          <w:shd w:val="clear" w:color="auto" w:fill="FFFFFF"/>
        </w:rPr>
        <w:t xml:space="preserve">2021), </w:t>
      </w:r>
      <w:r>
        <w:rPr>
          <w:rFonts w:ascii="Times New Roman" w:hAnsi="Times New Roman" w:eastAsia="Segoe UI" w:cs="Times New Roman"/>
          <w:b w:val="0"/>
          <w:bCs/>
          <w:sz w:val="22"/>
          <w:szCs w:val="22"/>
          <w:shd w:val="clear" w:color="auto" w:fill="FFFFFF"/>
          <w:lang w:val="id-ID"/>
        </w:rPr>
        <w:t>menyatakan</w:t>
      </w:r>
      <w:r>
        <w:rPr>
          <w:rFonts w:ascii="Times New Roman" w:hAnsi="Times New Roman" w:eastAsia="Segoe UI" w:cs="Times New Roman"/>
          <w:b w:val="0"/>
          <w:bCs/>
          <w:sz w:val="22"/>
          <w:szCs w:val="22"/>
          <w:shd w:val="clear" w:color="auto" w:fill="FFFFFF"/>
        </w:rPr>
        <w:t xml:space="preserve"> bahwa perencanaan pajak tidak berpengaruh signifikan terhadap nilai perusahaan, karena semangkin besar keuntungan yang diperoleh maka semakin besar pula pajak yang harus dibayar. </w:t>
      </w:r>
    </w:p>
    <w:p w14:paraId="434C7ED4">
      <w:pPr>
        <w:pStyle w:val="21"/>
        <w:spacing w:before="0" w:after="0"/>
        <w:ind w:firstLine="270"/>
        <w:jc w:val="both"/>
        <w:rPr>
          <w:rFonts w:ascii="Times New Roman" w:hAnsi="Times New Roman" w:eastAsia="Times New Roman" w:cs="Times New Roman"/>
          <w:b w:val="0"/>
          <w:bCs/>
          <w:sz w:val="22"/>
          <w:szCs w:val="22"/>
          <w:shd w:val="clear" w:color="auto" w:fill="FFFFFF"/>
        </w:rPr>
      </w:pPr>
      <w:r>
        <w:rPr>
          <w:rFonts w:ascii="Times New Roman" w:hAnsi="Times New Roman" w:eastAsia="Segoe UI" w:cs="Times New Roman"/>
          <w:b w:val="0"/>
          <w:bCs/>
          <w:sz w:val="22"/>
          <w:szCs w:val="22"/>
          <w:shd w:val="clear" w:color="auto" w:fill="FFFFFF"/>
        </w:rPr>
        <w:t xml:space="preserve">Faktor </w:t>
      </w:r>
      <w:r>
        <w:rPr>
          <w:rFonts w:ascii="Times New Roman" w:hAnsi="Times New Roman" w:eastAsia="Segoe UI" w:cs="Times New Roman"/>
          <w:b w:val="0"/>
          <w:bCs/>
          <w:sz w:val="22"/>
          <w:szCs w:val="22"/>
          <w:shd w:val="clear" w:color="auto" w:fill="FFFFFF"/>
          <w:lang w:val="id-ID"/>
        </w:rPr>
        <w:t>selanjutnya</w:t>
      </w:r>
      <w:r>
        <w:rPr>
          <w:rFonts w:ascii="Times New Roman" w:hAnsi="Times New Roman" w:eastAsia="Segoe UI" w:cs="Times New Roman"/>
          <w:b w:val="0"/>
          <w:bCs/>
          <w:sz w:val="22"/>
          <w:szCs w:val="22"/>
          <w:shd w:val="clear" w:color="auto" w:fill="FFFFFF"/>
        </w:rPr>
        <w:t xml:space="preserve"> yang mempengaruh nilai perusahaan keputusan investasi. </w:t>
      </w:r>
      <w:r>
        <w:rPr>
          <w:rFonts w:ascii="Times New Roman" w:hAnsi="Times New Roman" w:cs="Times New Roman"/>
          <w:b w:val="0"/>
          <w:bCs/>
          <w:sz w:val="22"/>
          <w:szCs w:val="22"/>
        </w:rPr>
        <w:t xml:space="preserve">Keputusan investasi merupakan langkah strategis yang diambil oleh manajemen perusahaan dalam menentukan alokasi dana perusahaan ke berbagai bentuk investasi, baik aset tetap, proyek ekspansi, maupun instrumen keuangan lainnya, dengan tujuan untuk menghasilkan keuntungan dimasa depan (Pristina &amp; Khoirunnisa,2019). keputusan investasi yang tepat dapat mendorong pertumbuhan laba dan memperkuat posisi keuangan perusahaan, sehingga meningkatkan daya tarik dimata investor. </w:t>
      </w:r>
      <w:r>
        <w:rPr>
          <w:rFonts w:ascii="Times New Roman" w:hAnsi="Times New Roman" w:eastAsia="Times New Roman" w:cs="Times New Roman"/>
          <w:b w:val="0"/>
          <w:bCs/>
          <w:sz w:val="22"/>
          <w:szCs w:val="22"/>
          <w:shd w:val="clear" w:color="auto" w:fill="FFFFFF"/>
        </w:rPr>
        <w:t xml:space="preserve">Hal ini </w:t>
      </w:r>
      <w:r>
        <w:rPr>
          <w:rFonts w:ascii="Times New Roman" w:hAnsi="Times New Roman" w:eastAsia="Times New Roman" w:cs="Times New Roman"/>
          <w:b w:val="0"/>
          <w:bCs/>
          <w:sz w:val="22"/>
          <w:szCs w:val="22"/>
          <w:shd w:val="clear" w:color="auto" w:fill="FFFFFF"/>
          <w:lang w:val="id-ID"/>
        </w:rPr>
        <w:t>diperkuat</w:t>
      </w:r>
      <w:r>
        <w:rPr>
          <w:rFonts w:ascii="Times New Roman" w:hAnsi="Times New Roman" w:eastAsia="Times New Roman" w:cs="Times New Roman"/>
          <w:b w:val="0"/>
          <w:bCs/>
          <w:sz w:val="22"/>
          <w:szCs w:val="22"/>
          <w:shd w:val="clear" w:color="auto" w:fill="FFFFFF"/>
        </w:rPr>
        <w:t xml:space="preserve"> </w:t>
      </w:r>
      <w:r>
        <w:rPr>
          <w:rFonts w:ascii="Times New Roman" w:hAnsi="Times New Roman" w:eastAsia="Times New Roman" w:cs="Times New Roman"/>
          <w:b w:val="0"/>
          <w:bCs/>
          <w:sz w:val="22"/>
          <w:szCs w:val="22"/>
          <w:shd w:val="clear" w:color="auto" w:fill="FFFFFF"/>
          <w:lang w:val="id-ID"/>
        </w:rPr>
        <w:t xml:space="preserve">dari hasil </w:t>
      </w:r>
      <w:r>
        <w:rPr>
          <w:rFonts w:ascii="Times New Roman" w:hAnsi="Times New Roman" w:eastAsia="Times New Roman" w:cs="Times New Roman"/>
          <w:b w:val="0"/>
          <w:bCs/>
          <w:sz w:val="22"/>
          <w:szCs w:val="22"/>
          <w:shd w:val="clear" w:color="auto" w:fill="FFFFFF"/>
        </w:rPr>
        <w:t xml:space="preserve">penelitian oleh Putra (2023), Ardini &amp; Adhitya (2022), Suhendar &amp; Paramita (2024) menyatakan bahwa keputusan investasi berpengaruh signifikan terhadap nilai perusahaan. Namun </w:t>
      </w:r>
      <w:r>
        <w:rPr>
          <w:rFonts w:ascii="Times New Roman" w:hAnsi="Times New Roman" w:eastAsia="Times New Roman" w:cs="Times New Roman"/>
          <w:b w:val="0"/>
          <w:bCs/>
          <w:sz w:val="22"/>
          <w:szCs w:val="22"/>
          <w:shd w:val="clear" w:color="auto" w:fill="FFFFFF"/>
          <w:lang w:val="id-ID"/>
        </w:rPr>
        <w:t xml:space="preserve">beda </w:t>
      </w:r>
      <w:r>
        <w:rPr>
          <w:rFonts w:ascii="Times New Roman" w:hAnsi="Times New Roman" w:eastAsia="Times New Roman" w:cs="Times New Roman"/>
          <w:b w:val="0"/>
          <w:bCs/>
          <w:sz w:val="22"/>
          <w:szCs w:val="22"/>
          <w:shd w:val="clear" w:color="auto" w:fill="FFFFFF"/>
        </w:rPr>
        <w:t>hal</w:t>
      </w:r>
      <w:r>
        <w:rPr>
          <w:rFonts w:ascii="Times New Roman" w:hAnsi="Times New Roman" w:eastAsia="Times New Roman" w:cs="Times New Roman"/>
          <w:b w:val="0"/>
          <w:bCs/>
          <w:sz w:val="22"/>
          <w:szCs w:val="22"/>
          <w:shd w:val="clear" w:color="auto" w:fill="FFFFFF"/>
          <w:lang w:val="id-ID"/>
        </w:rPr>
        <w:t xml:space="preserve"> nya menurut</w:t>
      </w:r>
      <w:r>
        <w:rPr>
          <w:rFonts w:ascii="Times New Roman" w:hAnsi="Times New Roman" w:eastAsia="Times New Roman" w:cs="Times New Roman"/>
          <w:b w:val="0"/>
          <w:bCs/>
          <w:sz w:val="22"/>
          <w:szCs w:val="22"/>
          <w:shd w:val="clear" w:color="auto" w:fill="FFFFFF"/>
        </w:rPr>
        <w:t xml:space="preserve"> Octavianigrum &amp; Aufa (2023)  menyatakan bahwa keputusan investasi tidak berpengaruh signifikan terhadap nilai perusahaan. </w:t>
      </w:r>
    </w:p>
    <w:p w14:paraId="1D2F7A82">
      <w:pPr>
        <w:pStyle w:val="21"/>
        <w:spacing w:before="0" w:after="0"/>
        <w:ind w:firstLine="270"/>
        <w:jc w:val="both"/>
        <w:rPr>
          <w:rFonts w:ascii="Times New Roman" w:hAnsi="Times New Roman" w:eastAsia="Times New Roman" w:cs="Times New Roman"/>
          <w:b w:val="0"/>
          <w:bCs/>
          <w:color w:val="000000"/>
          <w:sz w:val="22"/>
          <w:szCs w:val="22"/>
          <w:shd w:val="clear" w:color="auto" w:fill="FFFFFF"/>
        </w:rPr>
      </w:pPr>
      <w:r>
        <w:rPr>
          <w:rFonts w:ascii="Times New Roman" w:hAnsi="Times New Roman" w:eastAsia="Times New Roman" w:cs="Times New Roman"/>
          <w:b w:val="0"/>
          <w:bCs/>
          <w:sz w:val="22"/>
          <w:szCs w:val="22"/>
          <w:shd w:val="clear" w:color="auto" w:fill="FFFFFF"/>
          <w:lang w:val="id-ID"/>
        </w:rPr>
        <w:t>Kemudian f</w:t>
      </w:r>
      <w:r>
        <w:rPr>
          <w:rFonts w:ascii="Times New Roman" w:hAnsi="Times New Roman" w:eastAsia="Times New Roman" w:cs="Times New Roman"/>
          <w:b w:val="0"/>
          <w:bCs/>
          <w:sz w:val="22"/>
          <w:szCs w:val="22"/>
          <w:shd w:val="clear" w:color="auto" w:fill="FFFFFF"/>
        </w:rPr>
        <w:t xml:space="preserve">aktor </w:t>
      </w:r>
      <w:r>
        <w:rPr>
          <w:rFonts w:ascii="Times New Roman" w:hAnsi="Times New Roman" w:eastAsia="Times New Roman" w:cs="Times New Roman"/>
          <w:b w:val="0"/>
          <w:bCs/>
          <w:sz w:val="22"/>
          <w:szCs w:val="22"/>
          <w:shd w:val="clear" w:color="auto" w:fill="FFFFFF"/>
          <w:lang w:val="id-ID"/>
        </w:rPr>
        <w:t>berikutnya</w:t>
      </w:r>
      <w:r>
        <w:rPr>
          <w:rFonts w:ascii="Times New Roman" w:hAnsi="Times New Roman" w:eastAsia="Times New Roman" w:cs="Times New Roman"/>
          <w:b w:val="0"/>
          <w:bCs/>
          <w:sz w:val="22"/>
          <w:szCs w:val="22"/>
          <w:shd w:val="clear" w:color="auto" w:fill="FFFFFF"/>
        </w:rPr>
        <w:t xml:space="preserve"> yang mem</w:t>
      </w:r>
      <w:r>
        <w:rPr>
          <w:rFonts w:ascii="Times New Roman" w:hAnsi="Times New Roman" w:eastAsia="Times New Roman" w:cs="Times New Roman"/>
          <w:b w:val="0"/>
          <w:bCs/>
          <w:sz w:val="22"/>
          <w:szCs w:val="22"/>
          <w:shd w:val="clear" w:color="auto" w:fill="FFFFFF"/>
          <w:lang w:val="id-ID"/>
        </w:rPr>
        <w:t>p</w:t>
      </w:r>
      <w:r>
        <w:rPr>
          <w:rFonts w:ascii="Times New Roman" w:hAnsi="Times New Roman" w:eastAsia="Times New Roman" w:cs="Times New Roman"/>
          <w:b w:val="0"/>
          <w:bCs/>
          <w:sz w:val="22"/>
          <w:szCs w:val="22"/>
          <w:shd w:val="clear" w:color="auto" w:fill="FFFFFF"/>
        </w:rPr>
        <w:t xml:space="preserve">engaruhi nilai perusahaan </w:t>
      </w:r>
      <w:r>
        <w:rPr>
          <w:rFonts w:ascii="Times New Roman" w:hAnsi="Times New Roman" w:eastAsia="Times New Roman" w:cs="Times New Roman"/>
          <w:b w:val="0"/>
          <w:bCs/>
          <w:i/>
          <w:iCs/>
          <w:sz w:val="22"/>
          <w:szCs w:val="22"/>
          <w:shd w:val="clear" w:color="auto" w:fill="FFFFFF"/>
        </w:rPr>
        <w:t>cash holding.</w:t>
      </w:r>
      <w:r>
        <w:rPr>
          <w:rFonts w:ascii="Times New Roman" w:hAnsi="Times New Roman" w:eastAsia="Times New Roman" w:cs="Times New Roman"/>
          <w:b w:val="0"/>
          <w:bCs/>
          <w:sz w:val="22"/>
          <w:szCs w:val="22"/>
          <w:shd w:val="clear" w:color="auto" w:fill="FFFFFF"/>
        </w:rPr>
        <w:t xml:space="preserve"> </w:t>
      </w:r>
      <w:r>
        <w:rPr>
          <w:rFonts w:ascii="Times New Roman" w:hAnsi="Times New Roman" w:cs="Times New Roman"/>
          <w:b w:val="0"/>
          <w:bCs/>
          <w:i/>
          <w:sz w:val="22"/>
          <w:szCs w:val="22"/>
        </w:rPr>
        <w:t>Cash holding</w:t>
      </w:r>
      <w:r>
        <w:rPr>
          <w:rFonts w:ascii="Times New Roman" w:hAnsi="Times New Roman" w:cs="Times New Roman"/>
          <w:b w:val="0"/>
          <w:bCs/>
          <w:sz w:val="22"/>
          <w:szCs w:val="22"/>
        </w:rPr>
        <w:t xml:space="preserve"> merupakan keseluruhan kas yang dapat digunakan untuk membiayai kebutuhan operasional, membayar kewajiban jangka pendek, mendanai serta pembagian dividen (Anwar, dkk, 2023). Dalam industri perbankan, pengelolaan kas memegang peranan penting mengingat tingginya kebutuhan likuiditas serta risiko ketidakpastian pasar. </w:t>
      </w:r>
      <w:r>
        <w:rPr>
          <w:rFonts w:ascii="Times New Roman" w:hAnsi="Times New Roman" w:cs="Times New Roman"/>
          <w:b w:val="0"/>
          <w:bCs/>
          <w:sz w:val="22"/>
          <w:szCs w:val="22"/>
          <w:lang w:val="id-ID"/>
        </w:rPr>
        <w:t xml:space="preserve"> Hal ini diperkuat dari hasil penelitian </w:t>
      </w:r>
      <w:r>
        <w:rPr>
          <w:rFonts w:ascii="Times New Roman" w:hAnsi="Times New Roman" w:cs="Times New Roman"/>
          <w:b w:val="0"/>
          <w:bCs/>
          <w:sz w:val="22"/>
          <w:szCs w:val="22"/>
        </w:rPr>
        <w:t xml:space="preserve">oleh </w:t>
      </w:r>
      <w:r>
        <w:rPr>
          <w:rFonts w:ascii="Times New Roman" w:hAnsi="Times New Roman" w:eastAsia="Times New Roman" w:cs="Times New Roman"/>
          <w:b w:val="0"/>
          <w:bCs/>
          <w:color w:val="000000"/>
          <w:sz w:val="22"/>
          <w:szCs w:val="22"/>
          <w:shd w:val="clear" w:color="auto" w:fill="FFFFFF"/>
          <w:lang w:val="id-ID"/>
        </w:rPr>
        <w:t>C</w:t>
      </w:r>
      <w:r>
        <w:rPr>
          <w:rFonts w:ascii="Times New Roman" w:hAnsi="Times New Roman" w:eastAsia="Times New Roman" w:cs="Times New Roman"/>
          <w:b w:val="0"/>
          <w:bCs/>
          <w:color w:val="000000"/>
          <w:sz w:val="22"/>
          <w:szCs w:val="22"/>
          <w:shd w:val="clear" w:color="auto" w:fill="FFFFFF"/>
        </w:rPr>
        <w:t>handra &amp; feliana </w:t>
      </w:r>
      <w:r>
        <w:rPr>
          <w:rFonts w:ascii="Times New Roman" w:hAnsi="Times New Roman" w:eastAsia="Times New Roman" w:cs="Times New Roman"/>
          <w:b w:val="0"/>
          <w:bCs/>
          <w:color w:val="000000"/>
          <w:sz w:val="22"/>
          <w:szCs w:val="22"/>
          <w:shd w:val="clear" w:color="auto" w:fill="FFFFFF"/>
          <w:lang w:val="id-ID"/>
        </w:rPr>
        <w:t xml:space="preserve"> (</w:t>
      </w:r>
      <w:r>
        <w:rPr>
          <w:rFonts w:ascii="Times New Roman" w:hAnsi="Times New Roman" w:eastAsia="Times New Roman" w:cs="Times New Roman"/>
          <w:b w:val="0"/>
          <w:bCs/>
          <w:color w:val="000000"/>
          <w:sz w:val="22"/>
          <w:szCs w:val="22"/>
          <w:shd w:val="clear" w:color="auto" w:fill="FFFFFF"/>
        </w:rPr>
        <w:t>2020)</w:t>
      </w:r>
      <w:r>
        <w:rPr>
          <w:rFonts w:ascii="Times New Roman" w:hAnsi="Times New Roman" w:eastAsia="Times New Roman" w:cs="Times New Roman"/>
          <w:b w:val="0"/>
          <w:bCs/>
          <w:color w:val="000000"/>
          <w:sz w:val="22"/>
          <w:szCs w:val="22"/>
          <w:shd w:val="clear" w:color="auto" w:fill="FFFFFF"/>
          <w:lang w:val="id-ID"/>
        </w:rPr>
        <w:t>,</w:t>
      </w:r>
      <w:r>
        <w:rPr>
          <w:rFonts w:ascii="Times New Roman" w:hAnsi="Times New Roman" w:eastAsia="Times New Roman" w:cs="Times New Roman"/>
          <w:b w:val="0"/>
          <w:bCs/>
          <w:color w:val="000000"/>
          <w:sz w:val="22"/>
          <w:szCs w:val="22"/>
          <w:shd w:val="clear" w:color="auto" w:fill="FFFFFF"/>
        </w:rPr>
        <w:t xml:space="preserve"> menyatakan</w:t>
      </w:r>
      <w:r>
        <w:rPr>
          <w:rFonts w:ascii="Times New Roman" w:hAnsi="Times New Roman" w:eastAsia="Times New Roman" w:cs="Times New Roman"/>
          <w:b w:val="0"/>
          <w:bCs/>
          <w:color w:val="000000"/>
          <w:sz w:val="22"/>
          <w:szCs w:val="22"/>
          <w:shd w:val="clear" w:color="auto" w:fill="FFFFFF"/>
          <w:lang w:val="id-ID"/>
        </w:rPr>
        <w:t xml:space="preserve"> bahwa</w:t>
      </w:r>
      <w:r>
        <w:rPr>
          <w:rFonts w:ascii="Times New Roman" w:hAnsi="Times New Roman" w:eastAsia="Times New Roman" w:cs="Times New Roman"/>
          <w:b w:val="0"/>
          <w:bCs/>
          <w:color w:val="000000"/>
          <w:sz w:val="22"/>
          <w:szCs w:val="22"/>
          <w:shd w:val="clear" w:color="auto" w:fill="FFFFFF"/>
        </w:rPr>
        <w:t xml:space="preserve"> </w:t>
      </w:r>
      <w:r>
        <w:rPr>
          <w:rFonts w:ascii="Times New Roman" w:hAnsi="Times New Roman" w:eastAsia="Times New Roman" w:cs="Times New Roman"/>
          <w:b w:val="0"/>
          <w:bCs/>
          <w:i/>
          <w:color w:val="000000"/>
          <w:sz w:val="22"/>
          <w:szCs w:val="22"/>
          <w:shd w:val="clear" w:color="auto" w:fill="FFFFFF"/>
        </w:rPr>
        <w:t>cash holding</w:t>
      </w:r>
      <w:r>
        <w:rPr>
          <w:rFonts w:ascii="Times New Roman" w:hAnsi="Times New Roman" w:eastAsia="Times New Roman" w:cs="Times New Roman"/>
          <w:b w:val="0"/>
          <w:bCs/>
          <w:color w:val="000000"/>
          <w:sz w:val="22"/>
          <w:szCs w:val="22"/>
          <w:shd w:val="clear" w:color="auto" w:fill="FFFFFF"/>
        </w:rPr>
        <w:t xml:space="preserve"> berpengaruh positif signifikan terhadap nilai perusahaan</w:t>
      </w:r>
      <w:r>
        <w:rPr>
          <w:rFonts w:ascii="Times New Roman" w:hAnsi="Times New Roman" w:eastAsia="Times New Roman" w:cs="Times New Roman"/>
          <w:b w:val="0"/>
          <w:bCs/>
          <w:color w:val="000000"/>
          <w:sz w:val="22"/>
          <w:szCs w:val="22"/>
          <w:shd w:val="clear" w:color="auto" w:fill="FFFFFF"/>
          <w:lang w:val="id-ID"/>
        </w:rPr>
        <w:t>. Namun</w:t>
      </w:r>
      <w:r>
        <w:rPr>
          <w:rFonts w:ascii="Times New Roman" w:hAnsi="Times New Roman" w:eastAsia="Times New Roman" w:cs="Times New Roman"/>
          <w:b w:val="0"/>
          <w:bCs/>
          <w:color w:val="000000"/>
          <w:sz w:val="22"/>
          <w:szCs w:val="22"/>
          <w:shd w:val="clear" w:color="auto" w:fill="FFFFFF"/>
        </w:rPr>
        <w:t xml:space="preserve"> berbeda dengan hasil penelitian yang dilakukan oleh </w:t>
      </w:r>
      <w:r>
        <w:rPr>
          <w:rFonts w:ascii="Times New Roman" w:hAnsi="Times New Roman" w:eastAsia="Times New Roman" w:cs="Times New Roman"/>
          <w:b w:val="0"/>
          <w:bCs/>
          <w:sz w:val="22"/>
          <w:szCs w:val="22"/>
          <w:shd w:val="clear" w:color="auto" w:fill="FFFFFF"/>
        </w:rPr>
        <w:t>Sari &amp; Trisnawati (2024).,</w:t>
      </w:r>
      <w:r>
        <w:rPr>
          <w:rFonts w:ascii="Times New Roman" w:hAnsi="Times New Roman" w:eastAsia="Times New Roman" w:cs="Times New Roman"/>
          <w:b w:val="0"/>
          <w:bCs/>
          <w:color w:val="000000"/>
          <w:sz w:val="22"/>
          <w:szCs w:val="22"/>
          <w:shd w:val="clear" w:color="auto" w:fill="FFFFFF"/>
        </w:rPr>
        <w:t xml:space="preserve"> Khoiroh &amp; Subradjo</w:t>
      </w:r>
      <w:r>
        <w:rPr>
          <w:rFonts w:ascii="Times New Roman" w:hAnsi="Times New Roman" w:eastAsia="Times New Roman" w:cs="Times New Roman"/>
          <w:b w:val="0"/>
          <w:bCs/>
          <w:color w:val="000000"/>
          <w:sz w:val="22"/>
          <w:szCs w:val="22"/>
          <w:shd w:val="clear" w:color="auto" w:fill="FFFFFF"/>
          <w:lang w:val="id-ID"/>
        </w:rPr>
        <w:t xml:space="preserve"> (</w:t>
      </w:r>
      <w:r>
        <w:rPr>
          <w:rFonts w:ascii="Times New Roman" w:hAnsi="Times New Roman" w:eastAsia="Times New Roman" w:cs="Times New Roman"/>
          <w:b w:val="0"/>
          <w:bCs/>
          <w:color w:val="000000"/>
          <w:sz w:val="22"/>
          <w:szCs w:val="22"/>
          <w:shd w:val="clear" w:color="auto" w:fill="FFFFFF"/>
        </w:rPr>
        <w:t>2020)</w:t>
      </w:r>
      <w:r>
        <w:rPr>
          <w:rFonts w:ascii="Times New Roman" w:hAnsi="Times New Roman" w:eastAsia="Times New Roman" w:cs="Times New Roman"/>
          <w:b w:val="0"/>
          <w:bCs/>
          <w:color w:val="000000"/>
          <w:sz w:val="22"/>
          <w:szCs w:val="22"/>
          <w:shd w:val="clear" w:color="auto" w:fill="FFFFFF"/>
          <w:lang w:val="id-ID"/>
        </w:rPr>
        <w:t>, menyatakan bahwa</w:t>
      </w:r>
      <w:r>
        <w:rPr>
          <w:rFonts w:ascii="Times New Roman" w:hAnsi="Times New Roman" w:eastAsia="Times New Roman" w:cs="Times New Roman"/>
          <w:b w:val="0"/>
          <w:bCs/>
          <w:color w:val="000000"/>
          <w:sz w:val="22"/>
          <w:szCs w:val="22"/>
          <w:shd w:val="clear" w:color="auto" w:fill="FFFFFF"/>
        </w:rPr>
        <w:t xml:space="preserve"> </w:t>
      </w:r>
      <w:r>
        <w:rPr>
          <w:rFonts w:ascii="Times New Roman" w:hAnsi="Times New Roman" w:eastAsia="Times New Roman" w:cs="Times New Roman"/>
          <w:b w:val="0"/>
          <w:bCs/>
          <w:i/>
          <w:color w:val="000000"/>
          <w:sz w:val="22"/>
          <w:szCs w:val="22"/>
          <w:shd w:val="clear" w:color="auto" w:fill="FFFFFF"/>
        </w:rPr>
        <w:t>cash holding</w:t>
      </w:r>
      <w:r>
        <w:rPr>
          <w:rFonts w:ascii="Times New Roman" w:hAnsi="Times New Roman" w:eastAsia="Times New Roman" w:cs="Times New Roman"/>
          <w:b w:val="0"/>
          <w:bCs/>
          <w:color w:val="000000"/>
          <w:sz w:val="22"/>
          <w:szCs w:val="22"/>
          <w:shd w:val="clear" w:color="auto" w:fill="FFFFFF"/>
        </w:rPr>
        <w:t xml:space="preserve"> tidak berpengaruh terhadap nilai perusahaan.  </w:t>
      </w:r>
    </w:p>
    <w:p w14:paraId="3BB0A94E">
      <w:pPr>
        <w:pStyle w:val="21"/>
        <w:spacing w:before="0" w:after="0"/>
        <w:ind w:firstLine="270"/>
        <w:jc w:val="both"/>
        <w:rPr>
          <w:rFonts w:hint="default" w:ascii="Times New Roman" w:hAnsi="Times New Roman" w:eastAsia="Times New Roman" w:cs="Times New Roman"/>
          <w:b w:val="0"/>
          <w:bCs/>
          <w:color w:val="000000"/>
          <w:sz w:val="22"/>
          <w:szCs w:val="22"/>
          <w:shd w:val="clear" w:color="auto" w:fill="FFFFFF"/>
          <w:lang w:val="en-US"/>
        </w:rPr>
      </w:pPr>
      <w:r>
        <w:rPr>
          <w:rFonts w:ascii="Times New Roman" w:hAnsi="Times New Roman" w:eastAsia="Times New Roman" w:cs="Times New Roman"/>
          <w:b w:val="0"/>
          <w:bCs/>
          <w:color w:val="000000"/>
          <w:sz w:val="22"/>
          <w:szCs w:val="22"/>
          <w:shd w:val="clear" w:color="auto" w:fill="FFFFFF"/>
        </w:rPr>
        <w:t xml:space="preserve">Dengan adanya hasil penelitian terdahulu yang saling bertentangan, penelitian ini menjadi penting untuk memberikan bukti empiris terbaru mengenai pengaruh perencanaan pajak, keputusan investasi dan </w:t>
      </w:r>
      <w:r>
        <w:rPr>
          <w:rFonts w:ascii="Times New Roman" w:hAnsi="Times New Roman" w:eastAsia="Times New Roman" w:cs="Times New Roman"/>
          <w:b w:val="0"/>
          <w:bCs/>
          <w:i/>
          <w:iCs/>
          <w:color w:val="000000"/>
          <w:sz w:val="22"/>
          <w:szCs w:val="22"/>
          <w:shd w:val="clear" w:color="auto" w:fill="FFFFFF"/>
        </w:rPr>
        <w:t xml:space="preserve">cash holding </w:t>
      </w:r>
      <w:r>
        <w:rPr>
          <w:rFonts w:ascii="Times New Roman" w:hAnsi="Times New Roman" w:eastAsia="Times New Roman" w:cs="Times New Roman"/>
          <w:b w:val="0"/>
          <w:bCs/>
          <w:color w:val="000000"/>
          <w:sz w:val="22"/>
          <w:szCs w:val="22"/>
          <w:shd w:val="clear" w:color="auto" w:fill="FFFFFF"/>
        </w:rPr>
        <w:t>terhadap nilai perusahaan pada sub sektor perbanka</w:t>
      </w:r>
      <w:r>
        <w:rPr>
          <w:rFonts w:hint="default" w:ascii="Times New Roman" w:hAnsi="Times New Roman" w:eastAsia="Times New Roman" w:cs="Times New Roman"/>
          <w:b w:val="0"/>
          <w:bCs/>
          <w:color w:val="000000"/>
          <w:sz w:val="22"/>
          <w:szCs w:val="22"/>
          <w:shd w:val="clear" w:color="auto" w:fill="FFFFFF"/>
          <w:lang w:val="en-US"/>
        </w:rPr>
        <w:t>n yang terdaftar di Bursa Efek Indonesia BEI  periode 2022-2024.</w:t>
      </w:r>
    </w:p>
    <w:p w14:paraId="4908A41B">
      <w:pPr>
        <w:pStyle w:val="21"/>
        <w:spacing w:before="0" w:after="0"/>
        <w:ind w:firstLine="270"/>
        <w:jc w:val="both"/>
        <w:rPr>
          <w:rFonts w:ascii="Times New Roman" w:hAnsi="Times New Roman" w:eastAsia="Segoe UI" w:cs="Times New Roman"/>
          <w:b w:val="0"/>
          <w:bCs/>
          <w:sz w:val="22"/>
          <w:szCs w:val="22"/>
          <w:shd w:val="clear" w:color="auto" w:fill="FFFFFF"/>
        </w:rPr>
      </w:pPr>
    </w:p>
    <w:p w14:paraId="047E3507">
      <w:pPr>
        <w:pStyle w:val="21"/>
        <w:spacing w:before="0" w:after="0"/>
        <w:ind w:firstLine="270"/>
        <w:jc w:val="both"/>
        <w:rPr>
          <w:rFonts w:ascii="Times New Roman" w:hAnsi="Times New Roman" w:eastAsia="Segoe UI" w:cs="Times New Roman"/>
          <w:shd w:val="clear" w:color="auto" w:fill="FFFFFF"/>
          <w:lang w:val="en-US"/>
        </w:rPr>
      </w:pPr>
    </w:p>
    <w:p w14:paraId="495137D6">
      <w:pPr>
        <w:pStyle w:val="21"/>
        <w:numPr>
          <w:ilvl w:val="0"/>
          <w:numId w:val="2"/>
        </w:numPr>
        <w:spacing w:before="0" w:after="0"/>
        <w:ind w:left="426"/>
        <w:outlineLvl w:val="0"/>
        <w:rPr>
          <w:sz w:val="22"/>
          <w:szCs w:val="22"/>
          <w:lang w:val="en-US"/>
        </w:rPr>
      </w:pPr>
      <w:r>
        <w:rPr>
          <w:rFonts w:hint="default"/>
          <w:sz w:val="22"/>
          <w:szCs w:val="22"/>
          <w:lang w:val="en-US"/>
        </w:rPr>
        <w:t>TINJAUAN PUSTAKA</w:t>
      </w:r>
    </w:p>
    <w:p w14:paraId="365A9A16">
      <w:pPr>
        <w:pStyle w:val="21"/>
        <w:spacing w:before="0" w:after="0"/>
        <w:jc w:val="both"/>
        <w:rPr>
          <w:rFonts w:hint="default"/>
          <w:b/>
          <w:bCs/>
          <w:sz w:val="22"/>
          <w:szCs w:val="22"/>
          <w:lang w:val="en-US"/>
        </w:rPr>
      </w:pPr>
    </w:p>
    <w:p w14:paraId="08406BFC">
      <w:pPr>
        <w:pStyle w:val="21"/>
        <w:spacing w:before="0" w:after="0"/>
        <w:jc w:val="both"/>
        <w:rPr>
          <w:rFonts w:hint="default"/>
          <w:b/>
          <w:bCs/>
          <w:sz w:val="22"/>
          <w:szCs w:val="22"/>
          <w:lang w:val="en-US"/>
        </w:rPr>
      </w:pPr>
      <w:r>
        <w:rPr>
          <w:rFonts w:hint="default"/>
          <w:b/>
          <w:bCs/>
          <w:sz w:val="22"/>
          <w:szCs w:val="22"/>
          <w:lang w:val="en-US"/>
        </w:rPr>
        <w:t>Teori Sinyal</w:t>
      </w:r>
      <w:r>
        <w:rPr>
          <w:rFonts w:hint="default"/>
          <w:b/>
          <w:bCs/>
          <w:i/>
          <w:iCs/>
          <w:sz w:val="22"/>
          <w:szCs w:val="22"/>
          <w:lang w:val="en-US"/>
        </w:rPr>
        <w:t xml:space="preserve"> (Signalling Theory)</w:t>
      </w:r>
    </w:p>
    <w:p w14:paraId="0CDB1696">
      <w:pPr>
        <w:pStyle w:val="21"/>
        <w:spacing w:before="0" w:after="0"/>
        <w:ind w:firstLine="330" w:firstLineChars="150"/>
        <w:jc w:val="both"/>
        <w:rPr>
          <w:rFonts w:hint="default"/>
          <w:b w:val="0"/>
          <w:sz w:val="22"/>
          <w:szCs w:val="22"/>
          <w:lang w:val="en-US"/>
        </w:rPr>
      </w:pPr>
    </w:p>
    <w:p w14:paraId="2CF648B8">
      <w:pPr>
        <w:pStyle w:val="21"/>
        <w:spacing w:before="0" w:after="0"/>
        <w:ind w:firstLine="330" w:firstLineChars="150"/>
        <w:jc w:val="both"/>
        <w:rPr>
          <w:rFonts w:hint="default" w:ascii="Times New Roman" w:hAnsi="Times New Roman" w:cs="Times New Roman"/>
          <w:b w:val="0"/>
          <w:bCs/>
          <w:sz w:val="22"/>
          <w:szCs w:val="22"/>
          <w:lang w:val="en-US"/>
        </w:rPr>
      </w:pPr>
      <w:r>
        <w:rPr>
          <w:rFonts w:hint="default"/>
          <w:b w:val="0"/>
          <w:sz w:val="22"/>
          <w:szCs w:val="22"/>
          <w:lang w:val="en-US"/>
        </w:rPr>
        <w:t>Menurut Andayani, dkk (2022:72), bahwa teori sinyal</w:t>
      </w:r>
      <w:r>
        <w:rPr>
          <w:rFonts w:ascii="Times New Roman" w:hAnsi="Times New Roman" w:eastAsia="Segoe UI" w:cs="Times New Roman"/>
          <w:sz w:val="22"/>
          <w:szCs w:val="22"/>
          <w:shd w:val="clear" w:color="auto" w:fill="FFFFFF"/>
          <w:lang w:val="id-ID"/>
        </w:rPr>
        <w:t xml:space="preserve"> </w:t>
      </w:r>
      <w:r>
        <w:rPr>
          <w:rFonts w:ascii="Times New Roman" w:hAnsi="Times New Roman" w:cs="Times New Roman"/>
          <w:b w:val="0"/>
          <w:bCs/>
          <w:sz w:val="22"/>
          <w:szCs w:val="22"/>
        </w:rPr>
        <w:t xml:space="preserve">menjelaskan bahwa perusahaan terdorong untuk menyampaikan informasi keuangan kepada pihak </w:t>
      </w:r>
      <w:r>
        <w:rPr>
          <w:rFonts w:ascii="Times New Roman" w:hAnsi="Times New Roman" w:cs="Times New Roman"/>
          <w:b w:val="0"/>
          <w:bCs/>
          <w:i/>
          <w:iCs/>
          <w:sz w:val="22"/>
          <w:szCs w:val="22"/>
        </w:rPr>
        <w:t xml:space="preserve">eksternal </w:t>
      </w:r>
      <w:r>
        <w:rPr>
          <w:rFonts w:ascii="Times New Roman" w:hAnsi="Times New Roman" w:cs="Times New Roman"/>
          <w:b w:val="0"/>
          <w:bCs/>
          <w:sz w:val="22"/>
          <w:szCs w:val="22"/>
        </w:rPr>
        <w:t>guna mengurangi ketimpangan informasi. Ketimpangan ini terjadi karena perusahaan memiliki informasi yang lebih lengkap dibandingkan pihak luar, sehingga dapat menimbulkan penilaian yang kurang menguntungkan terhadap perusahaan, seperti dianggap memiliki nilai yang lebih rendah dari seharusnya</w:t>
      </w:r>
      <w:r>
        <w:rPr>
          <w:rFonts w:ascii="Times New Roman" w:hAnsi="Times New Roman" w:cs="Times New Roman"/>
          <w:b w:val="0"/>
          <w:bCs/>
          <w:sz w:val="22"/>
          <w:szCs w:val="22"/>
          <w:lang w:val="id-ID"/>
        </w:rPr>
        <w:t>.</w:t>
      </w:r>
      <w:r>
        <w:rPr>
          <w:rFonts w:hint="default" w:ascii="Times New Roman" w:hAnsi="Times New Roman" w:cs="Times New Roman"/>
          <w:b w:val="0"/>
          <w:bCs/>
          <w:sz w:val="22"/>
          <w:szCs w:val="22"/>
          <w:lang w:val="en-US"/>
        </w:rPr>
        <w:t xml:space="preserve"> </w:t>
      </w:r>
    </w:p>
    <w:p w14:paraId="105A6CCF">
      <w:pPr>
        <w:pStyle w:val="21"/>
        <w:spacing w:before="0" w:after="0"/>
        <w:ind w:firstLine="330" w:firstLineChars="150"/>
        <w:jc w:val="both"/>
        <w:rPr>
          <w:rFonts w:hint="default" w:ascii="Times New Roman" w:hAnsi="Times New Roman" w:cs="Times New Roman"/>
          <w:b w:val="0"/>
          <w:bCs/>
          <w:sz w:val="22"/>
          <w:szCs w:val="22"/>
          <w:lang w:val="en-US"/>
        </w:rPr>
      </w:pPr>
      <w:r>
        <w:rPr>
          <w:rFonts w:ascii="Times New Roman" w:hAnsi="Times New Roman" w:cs="Times New Roman"/>
          <w:b w:val="0"/>
          <w:bCs/>
          <w:sz w:val="22"/>
          <w:szCs w:val="22"/>
          <w:lang w:val="id-ID"/>
        </w:rPr>
        <w:t>Sedangkan menurut Ghozali (2024:16), bahwa teori sinyal adalah</w:t>
      </w:r>
      <w:r>
        <w:rPr>
          <w:rFonts w:ascii="Times New Roman" w:hAnsi="Times New Roman" w:cs="Times New Roman"/>
          <w:b w:val="0"/>
          <w:bCs/>
          <w:sz w:val="22"/>
          <w:szCs w:val="22"/>
        </w:rPr>
        <w:t xml:space="preserve"> suatu pendekatan yang mempelajari proses pertukaran informasi antara pihak-pihak di pasar modal, khususnya antara manajemen perusahaan dan para investor.</w:t>
      </w:r>
      <w:r>
        <w:rPr>
          <w:rFonts w:ascii="Times New Roman" w:hAnsi="Times New Roman" w:cs="Times New Roman"/>
          <w:b w:val="0"/>
          <w:bCs/>
        </w:rPr>
        <w:t xml:space="preserve"> </w:t>
      </w:r>
      <w:r>
        <w:rPr>
          <w:rFonts w:ascii="Times New Roman" w:hAnsi="Times New Roman" w:cs="Times New Roman"/>
          <w:b w:val="0"/>
          <w:bCs/>
          <w:sz w:val="22"/>
          <w:szCs w:val="22"/>
        </w:rPr>
        <w:t>Teori ini berlandaskan pada asumsi bahwa manajemen memiliki pemahaman yang lebih mendalam mengenai kondisi perusahaan dibandingkan investor, sehingga mereka menyampaikan informasi tersebut kepada pasar melalui sinyal-sinyal tertentu.</w:t>
      </w:r>
      <w:r>
        <w:rPr>
          <w:rFonts w:hint="default" w:ascii="Times New Roman" w:hAnsi="Times New Roman" w:cs="Times New Roman"/>
          <w:b w:val="0"/>
          <w:bCs/>
          <w:sz w:val="22"/>
          <w:szCs w:val="22"/>
          <w:lang w:val="en-US"/>
        </w:rPr>
        <w:t xml:space="preserve"> </w:t>
      </w:r>
    </w:p>
    <w:p w14:paraId="2951684E">
      <w:pPr>
        <w:pStyle w:val="21"/>
        <w:spacing w:before="0" w:after="0"/>
        <w:ind w:firstLine="330" w:firstLineChars="150"/>
        <w:jc w:val="both"/>
        <w:rPr>
          <w:rFonts w:ascii="Times New Roman" w:hAnsi="Times New Roman" w:eastAsia="Times New Roman" w:cs="Times New Roman"/>
          <w:sz w:val="22"/>
          <w:szCs w:val="22"/>
          <w:lang w:val="id-ID" w:eastAsia="id-ID"/>
        </w:rPr>
      </w:pPr>
      <w:r>
        <w:rPr>
          <w:rFonts w:ascii="Times New Roman" w:hAnsi="Times New Roman" w:eastAsia="Segoe UI" w:cs="Times New Roman"/>
          <w:b w:val="0"/>
          <w:bCs/>
          <w:sz w:val="22"/>
          <w:szCs w:val="22"/>
          <w:shd w:val="clear" w:color="auto" w:fill="FFFFFF"/>
          <w:lang w:val="id-ID"/>
        </w:rPr>
        <w:t xml:space="preserve">Berdasarkan definisi diatas, teori sinyal </w:t>
      </w:r>
      <w:r>
        <w:rPr>
          <w:rFonts w:ascii="Times New Roman" w:hAnsi="Times New Roman" w:eastAsia="Times New Roman" w:cs="Times New Roman"/>
          <w:b w:val="0"/>
          <w:bCs/>
          <w:sz w:val="22"/>
          <w:szCs w:val="22"/>
          <w:lang w:val="id-ID" w:eastAsia="id-ID"/>
        </w:rPr>
        <w:t xml:space="preserve">memiliki keterkaitan yang kuat dengan nilai perusahaan, karena penyampaian informasi keuangan secara terbuka kepada pihak </w:t>
      </w:r>
      <w:r>
        <w:rPr>
          <w:rFonts w:ascii="Times New Roman" w:hAnsi="Times New Roman" w:eastAsia="Times New Roman" w:cs="Times New Roman"/>
          <w:b w:val="0"/>
          <w:bCs/>
          <w:i/>
          <w:iCs/>
          <w:sz w:val="22"/>
          <w:szCs w:val="22"/>
          <w:lang w:val="id-ID" w:eastAsia="id-ID"/>
        </w:rPr>
        <w:t xml:space="preserve">eksternal </w:t>
      </w:r>
      <w:r>
        <w:rPr>
          <w:rFonts w:ascii="Times New Roman" w:hAnsi="Times New Roman" w:eastAsia="Times New Roman" w:cs="Times New Roman"/>
          <w:b w:val="0"/>
          <w:bCs/>
          <w:sz w:val="22"/>
          <w:szCs w:val="22"/>
          <w:lang w:val="id-ID" w:eastAsia="id-ID"/>
        </w:rPr>
        <w:t>dapat membantu mengurangi ketidakseimbangan informasi antara pihak manajemen dan investor. Ketika informasi yang diberikan bersifat jelas dan dapat dipercaya, hal ini memungkinkan pasar membentuk pandangan yang lebih tepat mengenai kondisi dan prospek perusahaan.</w:t>
      </w:r>
    </w:p>
    <w:p w14:paraId="7B5FC610">
      <w:pPr>
        <w:pStyle w:val="21"/>
        <w:spacing w:before="0" w:after="0"/>
        <w:ind w:firstLine="330" w:firstLineChars="150"/>
        <w:jc w:val="both"/>
        <w:rPr>
          <w:rFonts w:ascii="Times New Roman" w:hAnsi="Times New Roman" w:cs="Times New Roman"/>
          <w:b w:val="0"/>
          <w:bCs/>
          <w:sz w:val="22"/>
          <w:szCs w:val="22"/>
          <w:lang w:val="id-ID"/>
        </w:rPr>
      </w:pPr>
    </w:p>
    <w:p w14:paraId="475C33FA">
      <w:pPr>
        <w:pStyle w:val="21"/>
        <w:spacing w:before="0" w:after="0"/>
        <w:jc w:val="both"/>
        <w:rPr>
          <w:rFonts w:hint="default"/>
          <w:sz w:val="22"/>
          <w:szCs w:val="22"/>
          <w:lang w:val="en-US"/>
        </w:rPr>
      </w:pPr>
      <w:r>
        <w:rPr>
          <w:rFonts w:hint="default"/>
          <w:sz w:val="22"/>
          <w:szCs w:val="22"/>
          <w:lang w:val="en-US"/>
        </w:rPr>
        <w:t>Hipotesis Penelitian</w:t>
      </w:r>
    </w:p>
    <w:p w14:paraId="2C27239C">
      <w:pPr>
        <w:pStyle w:val="21"/>
        <w:spacing w:before="0" w:after="0"/>
        <w:jc w:val="both"/>
        <w:rPr>
          <w:rFonts w:hint="default"/>
          <w:b w:val="0"/>
          <w:bCs/>
          <w:sz w:val="22"/>
          <w:szCs w:val="22"/>
          <w:lang w:val="en-US"/>
        </w:rPr>
      </w:pPr>
    </w:p>
    <w:p w14:paraId="121E6F4B">
      <w:pPr>
        <w:pStyle w:val="21"/>
        <w:spacing w:before="0" w:after="0"/>
        <w:ind w:firstLine="330" w:firstLineChars="150"/>
        <w:jc w:val="both"/>
        <w:rPr>
          <w:rFonts w:hint="default"/>
          <w:b w:val="0"/>
          <w:bCs/>
          <w:sz w:val="22"/>
          <w:szCs w:val="22"/>
          <w:lang w:val="en-US"/>
        </w:rPr>
      </w:pPr>
      <w:r>
        <w:rPr>
          <w:rFonts w:hint="default"/>
          <w:b w:val="0"/>
          <w:bCs/>
          <w:sz w:val="22"/>
          <w:szCs w:val="22"/>
          <w:lang w:val="en-US"/>
        </w:rPr>
        <w:t>Adapun hipotesis dalam penelitian adalah sebagai berikut:</w:t>
      </w:r>
    </w:p>
    <w:tbl>
      <w:tblPr>
        <w:tblStyle w:val="3"/>
        <w:tblW w:w="0" w:type="auto"/>
        <w:tblInd w:w="108" w:type="dxa"/>
        <w:tblLayout w:type="autofit"/>
        <w:tblCellMar>
          <w:top w:w="0" w:type="dxa"/>
          <w:left w:w="108" w:type="dxa"/>
          <w:bottom w:w="0" w:type="dxa"/>
          <w:right w:w="108" w:type="dxa"/>
        </w:tblCellMar>
      </w:tblPr>
      <w:tblGrid>
        <w:gridCol w:w="483"/>
        <w:gridCol w:w="324"/>
        <w:gridCol w:w="3341"/>
      </w:tblGrid>
      <w:tr w14:paraId="54616208">
        <w:tblPrEx>
          <w:tblCellMar>
            <w:top w:w="0" w:type="dxa"/>
            <w:left w:w="108" w:type="dxa"/>
            <w:bottom w:w="0" w:type="dxa"/>
            <w:right w:w="108" w:type="dxa"/>
          </w:tblCellMar>
        </w:tblPrEx>
        <w:tc>
          <w:tcPr>
            <w:tcW w:w="483" w:type="dxa"/>
          </w:tcPr>
          <w:p w14:paraId="7452538A">
            <w:pPr>
              <w:pStyle w:val="18"/>
              <w:tabs>
                <w:tab w:val="left" w:pos="567"/>
              </w:tabs>
              <w:spacing w:line="240" w:lineRule="auto"/>
              <w:ind w:left="0"/>
              <w:jc w:val="both"/>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bscript"/>
              </w:rPr>
              <w:t>1</w:t>
            </w:r>
          </w:p>
        </w:tc>
        <w:tc>
          <w:tcPr>
            <w:tcW w:w="324" w:type="dxa"/>
          </w:tcPr>
          <w:p w14:paraId="51580427">
            <w:pPr>
              <w:pStyle w:val="18"/>
              <w:tabs>
                <w:tab w:val="left" w:pos="567"/>
              </w:tabs>
              <w:spacing w:line="240" w:lineRule="auto"/>
              <w:ind w:left="0"/>
              <w:jc w:val="both"/>
              <w:rPr>
                <w:rFonts w:ascii="Times New Roman" w:hAnsi="Times New Roman" w:cs="Times New Roman"/>
                <w:sz w:val="22"/>
                <w:szCs w:val="22"/>
              </w:rPr>
            </w:pPr>
            <w:r>
              <w:rPr>
                <w:rFonts w:ascii="Times New Roman" w:hAnsi="Times New Roman" w:cs="Times New Roman"/>
                <w:sz w:val="22"/>
                <w:szCs w:val="22"/>
              </w:rPr>
              <w:t>:</w:t>
            </w:r>
          </w:p>
        </w:tc>
        <w:tc>
          <w:tcPr>
            <w:tcW w:w="3341" w:type="dxa"/>
          </w:tcPr>
          <w:p w14:paraId="6B722699">
            <w:pPr>
              <w:pStyle w:val="18"/>
              <w:tabs>
                <w:tab w:val="left" w:pos="567"/>
              </w:tabs>
              <w:spacing w:line="240" w:lineRule="auto"/>
              <w:ind w:left="0"/>
              <w:jc w:val="both"/>
              <w:rPr>
                <w:rFonts w:ascii="Times New Roman" w:hAnsi="Times New Roman" w:cs="Times New Roman"/>
                <w:sz w:val="22"/>
                <w:szCs w:val="22"/>
              </w:rPr>
            </w:pPr>
            <w:r>
              <w:rPr>
                <w:rFonts w:ascii="Times New Roman" w:hAnsi="Times New Roman" w:cs="Times New Roman"/>
                <w:sz w:val="22"/>
                <w:szCs w:val="22"/>
              </w:rPr>
              <w:t>Perencanaan pajak, keputusan investasi, dan</w:t>
            </w:r>
            <w:r>
              <w:rPr>
                <w:rFonts w:ascii="Times New Roman" w:hAnsi="Times New Roman" w:cs="Times New Roman"/>
                <w:i/>
                <w:iCs/>
                <w:sz w:val="22"/>
                <w:szCs w:val="22"/>
              </w:rPr>
              <w:t xml:space="preserve"> cash holding </w:t>
            </w:r>
            <w:r>
              <w:rPr>
                <w:rFonts w:ascii="Times New Roman" w:hAnsi="Times New Roman" w:cs="Times New Roman"/>
                <w:sz w:val="22"/>
                <w:szCs w:val="22"/>
              </w:rPr>
              <w:t>berpengaruh</w:t>
            </w:r>
            <w:r>
              <w:rPr>
                <w:rFonts w:ascii="Times New Roman" w:hAnsi="Times New Roman" w:cs="Times New Roman"/>
                <w:i/>
                <w:iCs/>
                <w:sz w:val="22"/>
                <w:szCs w:val="22"/>
              </w:rPr>
              <w:t xml:space="preserve"> </w:t>
            </w:r>
            <w:r>
              <w:rPr>
                <w:rFonts w:ascii="Times New Roman" w:hAnsi="Times New Roman" w:cs="Times New Roman"/>
                <w:sz w:val="22"/>
                <w:szCs w:val="22"/>
              </w:rPr>
              <w:t xml:space="preserve">secara simultan terhadap nilai perusahaan pada subsektor perbankan di Bursa Efek Indonesia </w:t>
            </w:r>
            <w:r>
              <w:rPr>
                <w:rFonts w:hint="default" w:ascii="Times New Roman" w:hAnsi="Times New Roman" w:cs="Times New Roman"/>
                <w:sz w:val="22"/>
                <w:szCs w:val="22"/>
                <w:lang w:val="en-US"/>
              </w:rPr>
              <w:t>periode</w:t>
            </w:r>
            <w:r>
              <w:rPr>
                <w:rFonts w:ascii="Times New Roman" w:hAnsi="Times New Roman" w:cs="Times New Roman"/>
                <w:sz w:val="22"/>
                <w:szCs w:val="22"/>
              </w:rPr>
              <w:t xml:space="preserve">  2022-2024</w:t>
            </w:r>
          </w:p>
        </w:tc>
      </w:tr>
      <w:tr w14:paraId="2DA0C46B">
        <w:tblPrEx>
          <w:tblCellMar>
            <w:top w:w="0" w:type="dxa"/>
            <w:left w:w="108" w:type="dxa"/>
            <w:bottom w:w="0" w:type="dxa"/>
            <w:right w:w="108" w:type="dxa"/>
          </w:tblCellMar>
        </w:tblPrEx>
        <w:tc>
          <w:tcPr>
            <w:tcW w:w="483" w:type="dxa"/>
          </w:tcPr>
          <w:p w14:paraId="1FEDEDB1">
            <w:pPr>
              <w:spacing w:line="240" w:lineRule="auto"/>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bscript"/>
              </w:rPr>
              <w:t>2</w:t>
            </w:r>
          </w:p>
        </w:tc>
        <w:tc>
          <w:tcPr>
            <w:tcW w:w="324" w:type="dxa"/>
          </w:tcPr>
          <w:p w14:paraId="6F97B1C9">
            <w:pPr>
              <w:spacing w:line="240" w:lineRule="auto"/>
              <w:rPr>
                <w:rFonts w:ascii="Times New Roman" w:hAnsi="Times New Roman" w:cs="Times New Roman"/>
                <w:sz w:val="22"/>
                <w:szCs w:val="22"/>
              </w:rPr>
            </w:pPr>
            <w:r>
              <w:rPr>
                <w:rFonts w:ascii="Times New Roman" w:hAnsi="Times New Roman" w:cs="Times New Roman"/>
                <w:sz w:val="22"/>
                <w:szCs w:val="22"/>
              </w:rPr>
              <w:t>:</w:t>
            </w:r>
          </w:p>
        </w:tc>
        <w:tc>
          <w:tcPr>
            <w:tcW w:w="3341" w:type="dxa"/>
          </w:tcPr>
          <w:p w14:paraId="23D8BCBA">
            <w:pPr>
              <w:pStyle w:val="18"/>
              <w:tabs>
                <w:tab w:val="left" w:pos="567"/>
              </w:tabs>
              <w:spacing w:line="240" w:lineRule="auto"/>
              <w:ind w:left="0"/>
              <w:jc w:val="both"/>
              <w:rPr>
                <w:rFonts w:ascii="Times New Roman" w:hAnsi="Times New Roman" w:cs="Times New Roman"/>
                <w:sz w:val="22"/>
                <w:szCs w:val="22"/>
              </w:rPr>
            </w:pPr>
            <w:r>
              <w:rPr>
                <w:rFonts w:ascii="Times New Roman" w:hAnsi="Times New Roman" w:cs="Times New Roman"/>
                <w:sz w:val="22"/>
                <w:szCs w:val="22"/>
              </w:rPr>
              <w:t xml:space="preserve">Perencanaan Pajak berpengaruh secara parsial terhadap Nilai Perusahan Pada subsektor perbankan di Bursa Efek Indonesia </w:t>
            </w:r>
            <w:r>
              <w:rPr>
                <w:rFonts w:hint="default" w:ascii="Times New Roman" w:hAnsi="Times New Roman" w:cs="Times New Roman"/>
                <w:sz w:val="22"/>
                <w:szCs w:val="22"/>
                <w:lang w:val="en-US"/>
              </w:rPr>
              <w:t>periode</w:t>
            </w:r>
            <w:r>
              <w:rPr>
                <w:rFonts w:ascii="Times New Roman" w:hAnsi="Times New Roman" w:cs="Times New Roman"/>
                <w:sz w:val="22"/>
                <w:szCs w:val="22"/>
              </w:rPr>
              <w:t xml:space="preserve">  2022-2024</w:t>
            </w:r>
          </w:p>
        </w:tc>
      </w:tr>
      <w:tr w14:paraId="6E5E210A">
        <w:tblPrEx>
          <w:tblCellMar>
            <w:top w:w="0" w:type="dxa"/>
            <w:left w:w="108" w:type="dxa"/>
            <w:bottom w:w="0" w:type="dxa"/>
            <w:right w:w="108" w:type="dxa"/>
          </w:tblCellMar>
        </w:tblPrEx>
        <w:tc>
          <w:tcPr>
            <w:tcW w:w="483" w:type="dxa"/>
          </w:tcPr>
          <w:p w14:paraId="4AE133EC">
            <w:pPr>
              <w:spacing w:line="240" w:lineRule="auto"/>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bscript"/>
              </w:rPr>
              <w:t>3</w:t>
            </w:r>
          </w:p>
        </w:tc>
        <w:tc>
          <w:tcPr>
            <w:tcW w:w="324" w:type="dxa"/>
          </w:tcPr>
          <w:p w14:paraId="752B9732">
            <w:pPr>
              <w:spacing w:line="240" w:lineRule="auto"/>
              <w:rPr>
                <w:rFonts w:ascii="Times New Roman" w:hAnsi="Times New Roman" w:cs="Times New Roman"/>
                <w:sz w:val="22"/>
                <w:szCs w:val="22"/>
              </w:rPr>
            </w:pPr>
            <w:r>
              <w:rPr>
                <w:rFonts w:ascii="Times New Roman" w:hAnsi="Times New Roman" w:cs="Times New Roman"/>
                <w:sz w:val="22"/>
                <w:szCs w:val="22"/>
              </w:rPr>
              <w:t>:</w:t>
            </w:r>
          </w:p>
        </w:tc>
        <w:tc>
          <w:tcPr>
            <w:tcW w:w="3341" w:type="dxa"/>
          </w:tcPr>
          <w:p w14:paraId="4921F75B">
            <w:pPr>
              <w:pStyle w:val="18"/>
              <w:tabs>
                <w:tab w:val="left" w:pos="567"/>
              </w:tabs>
              <w:spacing w:line="240" w:lineRule="auto"/>
              <w:ind w:left="0"/>
              <w:jc w:val="both"/>
              <w:rPr>
                <w:rFonts w:ascii="Times New Roman" w:hAnsi="Times New Roman" w:cs="Times New Roman"/>
                <w:sz w:val="22"/>
                <w:szCs w:val="22"/>
              </w:rPr>
            </w:pPr>
            <w:r>
              <w:rPr>
                <w:rFonts w:ascii="Times New Roman" w:hAnsi="Times New Roman" w:cs="Times New Roman"/>
                <w:sz w:val="22"/>
                <w:szCs w:val="22"/>
              </w:rPr>
              <w:t xml:space="preserve">Keputusan Investasi  berpengaruh secara parsial terhadap Nilai perusahaan pada subsektor perbankan di Bursa Efek Indonesia </w:t>
            </w:r>
            <w:r>
              <w:rPr>
                <w:rFonts w:hint="default" w:ascii="Times New Roman" w:hAnsi="Times New Roman" w:cs="Times New Roman"/>
                <w:sz w:val="22"/>
                <w:szCs w:val="22"/>
                <w:lang w:val="en-US"/>
              </w:rPr>
              <w:t>periode</w:t>
            </w:r>
            <w:r>
              <w:rPr>
                <w:rFonts w:ascii="Times New Roman" w:hAnsi="Times New Roman" w:cs="Times New Roman"/>
                <w:sz w:val="22"/>
                <w:szCs w:val="22"/>
              </w:rPr>
              <w:t xml:space="preserve">  2022-2024</w:t>
            </w:r>
          </w:p>
        </w:tc>
      </w:tr>
      <w:tr w14:paraId="086F90AA">
        <w:tblPrEx>
          <w:tblCellMar>
            <w:top w:w="0" w:type="dxa"/>
            <w:left w:w="108" w:type="dxa"/>
            <w:bottom w:w="0" w:type="dxa"/>
            <w:right w:w="108" w:type="dxa"/>
          </w:tblCellMar>
        </w:tblPrEx>
        <w:tc>
          <w:tcPr>
            <w:tcW w:w="483" w:type="dxa"/>
          </w:tcPr>
          <w:p w14:paraId="34FBE29D">
            <w:pPr>
              <w:spacing w:line="240" w:lineRule="auto"/>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bscript"/>
              </w:rPr>
              <w:t>4</w:t>
            </w:r>
          </w:p>
        </w:tc>
        <w:tc>
          <w:tcPr>
            <w:tcW w:w="324" w:type="dxa"/>
          </w:tcPr>
          <w:p w14:paraId="2798857C">
            <w:pPr>
              <w:spacing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w:t>
            </w:r>
          </w:p>
        </w:tc>
        <w:tc>
          <w:tcPr>
            <w:tcW w:w="3341" w:type="dxa"/>
          </w:tcPr>
          <w:p w14:paraId="2E3F84F1">
            <w:pPr>
              <w:pStyle w:val="18"/>
              <w:tabs>
                <w:tab w:val="left" w:pos="567"/>
              </w:tabs>
              <w:spacing w:line="240" w:lineRule="auto"/>
              <w:ind w:left="0"/>
              <w:jc w:val="both"/>
              <w:rPr>
                <w:rFonts w:ascii="Times New Roman" w:hAnsi="Times New Roman" w:cs="Times New Roman"/>
                <w:sz w:val="22"/>
                <w:szCs w:val="22"/>
              </w:rPr>
            </w:pPr>
            <w:r>
              <w:rPr>
                <w:rFonts w:ascii="Times New Roman" w:hAnsi="Times New Roman" w:cs="Times New Roman"/>
                <w:i/>
                <w:iCs/>
                <w:sz w:val="22"/>
                <w:szCs w:val="22"/>
              </w:rPr>
              <w:t>Cash Holding</w:t>
            </w:r>
            <w:r>
              <w:rPr>
                <w:rFonts w:ascii="Times New Roman" w:hAnsi="Times New Roman" w:cs="Times New Roman"/>
                <w:sz w:val="22"/>
                <w:szCs w:val="22"/>
              </w:rPr>
              <w:t xml:space="preserve">  berpengaruh secara parsial terhadap nilai perusahaan pada subsektor perbankan di Bursa Efek Indonesia </w:t>
            </w:r>
            <w:r>
              <w:rPr>
                <w:rFonts w:hint="default" w:ascii="Times New Roman" w:hAnsi="Times New Roman" w:cs="Times New Roman"/>
                <w:sz w:val="22"/>
                <w:szCs w:val="22"/>
                <w:lang w:val="en-US"/>
              </w:rPr>
              <w:t>periode</w:t>
            </w:r>
            <w:r>
              <w:rPr>
                <w:rFonts w:ascii="Times New Roman" w:hAnsi="Times New Roman" w:cs="Times New Roman"/>
                <w:sz w:val="22"/>
                <w:szCs w:val="22"/>
              </w:rPr>
              <w:t xml:space="preserve"> 2022-2024.</w:t>
            </w:r>
          </w:p>
        </w:tc>
      </w:tr>
    </w:tbl>
    <w:p w14:paraId="10B86BF6">
      <w:pPr>
        <w:pStyle w:val="21"/>
        <w:numPr>
          <w:ilvl w:val="0"/>
          <w:numId w:val="0"/>
        </w:numPr>
        <w:spacing w:before="0" w:after="0"/>
        <w:outlineLvl w:val="0"/>
        <w:rPr>
          <w:b w:val="0"/>
          <w:bCs/>
          <w:sz w:val="22"/>
          <w:szCs w:val="22"/>
          <w:lang w:val="en-US"/>
        </w:rPr>
      </w:pPr>
    </w:p>
    <w:p w14:paraId="748B8647">
      <w:pPr>
        <w:pStyle w:val="21"/>
        <w:numPr>
          <w:ilvl w:val="0"/>
          <w:numId w:val="2"/>
        </w:numPr>
        <w:spacing w:before="0" w:after="0"/>
        <w:ind w:left="426"/>
        <w:outlineLvl w:val="0"/>
        <w:rPr>
          <w:sz w:val="22"/>
          <w:szCs w:val="22"/>
          <w:lang w:val="en-US"/>
        </w:rPr>
      </w:pPr>
      <w:r>
        <w:rPr>
          <w:sz w:val="22"/>
          <w:szCs w:val="22"/>
          <w:lang w:val="en-US"/>
        </w:rPr>
        <w:t>METOD</w:t>
      </w:r>
      <w:r>
        <w:rPr>
          <w:rFonts w:hint="default"/>
          <w:sz w:val="22"/>
          <w:szCs w:val="22"/>
          <w:lang w:val="en-US"/>
        </w:rPr>
        <w:t xml:space="preserve">E </w:t>
      </w:r>
      <w:r>
        <w:rPr>
          <w:sz w:val="22"/>
          <w:szCs w:val="22"/>
          <w:lang w:val="en-US"/>
        </w:rPr>
        <w:t>PENELITIAN</w:t>
      </w:r>
    </w:p>
    <w:p w14:paraId="7B484D31">
      <w:pPr>
        <w:pStyle w:val="23"/>
        <w:ind w:left="0" w:leftChars="0" w:firstLine="0" w:firstLineChars="0"/>
        <w:rPr>
          <w:sz w:val="22"/>
          <w:szCs w:val="22"/>
          <w:lang w:val="en-US"/>
        </w:rPr>
      </w:pPr>
    </w:p>
    <w:p w14:paraId="50A28797">
      <w:pPr>
        <w:pStyle w:val="21"/>
        <w:spacing w:before="0" w:after="0"/>
        <w:ind w:firstLine="284"/>
        <w:jc w:val="both"/>
        <w:rPr>
          <w:rFonts w:hint="default" w:cs="Times New Roman"/>
          <w:b w:val="0"/>
          <w:bCs/>
          <w:i w:val="0"/>
          <w:iCs w:val="0"/>
          <w:sz w:val="22"/>
          <w:szCs w:val="22"/>
          <w:lang w:val="en-US" w:eastAsia="en-US"/>
        </w:rPr>
      </w:pPr>
      <w:r>
        <w:rPr>
          <w:rFonts w:hint="default"/>
          <w:b w:val="0"/>
          <w:sz w:val="22"/>
          <w:szCs w:val="22"/>
          <w:lang w:val="en-US"/>
        </w:rPr>
        <w:t xml:space="preserve">Metode penelitian yang digunakan dalam penelitian ini adalah deskriptif kuantitatif. Penelitian ini dilakukan pada perusahaan sub sektor perbankan yang terdaftar di Bursa Efek Indonesia (BEI) melalui website </w:t>
      </w:r>
      <w:r>
        <w:rPr>
          <w:rFonts w:hint="default"/>
          <w:b w:val="0"/>
          <w:sz w:val="22"/>
          <w:szCs w:val="22"/>
          <w:lang w:val="en-US"/>
        </w:rPr>
        <w:fldChar w:fldCharType="begin"/>
      </w:r>
      <w:r>
        <w:rPr>
          <w:rFonts w:hint="default"/>
          <w:b w:val="0"/>
          <w:sz w:val="22"/>
          <w:szCs w:val="22"/>
          <w:lang w:val="en-US"/>
        </w:rPr>
        <w:instrText xml:space="preserve"> HYPERLINK "http://www.idx.co.id." </w:instrText>
      </w:r>
      <w:r>
        <w:rPr>
          <w:rFonts w:hint="default"/>
          <w:b w:val="0"/>
          <w:sz w:val="22"/>
          <w:szCs w:val="22"/>
          <w:lang w:val="en-US"/>
        </w:rPr>
        <w:fldChar w:fldCharType="separate"/>
      </w:r>
      <w:r>
        <w:rPr>
          <w:rStyle w:val="11"/>
          <w:rFonts w:hint="default"/>
          <w:b w:val="0"/>
          <w:sz w:val="22"/>
          <w:szCs w:val="22"/>
          <w:lang w:val="en-US"/>
        </w:rPr>
        <w:t>www.idx.co.id.</w:t>
      </w:r>
      <w:r>
        <w:rPr>
          <w:rFonts w:hint="default"/>
          <w:b w:val="0"/>
          <w:sz w:val="22"/>
          <w:szCs w:val="22"/>
          <w:lang w:val="en-US"/>
        </w:rPr>
        <w:fldChar w:fldCharType="end"/>
      </w:r>
      <w:r>
        <w:rPr>
          <w:rFonts w:hint="default"/>
          <w:b w:val="0"/>
          <w:sz w:val="22"/>
          <w:szCs w:val="22"/>
          <w:lang w:val="en-US"/>
        </w:rPr>
        <w:t xml:space="preserve"> Data yang digunakan menggunakan data sekunder berupa laporan keuangan. Populasi dalam penelitian ini sebanyak 47  perusahaan. Sampel penelitian sebanyak 20 perusahaan dengan menggunakan teknik </w:t>
      </w:r>
      <w:r>
        <w:rPr>
          <w:rFonts w:hint="default"/>
          <w:b w:val="0"/>
          <w:i/>
          <w:iCs/>
          <w:sz w:val="22"/>
          <w:szCs w:val="22"/>
          <w:lang w:val="en-US"/>
        </w:rPr>
        <w:t>purposive sampling.</w:t>
      </w:r>
      <w:r>
        <w:rPr>
          <w:rFonts w:hint="default"/>
          <w:b w:val="0"/>
          <w:sz w:val="22"/>
          <w:szCs w:val="22"/>
          <w:lang w:val="en-US"/>
        </w:rPr>
        <w:t xml:space="preserve">   Teknik analisis data yang digunakan uji statistik deskriptif, uji normalitas, uji asumsi klasik, </w:t>
      </w:r>
      <w:r>
        <w:rPr>
          <w:rFonts w:hint="default" w:ascii="Times New Roman" w:hAnsi="Times New Roman" w:cs="Times New Roman"/>
          <w:b w:val="0"/>
          <w:bCs/>
          <w:i w:val="0"/>
          <w:iCs w:val="0"/>
          <w:sz w:val="22"/>
          <w:szCs w:val="22"/>
          <w:lang w:val="en-US" w:eastAsia="en-US"/>
        </w:rPr>
        <w:t>serta analisis regresi linear berganda</w:t>
      </w:r>
      <w:r>
        <w:rPr>
          <w:rFonts w:hint="default" w:cs="Times New Roman"/>
          <w:b w:val="0"/>
          <w:bCs/>
          <w:i w:val="0"/>
          <w:iCs w:val="0"/>
          <w:sz w:val="22"/>
          <w:szCs w:val="22"/>
          <w:lang w:val="en-US" w:eastAsia="en-US"/>
        </w:rPr>
        <w:t xml:space="preserve">, uji hipotesis, uji koefisien determinasi </w:t>
      </w:r>
      <w:r>
        <w:rPr>
          <w:rFonts w:hint="default" w:ascii="Times New Roman" w:hAnsi="Times New Roman" w:cs="Times New Roman"/>
          <w:b w:val="0"/>
          <w:bCs/>
          <w:i w:val="0"/>
          <w:iCs w:val="0"/>
          <w:sz w:val="22"/>
          <w:szCs w:val="22"/>
          <w:lang w:val="en-US" w:eastAsia="en-US"/>
        </w:rPr>
        <w:t>dengan bantuan SPSS 27</w:t>
      </w:r>
      <w:r>
        <w:rPr>
          <w:rFonts w:hint="default" w:cs="Times New Roman"/>
          <w:b w:val="0"/>
          <w:bCs/>
          <w:i w:val="0"/>
          <w:iCs w:val="0"/>
          <w:sz w:val="22"/>
          <w:szCs w:val="22"/>
          <w:lang w:val="en-US" w:eastAsia="en-US"/>
        </w:rPr>
        <w:t>.</w:t>
      </w:r>
    </w:p>
    <w:p w14:paraId="78F00598">
      <w:pPr>
        <w:pStyle w:val="21"/>
        <w:spacing w:before="0" w:after="0"/>
        <w:ind w:firstLine="284"/>
        <w:jc w:val="both"/>
        <w:rPr>
          <w:rFonts w:hint="default" w:cs="Times New Roman"/>
          <w:b w:val="0"/>
          <w:bCs/>
          <w:i w:val="0"/>
          <w:iCs w:val="0"/>
          <w:sz w:val="22"/>
          <w:szCs w:val="22"/>
          <w:lang w:val="en-US" w:eastAsia="en-US"/>
        </w:rPr>
      </w:pPr>
      <w:r>
        <w:rPr>
          <w:rFonts w:hint="default" w:cs="Times New Roman"/>
          <w:b w:val="0"/>
          <w:bCs/>
          <w:i w:val="0"/>
          <w:iCs w:val="0"/>
          <w:sz w:val="22"/>
          <w:szCs w:val="22"/>
          <w:lang w:val="en-US" w:eastAsia="en-US"/>
        </w:rPr>
        <w:t xml:space="preserve">Didalam penelitian ini terdapat tiga variabel bebas dan variabel terikat. Yang dimana variabel bebas atau X yaitu perencanaan pajak, keputusan investasi dan </w:t>
      </w:r>
      <w:r>
        <w:rPr>
          <w:rFonts w:hint="default" w:cs="Times New Roman"/>
          <w:b w:val="0"/>
          <w:bCs/>
          <w:i/>
          <w:iCs/>
          <w:sz w:val="22"/>
          <w:szCs w:val="22"/>
          <w:lang w:val="en-US" w:eastAsia="en-US"/>
        </w:rPr>
        <w:t xml:space="preserve">cash holding </w:t>
      </w:r>
      <w:r>
        <w:rPr>
          <w:rFonts w:hint="default" w:cs="Times New Roman"/>
          <w:b w:val="0"/>
          <w:bCs/>
          <w:i w:val="0"/>
          <w:iCs w:val="0"/>
          <w:sz w:val="22"/>
          <w:szCs w:val="22"/>
          <w:lang w:val="en-US" w:eastAsia="en-US"/>
        </w:rPr>
        <w:t>untuk variabel terikat atau Y adalah nilai perusahaan.</w:t>
      </w:r>
    </w:p>
    <w:p w14:paraId="02297D8A">
      <w:pPr>
        <w:pStyle w:val="21"/>
        <w:spacing w:before="0" w:after="0"/>
        <w:ind w:firstLine="284"/>
        <w:jc w:val="both"/>
        <w:rPr>
          <w:rFonts w:hint="default" w:cs="Times New Roman"/>
          <w:b w:val="0"/>
          <w:bCs/>
          <w:i w:val="0"/>
          <w:iCs w:val="0"/>
          <w:sz w:val="22"/>
          <w:szCs w:val="22"/>
          <w:lang w:val="en-US" w:eastAsia="en-US"/>
        </w:rPr>
      </w:pPr>
      <w:r>
        <w:rPr>
          <w:rFonts w:hint="default" w:cs="Times New Roman"/>
          <w:b w:val="0"/>
          <w:bCs/>
          <w:i w:val="0"/>
          <w:iCs w:val="0"/>
          <w:sz w:val="22"/>
          <w:szCs w:val="22"/>
          <w:lang w:val="en-US" w:eastAsia="en-US"/>
        </w:rPr>
        <w:t>Perencanaan pajak dapat diartikan sebagai proses mengorganisasikan usaha wajib pajak atau kelompok wajib pajak sedemikian rupa, sehingga utang pajaknya baik pajak penghasilan maupun pajak-pajak lainnya berada dalam posisi paling minimal, sepanjang hal itu dimungkinkan baik oleh ketentuan peraturan perundang-undangan maupun secara komersial (Zain, 2017:43). perencanaan pajak bertujuan untuk memenuhi kewajiban, perpajakan secara tepat waktu dan untuk menghindari pemborosan sumber daya. Perhitungan perencanaan pajak pada penelitian ini menggunkan rasio ETR</w:t>
      </w:r>
      <w:r>
        <w:rPr>
          <w:rFonts w:hint="default" w:cs="Times New Roman"/>
          <w:b w:val="0"/>
          <w:bCs/>
          <w:i/>
          <w:iCs/>
          <w:sz w:val="22"/>
          <w:szCs w:val="22"/>
          <w:lang w:val="en-US" w:eastAsia="en-US"/>
        </w:rPr>
        <w:t xml:space="preserve"> (Effektive Tax Rate)</w:t>
      </w:r>
      <w:r>
        <w:rPr>
          <w:rFonts w:hint="default" w:cs="Times New Roman"/>
          <w:b w:val="0"/>
          <w:bCs/>
          <w:i w:val="0"/>
          <w:iCs w:val="0"/>
          <w:sz w:val="22"/>
          <w:szCs w:val="22"/>
          <w:lang w:val="en-US" w:eastAsia="en-US"/>
        </w:rPr>
        <w:t>, yaitu membandingkan beban pajak penghasilan dan laba sebelum pajak.</w:t>
      </w:r>
    </w:p>
    <w:p w14:paraId="5F6F0219">
      <w:pPr>
        <w:pStyle w:val="21"/>
        <w:spacing w:before="0" w:after="0"/>
        <w:ind w:firstLine="284"/>
        <w:jc w:val="both"/>
        <w:rPr>
          <w:rFonts w:hint="default" w:cs="Times New Roman"/>
          <w:b w:val="0"/>
          <w:bCs/>
          <w:i w:val="0"/>
          <w:iCs w:val="0"/>
          <w:sz w:val="22"/>
          <w:szCs w:val="22"/>
          <w:lang w:val="en-US" w:eastAsia="en-US"/>
        </w:rPr>
      </w:pPr>
    </w:p>
    <w:p w14:paraId="3A4DCA60">
      <w:pPr>
        <w:pStyle w:val="21"/>
        <w:spacing w:before="0" w:after="0"/>
        <w:jc w:val="both"/>
        <w:rPr>
          <w:rFonts w:hint="default" w:cs="Times New Roman"/>
          <w:b w:val="0"/>
          <w:bCs/>
          <w:i w:val="0"/>
          <w:iCs w:val="0"/>
          <w:sz w:val="22"/>
          <w:szCs w:val="22"/>
          <w:lang w:val="en-US" w:eastAsia="en-US"/>
        </w:rPr>
      </w:pPr>
      <w:r>
        <w:rPr>
          <w:rFonts w:ascii="Times New Roman" w:hAnsi="Times New Roman" w:eastAsia="Segoe UI" w:cs="Times New Roman"/>
          <w:b/>
          <w:bCs/>
          <w:color w:val="000000"/>
          <w:sz w:val="22"/>
          <w:szCs w:val="22"/>
          <w:shd w:val="clear" w:color="auto" w:fill="FFFFFF"/>
        </w:rPr>
        <w:t xml:space="preserve">ETR= </w:t>
      </w:r>
      <m:oMath>
        <m:f>
          <m:fPr>
            <m:ctrlPr>
              <w:rPr>
                <w:rFonts w:ascii="Cambria Math" w:hAnsi="Cambria Math" w:cs="Times New Roman"/>
                <w:b/>
                <w:bCs/>
                <w:iCs/>
                <w:color w:val="000000"/>
                <w:sz w:val="22"/>
                <w:szCs w:val="22"/>
                <w:shd w:val="clear" w:color="auto" w:fill="FFFFFF"/>
              </w:rPr>
            </m:ctrlPr>
          </m:fPr>
          <m:num>
            <m:r>
              <m:rPr>
                <m:sty m:val="b"/>
              </m:rPr>
              <w:rPr>
                <w:rFonts w:ascii="Cambria Math" w:hAnsi="Cambria Math" w:cs="Times New Roman"/>
                <w:color w:val="000000"/>
                <w:sz w:val="22"/>
                <w:szCs w:val="22"/>
                <w:shd w:val="clear" w:color="auto" w:fill="FFFFFF"/>
              </w:rPr>
              <m:t>Beban Pajak Penghasilan</m:t>
            </m:r>
            <m:ctrlPr>
              <w:rPr>
                <w:rFonts w:ascii="Cambria Math" w:hAnsi="Cambria Math" w:cs="Times New Roman"/>
                <w:b/>
                <w:bCs/>
                <w:iCs/>
                <w:color w:val="000000"/>
                <w:sz w:val="22"/>
                <w:szCs w:val="22"/>
                <w:shd w:val="clear" w:color="auto" w:fill="FFFFFF"/>
              </w:rPr>
            </m:ctrlPr>
          </m:num>
          <m:den>
            <m:r>
              <m:rPr>
                <m:sty m:val="b"/>
              </m:rPr>
              <w:rPr>
                <w:rFonts w:ascii="Cambria Math" w:hAnsi="Cambria Math" w:cs="Times New Roman"/>
                <w:color w:val="000000"/>
                <w:sz w:val="22"/>
                <w:szCs w:val="22"/>
                <w:shd w:val="clear" w:color="auto" w:fill="FFFFFF"/>
              </w:rPr>
              <m:t>Laba Sebelum Pajak</m:t>
            </m:r>
            <m:ctrlPr>
              <w:rPr>
                <w:rFonts w:ascii="Cambria Math" w:hAnsi="Cambria Math" w:cs="Times New Roman"/>
                <w:b/>
                <w:bCs/>
                <w:iCs/>
                <w:color w:val="000000"/>
                <w:sz w:val="22"/>
                <w:szCs w:val="22"/>
                <w:shd w:val="clear" w:color="auto" w:fill="FFFFFF"/>
              </w:rPr>
            </m:ctrlPr>
          </m:den>
        </m:f>
      </m:oMath>
      <w:r>
        <w:rPr>
          <w:rFonts w:hAnsi="Cambria Math" w:cs="Times New Roman"/>
          <w:b/>
          <w:bCs/>
          <w:color w:val="000000"/>
          <w:sz w:val="22"/>
          <w:szCs w:val="22"/>
          <w:shd w:val="clear" w:color="auto" w:fill="FFFFFF"/>
        </w:rPr>
        <w:t xml:space="preserve"> </w:t>
      </w:r>
      <w:r>
        <w:rPr>
          <w:rFonts w:hint="default" w:hAnsi="Cambria Math" w:cs="Times New Roman"/>
          <w:b/>
          <w:bCs/>
          <w:color w:val="000000"/>
          <w:sz w:val="22"/>
          <w:szCs w:val="22"/>
          <w:shd w:val="clear" w:color="auto" w:fill="FFFFFF"/>
          <w:lang w:val="en-US"/>
        </w:rPr>
        <w:t>x</w:t>
      </w:r>
      <w:r>
        <w:rPr>
          <w:rFonts w:hAnsi="Cambria Math" w:cs="Times New Roman"/>
          <w:b/>
          <w:bCs/>
          <w:color w:val="000000"/>
          <w:sz w:val="22"/>
          <w:szCs w:val="22"/>
          <w:shd w:val="clear" w:color="auto" w:fill="FFFFFF"/>
        </w:rPr>
        <w:t>100%</w:t>
      </w:r>
    </w:p>
    <w:p w14:paraId="3F4FD39B">
      <w:pPr>
        <w:pStyle w:val="21"/>
        <w:spacing w:before="0" w:after="0"/>
        <w:ind w:firstLine="284"/>
        <w:jc w:val="both"/>
        <w:rPr>
          <w:rFonts w:hint="default" w:cs="Times New Roman"/>
          <w:b w:val="0"/>
          <w:bCs/>
          <w:i w:val="0"/>
          <w:iCs w:val="0"/>
          <w:sz w:val="22"/>
          <w:szCs w:val="22"/>
          <w:lang w:val="en-US" w:eastAsia="en-US"/>
        </w:rPr>
      </w:pPr>
    </w:p>
    <w:p w14:paraId="4FA39601">
      <w:pPr>
        <w:pStyle w:val="23"/>
        <w:ind w:firstLine="330" w:firstLineChars="150"/>
        <w:rPr>
          <w:rFonts w:hint="default"/>
          <w:i w:val="0"/>
          <w:iCs w:val="0"/>
          <w:sz w:val="22"/>
          <w:szCs w:val="22"/>
          <w:lang w:val="en-US"/>
        </w:rPr>
      </w:pPr>
      <w:r>
        <w:rPr>
          <w:rFonts w:hint="default"/>
          <w:sz w:val="22"/>
          <w:szCs w:val="22"/>
          <w:lang w:val="en-US"/>
        </w:rPr>
        <w:t xml:space="preserve">Keputusan investasi merupakan kebijkan manajer dalam mengelolah dana pada berbagai bentuk investasi untuk memperoleh laba dimasa yang akan datang (Pristina &amp; Khoirunisa,2019:123).perhitungan keputusan investasi diukur menggunakan PER </w:t>
      </w:r>
      <w:r>
        <w:rPr>
          <w:rFonts w:hint="default"/>
          <w:i/>
          <w:iCs/>
          <w:sz w:val="22"/>
          <w:szCs w:val="22"/>
          <w:lang w:val="en-US"/>
        </w:rPr>
        <w:t xml:space="preserve">(Price  Earning Ratio), </w:t>
      </w:r>
      <w:r>
        <w:rPr>
          <w:rFonts w:hint="default"/>
          <w:i w:val="0"/>
          <w:iCs w:val="0"/>
          <w:sz w:val="22"/>
          <w:szCs w:val="22"/>
          <w:lang w:val="en-US"/>
        </w:rPr>
        <w:t>yaitu membandingkan harga pasar saham dengan laba per saham.</w:t>
      </w:r>
    </w:p>
    <w:p w14:paraId="0747F3F2">
      <w:pPr>
        <w:pStyle w:val="23"/>
        <w:ind w:firstLine="330" w:firstLineChars="150"/>
        <w:rPr>
          <w:rFonts w:hint="default"/>
          <w:i w:val="0"/>
          <w:iCs w:val="0"/>
          <w:sz w:val="22"/>
          <w:szCs w:val="22"/>
          <w:lang w:val="en-US"/>
        </w:rPr>
      </w:pPr>
    </w:p>
    <w:p w14:paraId="123C3C36">
      <w:pPr>
        <w:spacing w:line="240" w:lineRule="auto"/>
        <w:jc w:val="both"/>
        <w:rPr>
          <w:rFonts w:hint="default"/>
          <w:i w:val="0"/>
          <w:iCs w:val="0"/>
          <w:sz w:val="22"/>
          <w:szCs w:val="22"/>
          <w:lang w:val="en-US"/>
        </w:rPr>
      </w:pPr>
      <w:r>
        <w:rPr>
          <w:rFonts w:ascii="Times New Roman" w:hAnsi="Times New Roman" w:eastAsia="Segoe UI" w:cs="Times New Roman"/>
          <w:b/>
          <w:bCs/>
          <w:color w:val="000000"/>
          <w:sz w:val="22"/>
          <w:szCs w:val="22"/>
          <w:shd w:val="clear" w:color="auto" w:fill="FFFFFF"/>
        </w:rPr>
        <w:t xml:space="preserve">PER= </w:t>
      </w:r>
      <m:oMath>
        <m:f>
          <m:fPr>
            <m:ctrlPr>
              <w:rPr>
                <w:rFonts w:ascii="Cambria Math" w:hAnsi="Cambria Math" w:cs="Times New Roman"/>
                <w:b/>
                <w:bCs/>
                <w:iCs/>
                <w:color w:val="000000"/>
                <w:sz w:val="22"/>
                <w:szCs w:val="22"/>
                <w:shd w:val="clear" w:color="auto" w:fill="FFFFFF"/>
              </w:rPr>
            </m:ctrlPr>
          </m:fPr>
          <m:num>
            <m:r>
              <m:rPr>
                <m:sty m:val="b"/>
              </m:rPr>
              <w:rPr>
                <w:rFonts w:ascii="Cambria Math" w:hAnsi="Cambria Math" w:cs="Times New Roman"/>
                <w:color w:val="000000"/>
                <w:sz w:val="22"/>
                <w:szCs w:val="22"/>
                <w:shd w:val="clear" w:color="auto" w:fill="FFFFFF"/>
              </w:rPr>
              <m:t xml:space="preserve">Harga Pasar  Saham </m:t>
            </m:r>
            <m:ctrlPr>
              <w:rPr>
                <w:rFonts w:ascii="Cambria Math" w:hAnsi="Cambria Math" w:cs="Times New Roman"/>
                <w:b/>
                <w:bCs/>
                <w:iCs/>
                <w:color w:val="000000"/>
                <w:sz w:val="22"/>
                <w:szCs w:val="22"/>
                <w:shd w:val="clear" w:color="auto" w:fill="FFFFFF"/>
              </w:rPr>
            </m:ctrlPr>
          </m:num>
          <m:den>
            <m:r>
              <m:rPr>
                <m:sty m:val="b"/>
              </m:rPr>
              <w:rPr>
                <w:rFonts w:ascii="Cambria Math" w:hAnsi="Cambria Math" w:cs="Times New Roman"/>
                <w:color w:val="000000"/>
                <w:sz w:val="22"/>
                <w:szCs w:val="22"/>
                <w:shd w:val="clear" w:color="auto" w:fill="FFFFFF"/>
              </w:rPr>
              <m:t>Laba Per Saham</m:t>
            </m:r>
            <m:ctrlPr>
              <w:rPr>
                <w:rFonts w:ascii="Cambria Math" w:hAnsi="Cambria Math" w:cs="Times New Roman"/>
                <w:b/>
                <w:bCs/>
                <w:iCs/>
                <w:color w:val="000000"/>
                <w:sz w:val="22"/>
                <w:szCs w:val="22"/>
                <w:shd w:val="clear" w:color="auto" w:fill="FFFFFF"/>
              </w:rPr>
            </m:ctrlPr>
          </m:den>
        </m:f>
      </m:oMath>
      <w:r>
        <w:rPr>
          <w:rFonts w:hAnsi="Cambria Math" w:cs="Times New Roman"/>
          <w:b/>
          <w:bCs/>
          <w:iCs/>
          <w:color w:val="000000"/>
          <w:sz w:val="22"/>
          <w:szCs w:val="22"/>
          <w:shd w:val="clear" w:color="auto" w:fill="FFFFFF"/>
        </w:rPr>
        <w:t xml:space="preserve"> </w:t>
      </w:r>
      <w:r>
        <w:rPr>
          <w:rFonts w:hAnsi="Cambria Math" w:cs="Times New Roman"/>
          <w:b/>
          <w:bCs/>
          <w:color w:val="000000"/>
          <w:sz w:val="22"/>
          <w:szCs w:val="22"/>
          <w:shd w:val="clear" w:color="auto" w:fill="FFFFFF"/>
        </w:rPr>
        <w:t>x100%</w:t>
      </w:r>
    </w:p>
    <w:p w14:paraId="19532ABD">
      <w:pPr>
        <w:pStyle w:val="23"/>
        <w:ind w:firstLine="330" w:firstLineChars="150"/>
        <w:rPr>
          <w:rFonts w:hint="default"/>
          <w:i w:val="0"/>
          <w:iCs w:val="0"/>
          <w:sz w:val="22"/>
          <w:szCs w:val="22"/>
          <w:lang w:val="en-US"/>
        </w:rPr>
      </w:pPr>
      <w:r>
        <w:rPr>
          <w:rFonts w:hint="default"/>
          <w:i/>
          <w:iCs/>
          <w:sz w:val="22"/>
          <w:szCs w:val="22"/>
          <w:lang w:val="en-US"/>
        </w:rPr>
        <w:t xml:space="preserve">Cash holding </w:t>
      </w:r>
      <w:r>
        <w:rPr>
          <w:rFonts w:hint="default"/>
          <w:i w:val="0"/>
          <w:iCs w:val="0"/>
          <w:sz w:val="22"/>
          <w:szCs w:val="22"/>
          <w:lang w:val="en-US"/>
        </w:rPr>
        <w:t xml:space="preserve">adalah jumlah uang tunai yang suatu perusahaan memiliki guna melaksanakan pemenuhan kebutuhan operasional sehari-hari (Putri &amp; suzan, 2025). </w:t>
      </w:r>
      <w:r>
        <w:rPr>
          <w:rFonts w:hint="default"/>
          <w:i/>
          <w:iCs/>
          <w:sz w:val="22"/>
          <w:szCs w:val="22"/>
          <w:lang w:val="en-US"/>
        </w:rPr>
        <w:t>cash holding</w:t>
      </w:r>
      <w:r>
        <w:rPr>
          <w:rFonts w:hint="default"/>
          <w:i w:val="0"/>
          <w:iCs w:val="0"/>
          <w:sz w:val="22"/>
          <w:szCs w:val="22"/>
          <w:lang w:val="en-US"/>
        </w:rPr>
        <w:t xml:space="preserve"> ini dipergunakan oleh manajer sebagai alat yang sangat likuid untuk menjalankan berbagai aktivitas bisnis, memastikan bahwa perusahaan mempunyai dana yang cukup guna melaksanakan pemenuhan kewajiban jangka pendek. Perhitungan cash holding dilakukan dengan menggunakan rasio CH, yang dirumuskan sebagai berikut.</w:t>
      </w:r>
    </w:p>
    <w:p w14:paraId="2BC51D5A">
      <w:pPr>
        <w:pStyle w:val="23"/>
        <w:ind w:firstLine="330" w:firstLineChars="150"/>
        <w:rPr>
          <w:rFonts w:hint="default"/>
          <w:i w:val="0"/>
          <w:iCs w:val="0"/>
          <w:sz w:val="22"/>
          <w:szCs w:val="22"/>
          <w:lang w:val="en-US"/>
        </w:rPr>
      </w:pPr>
    </w:p>
    <w:p w14:paraId="5B0F8BCB">
      <w:pPr>
        <w:pStyle w:val="12"/>
        <w:spacing w:after="160" w:line="240" w:lineRule="auto"/>
        <w:jc w:val="both"/>
        <w:textAlignment w:val="baseline"/>
        <w:rPr>
          <w:rFonts w:hint="default"/>
          <w:i w:val="0"/>
          <w:iCs w:val="0"/>
          <w:sz w:val="22"/>
          <w:szCs w:val="22"/>
          <w:lang w:val="en-US"/>
        </w:rPr>
      </w:pPr>
      <w:r>
        <w:rPr>
          <w:rFonts w:ascii="Times New Roman" w:hAnsi="Times New Roman" w:eastAsia="Segoe UI" w:cs="Times New Roman"/>
          <w:b/>
          <w:bCs/>
          <w:color w:val="000000"/>
          <w:sz w:val="22"/>
          <w:szCs w:val="22"/>
          <w:shd w:val="clear" w:color="auto" w:fill="FFFFFF"/>
        </w:rPr>
        <w:t xml:space="preserve">CH =  </w:t>
      </w:r>
      <m:oMath>
        <m:f>
          <m:fPr>
            <m:ctrlPr>
              <w:rPr>
                <w:rFonts w:ascii="Cambria Math" w:hAnsi="Cambria Math" w:cs="Times New Roman"/>
                <w:b/>
                <w:bCs/>
                <w:color w:val="000000"/>
                <w:sz w:val="22"/>
                <w:szCs w:val="22"/>
                <w:shd w:val="clear" w:color="auto" w:fill="FFFFFF"/>
              </w:rPr>
            </m:ctrlPr>
          </m:fPr>
          <m:num>
            <m:r>
              <m:rPr>
                <m:sty m:val="b"/>
              </m:rPr>
              <w:rPr>
                <w:rFonts w:ascii="Cambria Math" w:hAnsi="Cambria Math" w:cs="Times New Roman"/>
                <w:color w:val="000000"/>
                <w:sz w:val="22"/>
                <w:szCs w:val="22"/>
                <w:shd w:val="clear" w:color="auto" w:fill="FFFFFF"/>
              </w:rPr>
              <m:t>(Kas + Setara Kas)</m:t>
            </m:r>
            <m:ctrlPr>
              <w:rPr>
                <w:rFonts w:ascii="Cambria Math" w:hAnsi="Cambria Math" w:cs="Times New Roman"/>
                <w:b/>
                <w:bCs/>
                <w:color w:val="000000"/>
                <w:sz w:val="22"/>
                <w:szCs w:val="22"/>
                <w:shd w:val="clear" w:color="auto" w:fill="FFFFFF"/>
              </w:rPr>
            </m:ctrlPr>
          </m:num>
          <m:den>
            <m:r>
              <m:rPr>
                <m:sty m:val="b"/>
              </m:rPr>
              <w:rPr>
                <w:rFonts w:ascii="Cambria Math" w:hAnsi="Cambria Math" w:cs="Times New Roman"/>
                <w:color w:val="000000"/>
                <w:sz w:val="22"/>
                <w:szCs w:val="22"/>
                <w:shd w:val="clear" w:color="auto" w:fill="FFFFFF"/>
              </w:rPr>
              <m:t>Total Aset</m:t>
            </m:r>
            <m:ctrlPr>
              <w:rPr>
                <w:rFonts w:ascii="Cambria Math" w:hAnsi="Cambria Math" w:cs="Times New Roman"/>
                <w:b/>
                <w:bCs/>
                <w:color w:val="000000"/>
                <w:sz w:val="22"/>
                <w:szCs w:val="22"/>
                <w:shd w:val="clear" w:color="auto" w:fill="FFFFFF"/>
              </w:rPr>
            </m:ctrlPr>
          </m:den>
        </m:f>
      </m:oMath>
      <w:r>
        <w:rPr>
          <w:rFonts w:hAnsi="Cambria Math" w:cs="Times New Roman"/>
          <w:b/>
          <w:bCs/>
          <w:color w:val="000000"/>
          <w:sz w:val="22"/>
          <w:szCs w:val="22"/>
          <w:shd w:val="clear" w:color="auto" w:fill="FFFFFF"/>
        </w:rPr>
        <w:t xml:space="preserve"> x100%</w:t>
      </w:r>
    </w:p>
    <w:p w14:paraId="5C8AC1C1">
      <w:pPr>
        <w:pStyle w:val="23"/>
        <w:ind w:firstLine="330" w:firstLineChars="150"/>
        <w:rPr>
          <w:rFonts w:hint="default" w:ascii="Times New Roman" w:hAnsi="Times New Roman" w:cs="Times New Roman"/>
          <w:i w:val="0"/>
          <w:iCs w:val="0"/>
          <w:sz w:val="22"/>
          <w:szCs w:val="22"/>
          <w:lang w:val="en-US"/>
        </w:rPr>
      </w:pPr>
      <w:r>
        <w:rPr>
          <w:rFonts w:ascii="Times New Roman" w:hAnsi="Times New Roman" w:cs="Times New Roman"/>
          <w:sz w:val="22"/>
          <w:szCs w:val="22"/>
        </w:rPr>
        <w:t>Nilai Perusahaan merupakan persepsi investor terhadap keberhasilan perusahaan, yang umumnya diidentikkan dengan harga saham. Ketika harga saham meningkat, nilai perusahaan juga ikut naik,</w:t>
      </w:r>
      <w:r>
        <w:rPr>
          <w:rFonts w:hint="default" w:ascii="Times New Roman" w:hAnsi="Times New Roman" w:cs="Times New Roman"/>
          <w:sz w:val="22"/>
          <w:szCs w:val="22"/>
          <w:lang w:val="en-US"/>
        </w:rPr>
        <w:t xml:space="preserve"> </w:t>
      </w:r>
      <w:r>
        <w:rPr>
          <w:rFonts w:ascii="Times New Roman" w:hAnsi="Times New Roman" w:cs="Times New Roman"/>
          <w:sz w:val="22"/>
          <w:szCs w:val="22"/>
        </w:rPr>
        <w:t>sehingga menumbuhkan kepercayaan pasar tidak hanya terhadap kinerja perusahaan saat ini, tetapi juga terhadap prospek pertumbuhannya di masa depan (Muchtar, 2021:95)</w:t>
      </w:r>
      <w:r>
        <w:rPr>
          <w:rFonts w:hint="default" w:ascii="Times New Roman" w:hAnsi="Times New Roman" w:cs="Times New Roman"/>
          <w:sz w:val="22"/>
          <w:szCs w:val="22"/>
          <w:lang w:val="en-US"/>
        </w:rPr>
        <w:t xml:space="preserve">. perhitungan nilai perusahaan dilakukan dengan menggunakan rasio PBV </w:t>
      </w:r>
      <w:r>
        <w:rPr>
          <w:rFonts w:hint="default" w:ascii="Times New Roman" w:hAnsi="Times New Roman" w:cs="Times New Roman"/>
          <w:i/>
          <w:iCs/>
          <w:sz w:val="22"/>
          <w:szCs w:val="22"/>
          <w:lang w:val="en-US"/>
        </w:rPr>
        <w:t xml:space="preserve">(Price to Book Value) </w:t>
      </w:r>
      <w:r>
        <w:rPr>
          <w:rFonts w:hint="default" w:ascii="Times New Roman" w:hAnsi="Times New Roman" w:cs="Times New Roman"/>
          <w:i w:val="0"/>
          <w:iCs w:val="0"/>
          <w:sz w:val="22"/>
          <w:szCs w:val="22"/>
          <w:lang w:val="en-US"/>
        </w:rPr>
        <w:t>yaitu untuk mengukur rasio antara harga pasar saham dengan nilai buku persaham, indikator ini menunjukkan seberapa besar pasar menghargai nilai perusahaan.</w:t>
      </w:r>
    </w:p>
    <w:p w14:paraId="47E46B59">
      <w:pPr>
        <w:pStyle w:val="23"/>
        <w:ind w:firstLine="330" w:firstLineChars="150"/>
        <w:rPr>
          <w:rFonts w:hint="default" w:ascii="Times New Roman" w:hAnsi="Times New Roman" w:cs="Times New Roman"/>
          <w:i w:val="0"/>
          <w:iCs w:val="0"/>
          <w:sz w:val="22"/>
          <w:szCs w:val="22"/>
          <w:lang w:val="en-US"/>
        </w:rPr>
      </w:pPr>
    </w:p>
    <w:p w14:paraId="43D89043">
      <w:pPr>
        <w:pStyle w:val="12"/>
        <w:spacing w:line="240" w:lineRule="auto"/>
        <w:textAlignment w:val="baseline"/>
        <w:rPr>
          <w:rFonts w:ascii="Times New Roman" w:hAnsi="Times New Roman" w:cs="Times New Roman"/>
          <w:sz w:val="22"/>
          <w:szCs w:val="22"/>
          <w:lang w:val="id-ID"/>
        </w:rPr>
      </w:pPr>
      <w:r>
        <w:rPr>
          <w:rFonts w:ascii="Times New Roman" w:hAnsi="Times New Roman" w:cs="Times New Roman"/>
          <w:b/>
          <w:bCs/>
          <w:sz w:val="22"/>
          <w:szCs w:val="22"/>
          <w:lang w:eastAsia="en-US"/>
        </w:rPr>
        <w:t xml:space="preserve">PBV= </w:t>
      </w:r>
      <m:oMath>
        <m:f>
          <m:fPr>
            <m:ctrlPr>
              <w:rPr>
                <w:rFonts w:ascii="Cambria Math" w:hAnsi="Cambria Math" w:cs="Times New Roman"/>
                <w:b/>
                <w:bCs/>
                <w:iCs/>
                <w:sz w:val="22"/>
                <w:szCs w:val="22"/>
              </w:rPr>
            </m:ctrlPr>
          </m:fPr>
          <m:num>
            <m:r>
              <m:rPr>
                <m:sty m:val="b"/>
              </m:rPr>
              <w:rPr>
                <w:rFonts w:ascii="Cambria Math" w:hAnsi="Cambria Math" w:cs="Times New Roman"/>
                <w:sz w:val="22"/>
                <w:szCs w:val="22"/>
              </w:rPr>
              <m:t>Harga Pasar Saham</m:t>
            </m:r>
            <m:ctrlPr>
              <w:rPr>
                <w:rFonts w:ascii="Cambria Math" w:hAnsi="Cambria Math" w:cs="Times New Roman"/>
                <w:b/>
                <w:bCs/>
                <w:iCs/>
                <w:sz w:val="22"/>
                <w:szCs w:val="22"/>
              </w:rPr>
            </m:ctrlPr>
          </m:num>
          <m:den>
            <m:r>
              <m:rPr>
                <m:sty m:val="b"/>
              </m:rPr>
              <w:rPr>
                <w:rFonts w:ascii="Cambria Math" w:hAnsi="Cambria Math" w:cs="Times New Roman"/>
                <w:sz w:val="22"/>
                <w:szCs w:val="22"/>
              </w:rPr>
              <m:t>Nilai Buku Per Saham</m:t>
            </m:r>
            <m:r>
              <m:rPr>
                <m:sty m:val="b"/>
              </m:rPr>
              <w:rPr>
                <w:rFonts w:hint="default" w:ascii="Cambria Math" w:hAnsi="Cambria Math" w:cs="Times New Roman"/>
                <w:sz w:val="22"/>
                <w:szCs w:val="22"/>
                <w:lang w:val="en-US"/>
              </w:rPr>
              <m:t xml:space="preserve"> (NBPS) </m:t>
            </m:r>
            <m:ctrlPr>
              <w:rPr>
                <w:rFonts w:ascii="Cambria Math" w:hAnsi="Cambria Math" w:cs="Times New Roman"/>
                <w:b/>
                <w:bCs/>
                <w:iCs/>
                <w:sz w:val="22"/>
                <w:szCs w:val="22"/>
              </w:rPr>
            </m:ctrlPr>
          </m:den>
        </m:f>
      </m:oMath>
      <w:r>
        <w:rPr>
          <w:rFonts w:ascii="Times New Roman" w:hAnsi="Times New Roman" w:cs="Times New Roman"/>
          <w:sz w:val="22"/>
          <w:szCs w:val="22"/>
          <w:lang w:val="id-ID"/>
        </w:rPr>
        <w:t> </w:t>
      </w:r>
      <w:r>
        <w:rPr>
          <w:rFonts w:ascii="Times New Roman" w:hAnsi="Times New Roman" w:cs="Times New Roman"/>
          <w:sz w:val="22"/>
          <w:szCs w:val="22"/>
        </w:rPr>
        <w:t xml:space="preserve"> </w:t>
      </w:r>
      <w:r>
        <w:rPr>
          <w:rFonts w:hAnsi="Cambria Math" w:cs="Times New Roman"/>
          <w:b/>
          <w:bCs/>
          <w:color w:val="000000"/>
          <w:sz w:val="22"/>
          <w:szCs w:val="22"/>
          <w:shd w:val="clear" w:color="auto" w:fill="FFFFFF"/>
        </w:rPr>
        <w:t>x100%</w:t>
      </w:r>
    </w:p>
    <w:p w14:paraId="55CB5648">
      <w:pPr>
        <w:pStyle w:val="23"/>
        <w:spacing w:line="240" w:lineRule="auto"/>
        <w:ind w:left="0" w:leftChars="0" w:firstLine="0" w:firstLineChars="0"/>
        <w:rPr>
          <w:rFonts w:hAnsi="Cambria Math" w:cs="Times New Roman"/>
          <w:b/>
          <w:bCs/>
          <w:i w:val="0"/>
          <w:iCs/>
          <w:sz w:val="22"/>
          <w:szCs w:val="22"/>
        </w:rPr>
      </w:pPr>
      <w:r>
        <w:rPr>
          <w:rFonts w:ascii="Times New Roman" w:hAnsi="Times New Roman" w:cs="Times New Roman"/>
          <w:b/>
          <w:bCs/>
          <w:sz w:val="22"/>
          <w:szCs w:val="22"/>
        </w:rPr>
        <w:t>NBPS</w:t>
      </w:r>
      <w:r>
        <w:rPr>
          <w:rFonts w:ascii="Times New Roman" w:hAnsi="Times New Roman" w:cs="Times New Roman"/>
          <w:sz w:val="22"/>
          <w:szCs w:val="22"/>
        </w:rPr>
        <w:t xml:space="preserve">= </w:t>
      </w:r>
      <m:oMath>
        <m:f>
          <m:fPr>
            <m:ctrlPr>
              <w:rPr>
                <w:rFonts w:ascii="Cambria Math" w:hAnsi="Cambria Math" w:cs="Times New Roman"/>
                <w:b/>
                <w:bCs/>
                <w:iCs/>
                <w:sz w:val="22"/>
                <w:szCs w:val="22"/>
              </w:rPr>
            </m:ctrlPr>
          </m:fPr>
          <m:num>
            <m:r>
              <m:rPr>
                <m:sty m:val="b"/>
              </m:rPr>
              <w:rPr>
                <w:rFonts w:ascii="Cambria Math" w:hAnsi="Cambria Math" w:cs="Times New Roman"/>
                <w:sz w:val="22"/>
                <w:szCs w:val="22"/>
              </w:rPr>
              <m:t>Total Ekuitas</m:t>
            </m:r>
            <m:ctrlPr>
              <w:rPr>
                <w:rFonts w:ascii="Cambria Math" w:hAnsi="Cambria Math" w:cs="Times New Roman"/>
                <w:b/>
                <w:bCs/>
                <w:iCs/>
                <w:sz w:val="22"/>
                <w:szCs w:val="22"/>
              </w:rPr>
            </m:ctrlPr>
          </m:num>
          <m:den>
            <m:r>
              <m:rPr>
                <m:sty m:val="b"/>
              </m:rPr>
              <w:rPr>
                <w:rFonts w:ascii="Cambria Math" w:hAnsi="Cambria Math" w:cs="Times New Roman"/>
                <w:sz w:val="22"/>
                <w:szCs w:val="22"/>
              </w:rPr>
              <m:t>Jumlah Saham Beredar</m:t>
            </m:r>
            <m:ctrlPr>
              <w:rPr>
                <w:rFonts w:ascii="Cambria Math" w:hAnsi="Cambria Math" w:cs="Times New Roman"/>
                <w:b/>
                <w:bCs/>
                <w:iCs/>
                <w:sz w:val="22"/>
                <w:szCs w:val="22"/>
              </w:rPr>
            </m:ctrlPr>
          </m:den>
        </m:f>
      </m:oMath>
    </w:p>
    <w:p w14:paraId="0556ED65">
      <w:pPr>
        <w:pStyle w:val="23"/>
        <w:spacing w:line="240" w:lineRule="auto"/>
        <w:ind w:left="0" w:leftChars="0" w:firstLine="0" w:firstLineChars="0"/>
        <w:rPr>
          <w:rFonts w:hAnsi="Cambria Math" w:cs="Times New Roman"/>
          <w:b/>
          <w:bCs/>
          <w:i w:val="0"/>
          <w:iCs/>
          <w:sz w:val="22"/>
          <w:szCs w:val="22"/>
          <w:lang w:val="en-US"/>
        </w:rPr>
      </w:pPr>
    </w:p>
    <w:p w14:paraId="7C8906C0">
      <w:pPr>
        <w:pStyle w:val="21"/>
        <w:numPr>
          <w:ilvl w:val="0"/>
          <w:numId w:val="2"/>
        </w:numPr>
        <w:spacing w:before="0" w:after="0"/>
        <w:ind w:left="426"/>
        <w:outlineLvl w:val="0"/>
        <w:rPr>
          <w:sz w:val="22"/>
          <w:szCs w:val="22"/>
          <w:lang w:val="en-US"/>
        </w:rPr>
      </w:pPr>
      <w:r>
        <w:rPr>
          <w:sz w:val="22"/>
          <w:szCs w:val="22"/>
          <w:lang w:val="en-US"/>
        </w:rPr>
        <w:t>HASIL</w:t>
      </w:r>
      <w:r>
        <w:rPr>
          <w:rFonts w:hint="default"/>
          <w:sz w:val="22"/>
          <w:szCs w:val="22"/>
          <w:lang w:val="en-US"/>
        </w:rPr>
        <w:t xml:space="preserve"> PENELITIAN</w:t>
      </w:r>
      <w:r>
        <w:rPr>
          <w:sz w:val="22"/>
          <w:szCs w:val="22"/>
          <w:lang w:val="en-US"/>
        </w:rPr>
        <w:t xml:space="preserve"> DAN PEMBAHASAN</w:t>
      </w:r>
    </w:p>
    <w:p w14:paraId="3A314293">
      <w:pPr>
        <w:pStyle w:val="23"/>
        <w:ind w:firstLine="0"/>
        <w:rPr>
          <w:sz w:val="22"/>
          <w:szCs w:val="22"/>
          <w:lang w:val="en-US"/>
        </w:rPr>
      </w:pPr>
    </w:p>
    <w:p w14:paraId="13E1E499">
      <w:pPr>
        <w:pStyle w:val="23"/>
        <w:ind w:firstLine="0"/>
        <w:rPr>
          <w:rFonts w:hint="default"/>
          <w:b/>
          <w:bCs/>
          <w:sz w:val="22"/>
          <w:szCs w:val="22"/>
          <w:lang w:val="en-US"/>
        </w:rPr>
      </w:pPr>
      <w:r>
        <w:rPr>
          <w:rFonts w:hint="default"/>
          <w:b/>
          <w:bCs/>
          <w:sz w:val="22"/>
          <w:szCs w:val="22"/>
          <w:lang w:val="en-US"/>
        </w:rPr>
        <w:t>Hasil Penelitian</w:t>
      </w:r>
    </w:p>
    <w:p w14:paraId="6E7E1814">
      <w:pPr>
        <w:pStyle w:val="21"/>
        <w:spacing w:before="0" w:after="0"/>
        <w:outlineLvl w:val="0"/>
        <w:rPr>
          <w:sz w:val="22"/>
          <w:szCs w:val="22"/>
          <w:lang w:val="en-US"/>
        </w:rPr>
      </w:pPr>
      <w:r>
        <w:rPr>
          <w:rFonts w:hint="default"/>
          <w:sz w:val="22"/>
          <w:szCs w:val="22"/>
          <w:lang w:val="en-US"/>
        </w:rPr>
        <w:t>Uji Statistik Deskritif</w:t>
      </w:r>
    </w:p>
    <w:p w14:paraId="49C2914C">
      <w:pPr>
        <w:pStyle w:val="22"/>
        <w:ind w:firstLine="284"/>
        <w:jc w:val="both"/>
        <w:rPr>
          <w:rFonts w:hint="default"/>
          <w:i w:val="0"/>
          <w:iCs w:val="0"/>
          <w:sz w:val="22"/>
          <w:szCs w:val="22"/>
          <w:lang w:val="en-US"/>
        </w:rPr>
      </w:pPr>
      <w:r>
        <w:rPr>
          <w:rFonts w:hint="default"/>
          <w:sz w:val="22"/>
          <w:szCs w:val="22"/>
          <w:lang w:val="en-US"/>
        </w:rPr>
        <w:t xml:space="preserve">Tabel dibawah ini menunjukkan </w:t>
      </w:r>
      <w:r>
        <w:rPr>
          <w:rFonts w:hint="default"/>
          <w:i/>
          <w:iCs/>
          <w:sz w:val="22"/>
          <w:szCs w:val="22"/>
          <w:lang w:val="en-US"/>
        </w:rPr>
        <w:t>mean</w:t>
      </w:r>
      <w:r>
        <w:rPr>
          <w:rFonts w:hint="default"/>
          <w:sz w:val="22"/>
          <w:szCs w:val="22"/>
          <w:lang w:val="en-US"/>
        </w:rPr>
        <w:t xml:space="preserve"> serta </w:t>
      </w:r>
      <w:r>
        <w:rPr>
          <w:rFonts w:hint="default"/>
          <w:i/>
          <w:iCs/>
          <w:sz w:val="22"/>
          <w:szCs w:val="22"/>
          <w:lang w:val="en-US"/>
        </w:rPr>
        <w:t>standar deviantion</w:t>
      </w:r>
      <w:r>
        <w:rPr>
          <w:rFonts w:hint="default"/>
          <w:sz w:val="22"/>
          <w:szCs w:val="22"/>
          <w:lang w:val="en-US"/>
        </w:rPr>
        <w:t xml:space="preserve"> pada setiap variabel. Nilai </w:t>
      </w:r>
      <w:r>
        <w:rPr>
          <w:rFonts w:hint="default"/>
          <w:i/>
          <w:iCs/>
          <w:sz w:val="22"/>
          <w:szCs w:val="22"/>
          <w:lang w:val="en-US"/>
        </w:rPr>
        <w:t>mean</w:t>
      </w:r>
      <w:r>
        <w:rPr>
          <w:rFonts w:hint="default"/>
          <w:sz w:val="22"/>
          <w:szCs w:val="22"/>
          <w:lang w:val="en-US"/>
        </w:rPr>
        <w:t xml:space="preserve"> dari perencanaan pajak 0,2146, keputusan investasi 11,2114, </w:t>
      </w:r>
      <w:r>
        <w:rPr>
          <w:rFonts w:hint="default"/>
          <w:i/>
          <w:iCs/>
          <w:sz w:val="22"/>
          <w:szCs w:val="22"/>
          <w:lang w:val="en-US"/>
        </w:rPr>
        <w:t>cash holding</w:t>
      </w:r>
      <w:r>
        <w:rPr>
          <w:rFonts w:hint="default"/>
          <w:sz w:val="22"/>
          <w:szCs w:val="22"/>
          <w:lang w:val="en-US"/>
        </w:rPr>
        <w:t xml:space="preserve"> 0,1124 dan nilai perusahaan sebesar 1,0241. untuk nilai </w:t>
      </w:r>
      <w:r>
        <w:rPr>
          <w:rFonts w:hint="default"/>
          <w:i/>
          <w:iCs/>
          <w:sz w:val="22"/>
          <w:szCs w:val="22"/>
          <w:lang w:val="en-US"/>
        </w:rPr>
        <w:t>standar deviation</w:t>
      </w:r>
      <w:r>
        <w:rPr>
          <w:rFonts w:hint="default"/>
          <w:sz w:val="22"/>
          <w:szCs w:val="22"/>
          <w:lang w:val="en-US"/>
        </w:rPr>
        <w:t xml:space="preserve"> pada perencanaan pajak sebesar 0,1610, keputusan investasi sebesar 5,77891 </w:t>
      </w:r>
      <w:r>
        <w:rPr>
          <w:rFonts w:hint="default"/>
          <w:i/>
          <w:iCs/>
          <w:sz w:val="22"/>
          <w:szCs w:val="22"/>
          <w:lang w:val="en-US"/>
        </w:rPr>
        <w:t xml:space="preserve">cash holding </w:t>
      </w:r>
      <w:r>
        <w:rPr>
          <w:rFonts w:hint="default"/>
          <w:i w:val="0"/>
          <w:iCs w:val="0"/>
          <w:sz w:val="22"/>
          <w:szCs w:val="22"/>
          <w:lang w:val="en-US"/>
        </w:rPr>
        <w:t xml:space="preserve">sebesar 0,4529 dan nilai perusahaan 0,68756. Dari data diatas dapat dilihat bahwa nilai standar deviasi tidak ada yang melebihi dua kali dari nilai mean yang menunjukkan sebaran data pada penelitian ini sudah baik. </w:t>
      </w:r>
    </w:p>
    <w:p w14:paraId="6F1B370B">
      <w:pPr>
        <w:pStyle w:val="22"/>
        <w:ind w:firstLine="284"/>
        <w:jc w:val="both"/>
        <w:rPr>
          <w:rFonts w:hint="default"/>
          <w:i w:val="0"/>
          <w:iCs w:val="0"/>
          <w:sz w:val="22"/>
          <w:szCs w:val="22"/>
          <w:lang w:val="en-US"/>
        </w:rPr>
      </w:pPr>
    </w:p>
    <w:p w14:paraId="00D8E6A3">
      <w:pPr>
        <w:pStyle w:val="22"/>
        <w:jc w:val="center"/>
        <w:rPr>
          <w:rFonts w:hint="default"/>
          <w:b/>
          <w:bCs/>
          <w:i w:val="0"/>
          <w:iCs w:val="0"/>
          <w:sz w:val="22"/>
          <w:szCs w:val="22"/>
          <w:lang w:val="en-US"/>
        </w:rPr>
      </w:pPr>
      <w:r>
        <w:rPr>
          <w:rFonts w:hint="default"/>
          <w:b/>
          <w:bCs/>
          <w:i w:val="0"/>
          <w:iCs w:val="0"/>
          <w:sz w:val="22"/>
          <w:szCs w:val="22"/>
          <w:lang w:val="en-US"/>
        </w:rPr>
        <w:t>Tabel 1</w:t>
      </w:r>
    </w:p>
    <w:p w14:paraId="7E58467E">
      <w:pPr>
        <w:pStyle w:val="22"/>
        <w:jc w:val="center"/>
        <w:rPr>
          <w:rFonts w:hint="default"/>
          <w:b/>
          <w:bCs/>
          <w:i w:val="0"/>
          <w:iCs w:val="0"/>
          <w:sz w:val="22"/>
          <w:szCs w:val="22"/>
          <w:lang w:val="en-US"/>
        </w:rPr>
      </w:pPr>
      <w:r>
        <w:rPr>
          <w:rFonts w:hint="default"/>
          <w:b/>
          <w:bCs/>
          <w:i w:val="0"/>
          <w:iCs w:val="0"/>
          <w:sz w:val="22"/>
          <w:szCs w:val="22"/>
          <w:lang w:val="en-US"/>
        </w:rPr>
        <w:t>Hasil Uji Deskriptif</w:t>
      </w:r>
    </w:p>
    <w:tbl>
      <w:tblPr>
        <w:tblStyle w:val="3"/>
        <w:tblpPr w:leftFromText="180" w:rightFromText="180" w:vertAnchor="text" w:horzAnchor="page" w:tblpX="1683" w:tblpY="226"/>
        <w:tblOverlap w:val="never"/>
        <w:tblW w:w="4064" w:type="dxa"/>
        <w:tblInd w:w="0" w:type="dxa"/>
        <w:tblLayout w:type="fixed"/>
        <w:tblCellMar>
          <w:top w:w="0" w:type="dxa"/>
          <w:left w:w="0" w:type="dxa"/>
          <w:bottom w:w="0" w:type="dxa"/>
          <w:right w:w="0" w:type="dxa"/>
        </w:tblCellMar>
      </w:tblPr>
      <w:tblGrid>
        <w:gridCol w:w="1059"/>
        <w:gridCol w:w="320"/>
        <w:gridCol w:w="716"/>
        <w:gridCol w:w="723"/>
        <w:gridCol w:w="576"/>
        <w:gridCol w:w="670"/>
      </w:tblGrid>
      <w:tr w14:paraId="023A277D">
        <w:tblPrEx>
          <w:tblCellMar>
            <w:top w:w="0" w:type="dxa"/>
            <w:left w:w="0" w:type="dxa"/>
            <w:bottom w:w="0" w:type="dxa"/>
            <w:right w:w="0" w:type="dxa"/>
          </w:tblCellMar>
        </w:tblPrEx>
        <w:trPr>
          <w:cantSplit/>
          <w:trHeight w:val="296" w:hRule="atLeast"/>
        </w:trPr>
        <w:tc>
          <w:tcPr>
            <w:tcW w:w="4064" w:type="dxa"/>
            <w:gridSpan w:val="6"/>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30A07903">
            <w:pPr>
              <w:spacing w:line="240" w:lineRule="auto"/>
              <w:ind w:left="60" w:right="60"/>
              <w:jc w:val="center"/>
              <w:rPr>
                <w:rFonts w:ascii="Times New Roman" w:hAnsi="Times New Roman" w:cs="Times New Roman"/>
                <w:color w:val="010205"/>
                <w:w w:val="100"/>
                <w:sz w:val="13"/>
                <w:szCs w:val="13"/>
              </w:rPr>
            </w:pPr>
            <w:r>
              <w:rPr>
                <w:rFonts w:ascii="Times New Roman" w:hAnsi="Times New Roman" w:cs="Times New Roman"/>
                <w:b/>
                <w:color w:val="010205"/>
                <w:w w:val="100"/>
                <w:sz w:val="13"/>
                <w:szCs w:val="13"/>
              </w:rPr>
              <w:t>Descriptive Statistics</w:t>
            </w:r>
          </w:p>
        </w:tc>
      </w:tr>
      <w:tr w14:paraId="1D97860D">
        <w:tblPrEx>
          <w:tblCellMar>
            <w:top w:w="0" w:type="dxa"/>
            <w:left w:w="0" w:type="dxa"/>
            <w:bottom w:w="0" w:type="dxa"/>
            <w:right w:w="0" w:type="dxa"/>
          </w:tblCellMar>
        </w:tblPrEx>
        <w:trPr>
          <w:cantSplit/>
          <w:trHeight w:val="496" w:hRule="atLeast"/>
        </w:trPr>
        <w:tc>
          <w:tcPr>
            <w:tcW w:w="1059"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FDAE736">
            <w:pPr>
              <w:spacing w:line="240" w:lineRule="auto"/>
              <w:jc w:val="both"/>
              <w:rPr>
                <w:rFonts w:ascii="Times New Roman" w:hAnsi="Times New Roman" w:cs="Times New Roman"/>
                <w:w w:val="100"/>
                <w:sz w:val="13"/>
                <w:szCs w:val="13"/>
              </w:rPr>
            </w:pPr>
          </w:p>
        </w:tc>
        <w:tc>
          <w:tcPr>
            <w:tcW w:w="320"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338FBE4">
            <w:pPr>
              <w:spacing w:line="240" w:lineRule="auto"/>
              <w:ind w:left="60" w:right="60"/>
              <w:jc w:val="both"/>
              <w:rPr>
                <w:rFonts w:hint="default" w:ascii="Times New Roman" w:hAnsi="Times New Roman" w:cs="Times New Roman"/>
                <w:color w:val="264A60"/>
                <w:w w:val="100"/>
                <w:sz w:val="13"/>
                <w:szCs w:val="13"/>
                <w:lang w:val="en-US"/>
              </w:rPr>
            </w:pPr>
            <w:r>
              <w:rPr>
                <w:rFonts w:hint="default" w:ascii="Times New Roman" w:hAnsi="Times New Roman" w:cs="Times New Roman"/>
                <w:color w:val="264A60"/>
                <w:w w:val="100"/>
                <w:sz w:val="13"/>
                <w:szCs w:val="13"/>
                <w:lang w:val="en-US"/>
              </w:rPr>
              <w:t>N</w:t>
            </w:r>
          </w:p>
        </w:tc>
        <w:tc>
          <w:tcPr>
            <w:tcW w:w="716"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70D9B83">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Minimum</w:t>
            </w:r>
          </w:p>
        </w:tc>
        <w:tc>
          <w:tcPr>
            <w:tcW w:w="723"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2A6D5AF">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Maximum</w:t>
            </w:r>
          </w:p>
        </w:tc>
        <w:tc>
          <w:tcPr>
            <w:tcW w:w="576"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3B4FF729">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Mean</w:t>
            </w:r>
          </w:p>
        </w:tc>
        <w:tc>
          <w:tcPr>
            <w:tcW w:w="670"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AC5C563">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Std. Deviation</w:t>
            </w:r>
          </w:p>
        </w:tc>
      </w:tr>
      <w:tr w14:paraId="47FED372">
        <w:tblPrEx>
          <w:tblCellMar>
            <w:top w:w="0" w:type="dxa"/>
            <w:left w:w="0" w:type="dxa"/>
            <w:bottom w:w="0" w:type="dxa"/>
            <w:right w:w="0" w:type="dxa"/>
          </w:tblCellMar>
        </w:tblPrEx>
        <w:trPr>
          <w:cantSplit/>
          <w:trHeight w:val="282" w:hRule="atLeast"/>
        </w:trPr>
        <w:tc>
          <w:tcPr>
            <w:tcW w:w="105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05677DE8">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ETR_X1</w:t>
            </w:r>
          </w:p>
        </w:tc>
        <w:tc>
          <w:tcPr>
            <w:tcW w:w="32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541CE2A">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60</w:t>
            </w:r>
          </w:p>
        </w:tc>
        <w:tc>
          <w:tcPr>
            <w:tcW w:w="71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04DF1D8">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.18</w:t>
            </w:r>
          </w:p>
        </w:tc>
        <w:tc>
          <w:tcPr>
            <w:tcW w:w="72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B3D69DB">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.25</w:t>
            </w:r>
          </w:p>
        </w:tc>
        <w:tc>
          <w:tcPr>
            <w:tcW w:w="57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C3A8B87">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.2146</w:t>
            </w:r>
          </w:p>
        </w:tc>
        <w:tc>
          <w:tcPr>
            <w:tcW w:w="6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98E7B66">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.01610</w:t>
            </w:r>
          </w:p>
        </w:tc>
      </w:tr>
      <w:tr w14:paraId="40097DCF">
        <w:tblPrEx>
          <w:tblCellMar>
            <w:top w:w="0" w:type="dxa"/>
            <w:left w:w="0" w:type="dxa"/>
            <w:bottom w:w="0" w:type="dxa"/>
            <w:right w:w="0" w:type="dxa"/>
          </w:tblCellMar>
        </w:tblPrEx>
        <w:trPr>
          <w:cantSplit/>
          <w:trHeight w:val="242" w:hRule="atLeast"/>
        </w:trPr>
        <w:tc>
          <w:tcPr>
            <w:tcW w:w="105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03530A08">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PER_X2</w:t>
            </w:r>
          </w:p>
        </w:tc>
        <w:tc>
          <w:tcPr>
            <w:tcW w:w="32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7964045">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60</w:t>
            </w:r>
          </w:p>
        </w:tc>
        <w:tc>
          <w:tcPr>
            <w:tcW w:w="71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9A2FAE1">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4.34</w:t>
            </w:r>
          </w:p>
        </w:tc>
        <w:tc>
          <w:tcPr>
            <w:tcW w:w="72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6E7457B">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32.10</w:t>
            </w:r>
          </w:p>
        </w:tc>
        <w:tc>
          <w:tcPr>
            <w:tcW w:w="57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44D7928">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11.2114</w:t>
            </w:r>
          </w:p>
        </w:tc>
        <w:tc>
          <w:tcPr>
            <w:tcW w:w="6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9D04077">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5.77891</w:t>
            </w:r>
          </w:p>
        </w:tc>
      </w:tr>
      <w:tr w14:paraId="591A08A0">
        <w:tblPrEx>
          <w:tblCellMar>
            <w:top w:w="0" w:type="dxa"/>
            <w:left w:w="0" w:type="dxa"/>
            <w:bottom w:w="0" w:type="dxa"/>
            <w:right w:w="0" w:type="dxa"/>
          </w:tblCellMar>
        </w:tblPrEx>
        <w:trPr>
          <w:cantSplit/>
          <w:trHeight w:val="295" w:hRule="atLeast"/>
        </w:trPr>
        <w:tc>
          <w:tcPr>
            <w:tcW w:w="105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7B3A0E34">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CH_X3</w:t>
            </w:r>
          </w:p>
        </w:tc>
        <w:tc>
          <w:tcPr>
            <w:tcW w:w="32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94D3B58">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60</w:t>
            </w:r>
          </w:p>
        </w:tc>
        <w:tc>
          <w:tcPr>
            <w:tcW w:w="71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74B4E53">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.04</w:t>
            </w:r>
          </w:p>
        </w:tc>
        <w:tc>
          <w:tcPr>
            <w:tcW w:w="72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7CF08B8">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.24</w:t>
            </w:r>
          </w:p>
        </w:tc>
        <w:tc>
          <w:tcPr>
            <w:tcW w:w="57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ABAC487">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.1124</w:t>
            </w:r>
          </w:p>
        </w:tc>
        <w:tc>
          <w:tcPr>
            <w:tcW w:w="6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AD1C84E">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.04529</w:t>
            </w:r>
          </w:p>
        </w:tc>
      </w:tr>
      <w:tr w14:paraId="011928A2">
        <w:tblPrEx>
          <w:tblCellMar>
            <w:top w:w="0" w:type="dxa"/>
            <w:left w:w="0" w:type="dxa"/>
            <w:bottom w:w="0" w:type="dxa"/>
            <w:right w:w="0" w:type="dxa"/>
          </w:tblCellMar>
        </w:tblPrEx>
        <w:trPr>
          <w:cantSplit/>
          <w:trHeight w:val="215" w:hRule="atLeast"/>
        </w:trPr>
        <w:tc>
          <w:tcPr>
            <w:tcW w:w="105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5416D903">
            <w:pPr>
              <w:spacing w:line="240" w:lineRule="auto"/>
              <w:ind w:left="60" w:right="60"/>
              <w:jc w:val="both"/>
              <w:rPr>
                <w:rFonts w:ascii="Times New Roman" w:hAnsi="Times New Roman" w:cs="Times New Roman"/>
                <w:color w:val="264A60"/>
                <w:w w:val="100"/>
                <w:sz w:val="13"/>
                <w:szCs w:val="13"/>
              </w:rPr>
            </w:pPr>
            <w:r>
              <w:rPr>
                <w:rFonts w:ascii="Times New Roman" w:hAnsi="Times New Roman" w:cs="Times New Roman"/>
                <w:color w:val="264A60"/>
                <w:w w:val="100"/>
                <w:sz w:val="13"/>
                <w:szCs w:val="13"/>
              </w:rPr>
              <w:t>Valid N (listwise)</w:t>
            </w:r>
          </w:p>
        </w:tc>
        <w:tc>
          <w:tcPr>
            <w:tcW w:w="32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FDE404E">
            <w:pPr>
              <w:spacing w:line="240" w:lineRule="auto"/>
              <w:ind w:left="60" w:right="60"/>
              <w:jc w:val="right"/>
              <w:rPr>
                <w:rFonts w:ascii="Times New Roman" w:hAnsi="Times New Roman" w:cs="Times New Roman"/>
                <w:color w:val="010205"/>
                <w:w w:val="100"/>
                <w:sz w:val="13"/>
                <w:szCs w:val="13"/>
              </w:rPr>
            </w:pPr>
            <w:r>
              <w:rPr>
                <w:rFonts w:ascii="Times New Roman" w:hAnsi="Times New Roman" w:cs="Times New Roman"/>
                <w:color w:val="010205"/>
                <w:w w:val="100"/>
                <w:sz w:val="13"/>
                <w:szCs w:val="13"/>
              </w:rPr>
              <w:t>60</w:t>
            </w:r>
          </w:p>
        </w:tc>
        <w:tc>
          <w:tcPr>
            <w:tcW w:w="716"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2DBB6345">
            <w:pPr>
              <w:spacing w:line="240" w:lineRule="auto"/>
              <w:jc w:val="right"/>
              <w:rPr>
                <w:rFonts w:ascii="Times New Roman" w:hAnsi="Times New Roman" w:cs="Times New Roman"/>
                <w:w w:val="100"/>
                <w:sz w:val="13"/>
                <w:szCs w:val="13"/>
              </w:rPr>
            </w:pPr>
          </w:p>
        </w:tc>
        <w:tc>
          <w:tcPr>
            <w:tcW w:w="723"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535ED674">
            <w:pPr>
              <w:spacing w:line="240" w:lineRule="auto"/>
              <w:jc w:val="right"/>
              <w:rPr>
                <w:rFonts w:ascii="Times New Roman" w:hAnsi="Times New Roman" w:cs="Times New Roman"/>
                <w:w w:val="100"/>
                <w:sz w:val="13"/>
                <w:szCs w:val="13"/>
              </w:rPr>
            </w:pPr>
          </w:p>
        </w:tc>
        <w:tc>
          <w:tcPr>
            <w:tcW w:w="576"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37EEF708">
            <w:pPr>
              <w:spacing w:line="240" w:lineRule="auto"/>
              <w:jc w:val="right"/>
              <w:rPr>
                <w:rFonts w:ascii="Times New Roman" w:hAnsi="Times New Roman" w:cs="Times New Roman"/>
                <w:w w:val="100"/>
                <w:sz w:val="13"/>
                <w:szCs w:val="13"/>
              </w:rPr>
            </w:pPr>
          </w:p>
        </w:tc>
        <w:tc>
          <w:tcPr>
            <w:tcW w:w="670"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4EB71A46">
            <w:pPr>
              <w:spacing w:line="240" w:lineRule="auto"/>
              <w:jc w:val="right"/>
              <w:rPr>
                <w:rFonts w:ascii="Times New Roman" w:hAnsi="Times New Roman" w:cs="Times New Roman"/>
                <w:w w:val="100"/>
                <w:sz w:val="13"/>
                <w:szCs w:val="13"/>
              </w:rPr>
            </w:pPr>
          </w:p>
        </w:tc>
      </w:tr>
    </w:tbl>
    <w:p w14:paraId="09C52B02">
      <w:pPr>
        <w:spacing w:line="240" w:lineRule="auto"/>
        <w:rPr>
          <w:rFonts w:hint="default"/>
          <w:i w:val="0"/>
          <w:iCs w:val="0"/>
          <w:sz w:val="22"/>
          <w:szCs w:val="22"/>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3E6AC6DD">
      <w:pPr>
        <w:pStyle w:val="21"/>
        <w:spacing w:before="0" w:after="0" w:line="240" w:lineRule="auto"/>
        <w:jc w:val="both"/>
        <w:rPr>
          <w:rFonts w:hint="default"/>
          <w:sz w:val="22"/>
          <w:szCs w:val="22"/>
          <w:lang w:val="en-US"/>
        </w:rPr>
      </w:pPr>
      <w:r>
        <w:rPr>
          <w:rFonts w:hint="default"/>
          <w:sz w:val="22"/>
          <w:szCs w:val="22"/>
          <w:lang w:val="en-US"/>
        </w:rPr>
        <w:t>Uji Normalitas</w:t>
      </w:r>
    </w:p>
    <w:p w14:paraId="74B2A052">
      <w:pPr>
        <w:pStyle w:val="22"/>
        <w:jc w:val="center"/>
        <w:rPr>
          <w:rFonts w:hint="default"/>
          <w:b/>
          <w:bCs/>
          <w:i w:val="0"/>
          <w:iCs w:val="0"/>
          <w:sz w:val="22"/>
          <w:szCs w:val="22"/>
          <w:lang w:val="en-US"/>
        </w:rPr>
      </w:pPr>
      <w:r>
        <w:rPr>
          <w:rFonts w:hint="default"/>
          <w:b/>
          <w:bCs/>
          <w:i w:val="0"/>
          <w:iCs w:val="0"/>
          <w:sz w:val="22"/>
          <w:szCs w:val="22"/>
          <w:lang w:val="en-US"/>
        </w:rPr>
        <w:t>Tabel 2</w:t>
      </w:r>
    </w:p>
    <w:p w14:paraId="6A92C9D0">
      <w:pPr>
        <w:pStyle w:val="21"/>
        <w:spacing w:before="0" w:after="0" w:line="240" w:lineRule="auto"/>
        <w:jc w:val="center"/>
        <w:rPr>
          <w:rFonts w:hint="default"/>
          <w:sz w:val="22"/>
          <w:szCs w:val="22"/>
          <w:lang w:val="en-US"/>
        </w:rPr>
      </w:pPr>
      <w:r>
        <w:rPr>
          <w:rFonts w:hint="default"/>
          <w:b/>
          <w:bCs/>
          <w:i w:val="0"/>
          <w:iCs w:val="0"/>
          <w:sz w:val="22"/>
          <w:szCs w:val="22"/>
          <w:lang w:val="en-US"/>
        </w:rPr>
        <w:t>Hasil Uji Normalitas</w:t>
      </w:r>
    </w:p>
    <w:tbl>
      <w:tblPr>
        <w:tblStyle w:val="3"/>
        <w:tblpPr w:leftFromText="180" w:rightFromText="180" w:vertAnchor="text" w:horzAnchor="page" w:tblpX="1766" w:tblpY="134"/>
        <w:tblOverlap w:val="never"/>
        <w:tblW w:w="3941" w:type="dxa"/>
        <w:tblInd w:w="0" w:type="dxa"/>
        <w:tblLayout w:type="fixed"/>
        <w:tblCellMar>
          <w:top w:w="0" w:type="dxa"/>
          <w:left w:w="0" w:type="dxa"/>
          <w:bottom w:w="0" w:type="dxa"/>
          <w:right w:w="0" w:type="dxa"/>
        </w:tblCellMar>
      </w:tblPr>
      <w:tblGrid>
        <w:gridCol w:w="1504"/>
        <w:gridCol w:w="1098"/>
        <w:gridCol w:w="1339"/>
      </w:tblGrid>
      <w:tr w14:paraId="5C6A03B4">
        <w:tblPrEx>
          <w:tblCellMar>
            <w:top w:w="0" w:type="dxa"/>
            <w:left w:w="0" w:type="dxa"/>
            <w:bottom w:w="0" w:type="dxa"/>
            <w:right w:w="0" w:type="dxa"/>
          </w:tblCellMar>
        </w:tblPrEx>
        <w:trPr>
          <w:cantSplit/>
          <w:trHeight w:val="375" w:hRule="atLeast"/>
        </w:trPr>
        <w:tc>
          <w:tcPr>
            <w:tcW w:w="3941" w:type="dxa"/>
            <w:gridSpan w:val="3"/>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5BF9A0B5">
            <w:pPr>
              <w:spacing w:line="240" w:lineRule="auto"/>
              <w:ind w:left="60" w:right="60"/>
              <w:jc w:val="center"/>
              <w:rPr>
                <w:rFonts w:ascii="Times New Roman" w:hAnsi="Times New Roman" w:cs="Times New Roman"/>
                <w:color w:val="010205"/>
                <w:sz w:val="15"/>
                <w:szCs w:val="15"/>
              </w:rPr>
            </w:pPr>
            <w:r>
              <w:rPr>
                <w:rFonts w:ascii="Times New Roman" w:hAnsi="Times New Roman" w:cs="Times New Roman"/>
                <w:b/>
                <w:color w:val="010205"/>
                <w:sz w:val="15"/>
                <w:szCs w:val="15"/>
              </w:rPr>
              <w:t>One-Sample Kolmogorov-Smirnov Test</w:t>
            </w:r>
          </w:p>
        </w:tc>
      </w:tr>
      <w:tr w14:paraId="0FAA5FAE">
        <w:tblPrEx>
          <w:tblCellMar>
            <w:top w:w="0" w:type="dxa"/>
            <w:left w:w="0" w:type="dxa"/>
            <w:bottom w:w="0" w:type="dxa"/>
            <w:right w:w="0" w:type="dxa"/>
          </w:tblCellMar>
        </w:tblPrEx>
        <w:trPr>
          <w:cantSplit/>
          <w:trHeight w:val="440" w:hRule="atLeast"/>
        </w:trPr>
        <w:tc>
          <w:tcPr>
            <w:tcW w:w="2602" w:type="dxa"/>
            <w:gridSpan w:val="2"/>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B9903FC">
            <w:pPr>
              <w:spacing w:line="240" w:lineRule="auto"/>
              <w:rPr>
                <w:rFonts w:ascii="Times New Roman" w:hAnsi="Times New Roman" w:cs="Times New Roman"/>
                <w:sz w:val="15"/>
                <w:szCs w:val="15"/>
              </w:rPr>
            </w:pP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56D9EEC">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Unstandardized Residual</w:t>
            </w:r>
          </w:p>
        </w:tc>
      </w:tr>
      <w:tr w14:paraId="2BEC06A4">
        <w:tblPrEx>
          <w:tblCellMar>
            <w:top w:w="0" w:type="dxa"/>
            <w:left w:w="0" w:type="dxa"/>
            <w:bottom w:w="0" w:type="dxa"/>
            <w:right w:w="0" w:type="dxa"/>
          </w:tblCellMar>
        </w:tblPrEx>
        <w:trPr>
          <w:cantSplit/>
          <w:trHeight w:val="375" w:hRule="atLeast"/>
        </w:trPr>
        <w:tc>
          <w:tcPr>
            <w:tcW w:w="2602" w:type="dxa"/>
            <w:gridSpan w:val="2"/>
            <w:tcBorders>
              <w:top w:val="single" w:color="auto" w:sz="4" w:space="0"/>
              <w:left w:val="single" w:color="auto" w:sz="4" w:space="0"/>
              <w:bottom w:val="single" w:color="auto" w:sz="4" w:space="0"/>
              <w:right w:val="single" w:color="auto" w:sz="4" w:space="0"/>
              <w:tl2br w:val="nil"/>
              <w:tr2bl w:val="nil"/>
            </w:tcBorders>
            <w:shd w:val="clear" w:color="auto" w:fill="E0E0E0"/>
          </w:tcPr>
          <w:p w14:paraId="0E069CB8">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N</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8777E3D">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60</w:t>
            </w:r>
          </w:p>
        </w:tc>
      </w:tr>
      <w:tr w14:paraId="6D9F98F2">
        <w:tblPrEx>
          <w:tblCellMar>
            <w:top w:w="0" w:type="dxa"/>
            <w:left w:w="0" w:type="dxa"/>
            <w:bottom w:w="0" w:type="dxa"/>
            <w:right w:w="0" w:type="dxa"/>
          </w:tblCellMar>
        </w:tblPrEx>
        <w:trPr>
          <w:cantSplit/>
          <w:trHeight w:val="375" w:hRule="atLeast"/>
        </w:trPr>
        <w:tc>
          <w:tcPr>
            <w:tcW w:w="1504" w:type="dxa"/>
            <w:vMerge w:val="restart"/>
            <w:tcBorders>
              <w:top w:val="single" w:color="auto" w:sz="4" w:space="0"/>
              <w:left w:val="single" w:color="auto" w:sz="4" w:space="0"/>
              <w:bottom w:val="single" w:color="auto" w:sz="4" w:space="0"/>
              <w:right w:val="single" w:color="auto" w:sz="4" w:space="0"/>
              <w:tl2br w:val="nil"/>
              <w:tr2bl w:val="nil"/>
            </w:tcBorders>
            <w:shd w:val="clear" w:color="auto" w:fill="E0E0E0"/>
          </w:tcPr>
          <w:p w14:paraId="5F0B461F">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Normal Parameters</w:t>
            </w:r>
            <w:r>
              <w:rPr>
                <w:rFonts w:ascii="Times New Roman" w:hAnsi="Times New Roman" w:cs="Times New Roman"/>
                <w:color w:val="264A60"/>
                <w:sz w:val="15"/>
                <w:szCs w:val="15"/>
                <w:vertAlign w:val="superscript"/>
              </w:rPr>
              <w:t>a,b</w:t>
            </w:r>
          </w:p>
        </w:tc>
        <w:tc>
          <w:tcPr>
            <w:tcW w:w="1098"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37CB7EF1">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Mean</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C3CCA80">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.0000000</w:t>
            </w:r>
          </w:p>
        </w:tc>
      </w:tr>
      <w:tr w14:paraId="13FBC4E8">
        <w:tblPrEx>
          <w:tblCellMar>
            <w:top w:w="0" w:type="dxa"/>
            <w:left w:w="0" w:type="dxa"/>
            <w:bottom w:w="0" w:type="dxa"/>
            <w:right w:w="0" w:type="dxa"/>
          </w:tblCellMar>
        </w:tblPrEx>
        <w:trPr>
          <w:cantSplit/>
          <w:trHeight w:val="490" w:hRule="atLeast"/>
        </w:trPr>
        <w:tc>
          <w:tcPr>
            <w:tcW w:w="1504"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5AE7AFB0">
            <w:pPr>
              <w:spacing w:line="240" w:lineRule="auto"/>
              <w:rPr>
                <w:rFonts w:ascii="Times New Roman" w:hAnsi="Times New Roman" w:cs="Times New Roman"/>
                <w:color w:val="010205"/>
                <w:sz w:val="15"/>
                <w:szCs w:val="15"/>
              </w:rPr>
            </w:pPr>
          </w:p>
        </w:tc>
        <w:tc>
          <w:tcPr>
            <w:tcW w:w="1098"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180B3B1E">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Std. Deviation</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66491BA">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.44365532</w:t>
            </w:r>
          </w:p>
        </w:tc>
      </w:tr>
      <w:tr w14:paraId="3720EF9D">
        <w:tblPrEx>
          <w:tblCellMar>
            <w:top w:w="0" w:type="dxa"/>
            <w:left w:w="0" w:type="dxa"/>
            <w:bottom w:w="0" w:type="dxa"/>
            <w:right w:w="0" w:type="dxa"/>
          </w:tblCellMar>
        </w:tblPrEx>
        <w:trPr>
          <w:cantSplit/>
          <w:trHeight w:val="375" w:hRule="atLeast"/>
        </w:trPr>
        <w:tc>
          <w:tcPr>
            <w:tcW w:w="1504" w:type="dxa"/>
            <w:vMerge w:val="restart"/>
            <w:tcBorders>
              <w:top w:val="single" w:color="auto" w:sz="4" w:space="0"/>
              <w:left w:val="single" w:color="auto" w:sz="4" w:space="0"/>
              <w:bottom w:val="single" w:color="auto" w:sz="4" w:space="0"/>
              <w:right w:val="single" w:color="auto" w:sz="4" w:space="0"/>
              <w:tl2br w:val="nil"/>
              <w:tr2bl w:val="nil"/>
            </w:tcBorders>
            <w:shd w:val="clear" w:color="auto" w:fill="E0E0E0"/>
          </w:tcPr>
          <w:p w14:paraId="4416F7F1">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Most Extreme Differences</w:t>
            </w:r>
          </w:p>
        </w:tc>
        <w:tc>
          <w:tcPr>
            <w:tcW w:w="1098"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176FCED9">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Absolute</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C2B23E5">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.113</w:t>
            </w:r>
          </w:p>
        </w:tc>
      </w:tr>
      <w:tr w14:paraId="638F3F66">
        <w:tblPrEx>
          <w:tblCellMar>
            <w:top w:w="0" w:type="dxa"/>
            <w:left w:w="0" w:type="dxa"/>
            <w:bottom w:w="0" w:type="dxa"/>
            <w:right w:w="0" w:type="dxa"/>
          </w:tblCellMar>
        </w:tblPrEx>
        <w:trPr>
          <w:cantSplit/>
          <w:trHeight w:val="375" w:hRule="atLeast"/>
        </w:trPr>
        <w:tc>
          <w:tcPr>
            <w:tcW w:w="1504"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6AE29E5C">
            <w:pPr>
              <w:spacing w:line="240" w:lineRule="auto"/>
              <w:rPr>
                <w:rFonts w:ascii="Times New Roman" w:hAnsi="Times New Roman" w:cs="Times New Roman"/>
                <w:color w:val="010205"/>
                <w:sz w:val="15"/>
                <w:szCs w:val="15"/>
              </w:rPr>
            </w:pPr>
          </w:p>
        </w:tc>
        <w:tc>
          <w:tcPr>
            <w:tcW w:w="1098"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209BAC8E">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Positive</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64D2F6C">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.064</w:t>
            </w:r>
          </w:p>
        </w:tc>
      </w:tr>
      <w:tr w14:paraId="6C7DF866">
        <w:tblPrEx>
          <w:tblCellMar>
            <w:top w:w="0" w:type="dxa"/>
            <w:left w:w="0" w:type="dxa"/>
            <w:bottom w:w="0" w:type="dxa"/>
            <w:right w:w="0" w:type="dxa"/>
          </w:tblCellMar>
        </w:tblPrEx>
        <w:trPr>
          <w:cantSplit/>
          <w:trHeight w:val="375" w:hRule="atLeast"/>
        </w:trPr>
        <w:tc>
          <w:tcPr>
            <w:tcW w:w="1504"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6875C9B8">
            <w:pPr>
              <w:spacing w:line="240" w:lineRule="auto"/>
              <w:rPr>
                <w:rFonts w:ascii="Times New Roman" w:hAnsi="Times New Roman" w:cs="Times New Roman"/>
                <w:color w:val="010205"/>
                <w:sz w:val="15"/>
                <w:szCs w:val="15"/>
              </w:rPr>
            </w:pPr>
          </w:p>
        </w:tc>
        <w:tc>
          <w:tcPr>
            <w:tcW w:w="1098"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730F077A">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Negative</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FF2673A">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-.113</w:t>
            </w:r>
          </w:p>
        </w:tc>
      </w:tr>
      <w:tr w14:paraId="77DC3A6B">
        <w:tblPrEx>
          <w:tblCellMar>
            <w:top w:w="0" w:type="dxa"/>
            <w:left w:w="0" w:type="dxa"/>
            <w:bottom w:w="0" w:type="dxa"/>
            <w:right w:w="0" w:type="dxa"/>
          </w:tblCellMar>
        </w:tblPrEx>
        <w:trPr>
          <w:cantSplit/>
          <w:trHeight w:val="375" w:hRule="atLeast"/>
        </w:trPr>
        <w:tc>
          <w:tcPr>
            <w:tcW w:w="2602" w:type="dxa"/>
            <w:gridSpan w:val="2"/>
            <w:tcBorders>
              <w:top w:val="single" w:color="auto" w:sz="4" w:space="0"/>
              <w:left w:val="single" w:color="auto" w:sz="4" w:space="0"/>
              <w:bottom w:val="single" w:color="auto" w:sz="4" w:space="0"/>
              <w:right w:val="single" w:color="auto" w:sz="4" w:space="0"/>
              <w:tl2br w:val="nil"/>
              <w:tr2bl w:val="nil"/>
            </w:tcBorders>
            <w:shd w:val="clear" w:color="auto" w:fill="E0E0E0"/>
          </w:tcPr>
          <w:p w14:paraId="0E944D5C">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Test Statistic</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4D0A369">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.113</w:t>
            </w:r>
          </w:p>
        </w:tc>
      </w:tr>
      <w:tr w14:paraId="40F0BDE8">
        <w:tblPrEx>
          <w:tblCellMar>
            <w:top w:w="0" w:type="dxa"/>
            <w:left w:w="0" w:type="dxa"/>
            <w:bottom w:w="0" w:type="dxa"/>
            <w:right w:w="0" w:type="dxa"/>
          </w:tblCellMar>
        </w:tblPrEx>
        <w:trPr>
          <w:cantSplit/>
          <w:trHeight w:val="385" w:hRule="atLeast"/>
        </w:trPr>
        <w:tc>
          <w:tcPr>
            <w:tcW w:w="2602" w:type="dxa"/>
            <w:gridSpan w:val="2"/>
            <w:tcBorders>
              <w:top w:val="single" w:color="auto" w:sz="4" w:space="0"/>
              <w:left w:val="single" w:color="auto" w:sz="4" w:space="0"/>
              <w:bottom w:val="single" w:color="auto" w:sz="4" w:space="0"/>
              <w:right w:val="single" w:color="auto" w:sz="4" w:space="0"/>
              <w:tl2br w:val="nil"/>
              <w:tr2bl w:val="nil"/>
            </w:tcBorders>
            <w:shd w:val="clear" w:color="auto" w:fill="E0E0E0"/>
          </w:tcPr>
          <w:p w14:paraId="3B1C2CFD">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Asymp. Sig. (2-tailed)</w:t>
            </w:r>
            <w:r>
              <w:rPr>
                <w:rFonts w:ascii="Times New Roman" w:hAnsi="Times New Roman" w:cs="Times New Roman"/>
                <w:color w:val="264A60"/>
                <w:sz w:val="15"/>
                <w:szCs w:val="15"/>
                <w:vertAlign w:val="superscript"/>
              </w:rPr>
              <w:t>c</w:t>
            </w:r>
          </w:p>
        </w:tc>
        <w:tc>
          <w:tcPr>
            <w:tcW w:w="133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74CC273">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.056</w:t>
            </w:r>
          </w:p>
        </w:tc>
      </w:tr>
    </w:tbl>
    <w:p w14:paraId="64BB44B3">
      <w:pPr>
        <w:spacing w:line="240" w:lineRule="auto"/>
        <w:rPr>
          <w:rFonts w:hint="default"/>
          <w:sz w:val="22"/>
          <w:szCs w:val="22"/>
          <w:lang w:val="id-ID"/>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22036732">
      <w:pPr>
        <w:pStyle w:val="21"/>
        <w:spacing w:before="0" w:after="0" w:line="240" w:lineRule="auto"/>
        <w:ind w:firstLine="284"/>
        <w:jc w:val="both"/>
        <w:rPr>
          <w:rFonts w:hint="default"/>
          <w:b w:val="0"/>
          <w:sz w:val="22"/>
          <w:szCs w:val="22"/>
          <w:lang w:val="en-US"/>
        </w:rPr>
      </w:pPr>
      <w:r>
        <w:rPr>
          <w:rFonts w:hint="default"/>
          <w:b w:val="0"/>
          <w:sz w:val="22"/>
          <w:szCs w:val="22"/>
          <w:lang w:val="en-US"/>
        </w:rPr>
        <w:t xml:space="preserve">Tabel di atas merupakan hasil pengujian normalitas residual yang menggunakan </w:t>
      </w:r>
      <w:r>
        <w:rPr>
          <w:rFonts w:hint="default"/>
          <w:b w:val="0"/>
          <w:i/>
          <w:iCs/>
          <w:sz w:val="22"/>
          <w:szCs w:val="22"/>
          <w:lang w:val="en-US"/>
        </w:rPr>
        <w:t>One Sampel Kolmogrov Smirnov</w:t>
      </w:r>
      <w:r>
        <w:rPr>
          <w:rFonts w:hint="default"/>
          <w:b w:val="0"/>
          <w:sz w:val="22"/>
          <w:szCs w:val="22"/>
          <w:lang w:val="en-US"/>
        </w:rPr>
        <w:t xml:space="preserve"> (K.S) pada SPSS 27 didapatkan bahwa nilai Asymp. Sig. </w:t>
      </w:r>
      <w:r>
        <w:rPr>
          <w:rFonts w:hint="default"/>
          <w:b w:val="0"/>
          <w:i/>
          <w:iCs/>
          <w:sz w:val="22"/>
          <w:szCs w:val="22"/>
          <w:lang w:val="en-US"/>
        </w:rPr>
        <w:t>(2-tailed)</w:t>
      </w:r>
      <w:r>
        <w:rPr>
          <w:rFonts w:hint="default"/>
          <w:b w:val="0"/>
          <w:sz w:val="22"/>
          <w:szCs w:val="22"/>
          <w:lang w:val="en-US"/>
        </w:rPr>
        <w:t xml:space="preserve"> untuk </w:t>
      </w:r>
      <w:r>
        <w:rPr>
          <w:rFonts w:hint="default"/>
          <w:b w:val="0"/>
          <w:i/>
          <w:iCs/>
          <w:sz w:val="22"/>
          <w:szCs w:val="22"/>
          <w:lang w:val="en-US"/>
        </w:rPr>
        <w:t>Unstandardized Residual</w:t>
      </w:r>
      <w:r>
        <w:rPr>
          <w:rFonts w:hint="default"/>
          <w:b w:val="0"/>
          <w:sz w:val="22"/>
          <w:szCs w:val="22"/>
          <w:lang w:val="en-US"/>
        </w:rPr>
        <w:t xml:space="preserve"> adalah sebesar 0,56. Hal ini dapat ditarik kesimpulan bahwa data yang diambil terdistribusi normal.</w:t>
      </w:r>
    </w:p>
    <w:p w14:paraId="3CE8C609">
      <w:pPr>
        <w:pStyle w:val="21"/>
        <w:spacing w:before="0" w:after="0" w:line="240" w:lineRule="auto"/>
        <w:ind w:firstLine="284"/>
        <w:jc w:val="both"/>
        <w:rPr>
          <w:rFonts w:hint="default"/>
          <w:b w:val="0"/>
          <w:sz w:val="22"/>
          <w:szCs w:val="22"/>
          <w:lang w:val="en-US"/>
        </w:rPr>
      </w:pPr>
    </w:p>
    <w:p w14:paraId="5BF61FE5">
      <w:pPr>
        <w:pStyle w:val="21"/>
        <w:spacing w:before="0" w:after="0" w:line="240" w:lineRule="auto"/>
        <w:jc w:val="both"/>
        <w:rPr>
          <w:rFonts w:hint="default"/>
          <w:sz w:val="22"/>
          <w:szCs w:val="22"/>
          <w:lang w:val="en-US"/>
        </w:rPr>
      </w:pPr>
      <w:r>
        <w:rPr>
          <w:rFonts w:hint="default"/>
          <w:sz w:val="22"/>
          <w:szCs w:val="22"/>
          <w:lang w:val="en-US"/>
        </w:rPr>
        <w:t xml:space="preserve">Uji Asumsi Klasik </w:t>
      </w:r>
    </w:p>
    <w:p w14:paraId="435AEAF1">
      <w:pPr>
        <w:pStyle w:val="21"/>
        <w:spacing w:before="0" w:after="0" w:line="240" w:lineRule="auto"/>
        <w:jc w:val="both"/>
        <w:rPr>
          <w:rFonts w:hint="default"/>
          <w:sz w:val="22"/>
          <w:szCs w:val="22"/>
          <w:lang w:val="en-US"/>
        </w:rPr>
      </w:pPr>
    </w:p>
    <w:p w14:paraId="1FF5FB96">
      <w:pPr>
        <w:pStyle w:val="21"/>
        <w:spacing w:before="0" w:after="0" w:line="240" w:lineRule="auto"/>
        <w:jc w:val="both"/>
        <w:rPr>
          <w:rFonts w:hint="default"/>
          <w:sz w:val="22"/>
          <w:szCs w:val="22"/>
          <w:lang w:val="en-US"/>
        </w:rPr>
      </w:pPr>
      <w:r>
        <w:rPr>
          <w:rFonts w:hint="default"/>
          <w:sz w:val="22"/>
          <w:szCs w:val="22"/>
          <w:lang w:val="en-US"/>
        </w:rPr>
        <w:t xml:space="preserve">Uji Multikolinearitas </w:t>
      </w:r>
    </w:p>
    <w:p w14:paraId="4FF361BC">
      <w:pPr>
        <w:pStyle w:val="22"/>
        <w:jc w:val="center"/>
        <w:rPr>
          <w:rFonts w:hint="default"/>
          <w:b/>
          <w:bCs/>
          <w:i w:val="0"/>
          <w:iCs w:val="0"/>
          <w:sz w:val="22"/>
          <w:szCs w:val="22"/>
          <w:lang w:val="en-US"/>
        </w:rPr>
      </w:pPr>
      <w:r>
        <w:rPr>
          <w:rFonts w:hint="default"/>
          <w:b/>
          <w:bCs/>
          <w:i w:val="0"/>
          <w:iCs w:val="0"/>
          <w:sz w:val="22"/>
          <w:szCs w:val="22"/>
          <w:lang w:val="en-US"/>
        </w:rPr>
        <w:t>Tabel 3</w:t>
      </w:r>
    </w:p>
    <w:p w14:paraId="04C19115">
      <w:pPr>
        <w:pStyle w:val="22"/>
        <w:jc w:val="center"/>
        <w:rPr>
          <w:rFonts w:hint="default"/>
          <w:b w:val="0"/>
          <w:sz w:val="22"/>
          <w:szCs w:val="22"/>
          <w:lang w:val="en-US"/>
        </w:rPr>
      </w:pPr>
      <w:r>
        <w:rPr>
          <w:rFonts w:hint="default"/>
          <w:b/>
          <w:bCs/>
          <w:i w:val="0"/>
          <w:iCs w:val="0"/>
          <w:sz w:val="22"/>
          <w:szCs w:val="22"/>
          <w:lang w:val="en-US"/>
        </w:rPr>
        <w:t xml:space="preserve">Hasil Uji Multikolinearitas </w:t>
      </w:r>
    </w:p>
    <w:tbl>
      <w:tblPr>
        <w:tblStyle w:val="3"/>
        <w:tblpPr w:leftFromText="180" w:rightFromText="180" w:vertAnchor="text" w:horzAnchor="page" w:tblpX="6359" w:tblpY="52"/>
        <w:tblOverlap w:val="never"/>
        <w:tblW w:w="4007" w:type="dxa"/>
        <w:tblInd w:w="0" w:type="dxa"/>
        <w:tblLayout w:type="fixed"/>
        <w:tblCellMar>
          <w:top w:w="0" w:type="dxa"/>
          <w:left w:w="0" w:type="dxa"/>
          <w:bottom w:w="0" w:type="dxa"/>
          <w:right w:w="0" w:type="dxa"/>
        </w:tblCellMar>
      </w:tblPr>
      <w:tblGrid>
        <w:gridCol w:w="572"/>
        <w:gridCol w:w="750"/>
        <w:gridCol w:w="1171"/>
        <w:gridCol w:w="1514"/>
      </w:tblGrid>
      <w:tr w14:paraId="5821710D">
        <w:tblPrEx>
          <w:tblCellMar>
            <w:top w:w="0" w:type="dxa"/>
            <w:left w:w="0" w:type="dxa"/>
            <w:bottom w:w="0" w:type="dxa"/>
            <w:right w:w="0" w:type="dxa"/>
          </w:tblCellMar>
        </w:tblPrEx>
        <w:trPr>
          <w:cantSplit/>
          <w:trHeight w:val="326" w:hRule="atLeast"/>
        </w:trPr>
        <w:tc>
          <w:tcPr>
            <w:tcW w:w="4007"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61A0CBE1">
            <w:pPr>
              <w:spacing w:line="240" w:lineRule="auto"/>
              <w:ind w:left="60" w:right="60"/>
              <w:jc w:val="center"/>
              <w:rPr>
                <w:rFonts w:ascii="Arial" w:hAnsi="Arial"/>
                <w:color w:val="010205"/>
                <w:sz w:val="15"/>
                <w:szCs w:val="15"/>
              </w:rPr>
            </w:pPr>
            <w:r>
              <w:rPr>
                <w:rFonts w:ascii="Arial" w:hAnsi="Arial"/>
                <w:b/>
                <w:color w:val="010205"/>
                <w:sz w:val="15"/>
                <w:szCs w:val="15"/>
              </w:rPr>
              <w:t>Coefficients</w:t>
            </w:r>
            <w:r>
              <w:rPr>
                <w:rFonts w:ascii="Arial" w:hAnsi="Arial"/>
                <w:b/>
                <w:color w:val="010205"/>
                <w:sz w:val="15"/>
                <w:szCs w:val="15"/>
                <w:vertAlign w:val="superscript"/>
              </w:rPr>
              <w:t>a</w:t>
            </w:r>
          </w:p>
        </w:tc>
      </w:tr>
      <w:tr w14:paraId="7E7429F5">
        <w:tblPrEx>
          <w:tblCellMar>
            <w:top w:w="0" w:type="dxa"/>
            <w:left w:w="0" w:type="dxa"/>
            <w:bottom w:w="0" w:type="dxa"/>
            <w:right w:w="0" w:type="dxa"/>
          </w:tblCellMar>
        </w:tblPrEx>
        <w:trPr>
          <w:cantSplit/>
          <w:trHeight w:val="241" w:hRule="atLeast"/>
        </w:trPr>
        <w:tc>
          <w:tcPr>
            <w:tcW w:w="1322" w:type="dxa"/>
            <w:gridSpan w:val="2"/>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5FD4EA2">
            <w:pPr>
              <w:spacing w:line="240" w:lineRule="auto"/>
              <w:ind w:left="60" w:right="60"/>
              <w:rPr>
                <w:rFonts w:ascii="Arial" w:hAnsi="Arial"/>
                <w:color w:val="264A60"/>
                <w:sz w:val="15"/>
                <w:szCs w:val="15"/>
              </w:rPr>
            </w:pPr>
            <w:r>
              <w:rPr>
                <w:rFonts w:ascii="Arial" w:hAnsi="Arial"/>
                <w:color w:val="264A60"/>
                <w:sz w:val="15"/>
                <w:szCs w:val="15"/>
              </w:rPr>
              <w:t>Model</w:t>
            </w:r>
          </w:p>
        </w:tc>
        <w:tc>
          <w:tcPr>
            <w:tcW w:w="2685" w:type="dxa"/>
            <w:gridSpan w:val="2"/>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9FC0DEF">
            <w:pPr>
              <w:spacing w:line="240" w:lineRule="auto"/>
              <w:ind w:left="60" w:right="60"/>
              <w:jc w:val="center"/>
              <w:rPr>
                <w:rFonts w:ascii="Arial" w:hAnsi="Arial"/>
                <w:color w:val="264A60"/>
                <w:sz w:val="15"/>
                <w:szCs w:val="15"/>
              </w:rPr>
            </w:pPr>
            <w:r>
              <w:rPr>
                <w:rFonts w:ascii="Arial" w:hAnsi="Arial"/>
                <w:color w:val="264A60"/>
                <w:sz w:val="15"/>
                <w:szCs w:val="15"/>
              </w:rPr>
              <w:t>Collinearity Statistics</w:t>
            </w:r>
          </w:p>
        </w:tc>
      </w:tr>
      <w:tr w14:paraId="12237BE3">
        <w:tblPrEx>
          <w:tblCellMar>
            <w:top w:w="0" w:type="dxa"/>
            <w:left w:w="0" w:type="dxa"/>
            <w:bottom w:w="0" w:type="dxa"/>
            <w:right w:w="0" w:type="dxa"/>
          </w:tblCellMar>
        </w:tblPrEx>
        <w:trPr>
          <w:cantSplit/>
          <w:trHeight w:val="326" w:hRule="atLeast"/>
        </w:trPr>
        <w:tc>
          <w:tcPr>
            <w:tcW w:w="1322" w:type="dxa"/>
            <w:gridSpan w:val="2"/>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38678AB">
            <w:pPr>
              <w:spacing w:line="240" w:lineRule="auto"/>
              <w:rPr>
                <w:rFonts w:ascii="Arial" w:hAnsi="Arial"/>
                <w:color w:val="264A60"/>
                <w:sz w:val="15"/>
                <w:szCs w:val="15"/>
              </w:rPr>
            </w:pPr>
          </w:p>
        </w:tc>
        <w:tc>
          <w:tcPr>
            <w:tcW w:w="1171"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C077AE5">
            <w:pPr>
              <w:spacing w:line="240" w:lineRule="auto"/>
              <w:ind w:left="60" w:right="60"/>
              <w:jc w:val="center"/>
              <w:rPr>
                <w:rFonts w:ascii="Arial" w:hAnsi="Arial"/>
                <w:color w:val="264A60"/>
                <w:sz w:val="15"/>
                <w:szCs w:val="15"/>
              </w:rPr>
            </w:pPr>
            <w:r>
              <w:rPr>
                <w:rFonts w:ascii="Arial" w:hAnsi="Arial"/>
                <w:color w:val="264A60"/>
                <w:sz w:val="15"/>
                <w:szCs w:val="15"/>
              </w:rPr>
              <w:t>Tolerance</w:t>
            </w:r>
          </w:p>
        </w:tc>
        <w:tc>
          <w:tcPr>
            <w:tcW w:w="1514"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12477E6">
            <w:pPr>
              <w:spacing w:line="240" w:lineRule="auto"/>
              <w:ind w:left="60" w:right="60"/>
              <w:jc w:val="center"/>
              <w:rPr>
                <w:rFonts w:ascii="Arial" w:hAnsi="Arial"/>
                <w:color w:val="264A60"/>
                <w:sz w:val="15"/>
                <w:szCs w:val="15"/>
              </w:rPr>
            </w:pPr>
            <w:r>
              <w:rPr>
                <w:rFonts w:ascii="Arial" w:hAnsi="Arial"/>
                <w:color w:val="264A60"/>
                <w:sz w:val="15"/>
                <w:szCs w:val="15"/>
              </w:rPr>
              <w:t>VIF</w:t>
            </w:r>
          </w:p>
        </w:tc>
      </w:tr>
      <w:tr w14:paraId="406BEB18">
        <w:tblPrEx>
          <w:tblCellMar>
            <w:top w:w="0" w:type="dxa"/>
            <w:left w:w="0" w:type="dxa"/>
            <w:bottom w:w="0" w:type="dxa"/>
            <w:right w:w="0" w:type="dxa"/>
          </w:tblCellMar>
        </w:tblPrEx>
        <w:trPr>
          <w:cantSplit/>
          <w:trHeight w:val="346" w:hRule="atLeast"/>
        </w:trPr>
        <w:tc>
          <w:tcPr>
            <w:tcW w:w="572" w:type="dxa"/>
            <w:vMerge w:val="restart"/>
            <w:tcBorders>
              <w:top w:val="single" w:color="auto" w:sz="4" w:space="0"/>
              <w:left w:val="single" w:color="auto" w:sz="4" w:space="0"/>
              <w:bottom w:val="single" w:color="auto" w:sz="4" w:space="0"/>
              <w:right w:val="single" w:color="auto" w:sz="4" w:space="0"/>
              <w:tl2br w:val="nil"/>
              <w:tr2bl w:val="nil"/>
            </w:tcBorders>
            <w:shd w:val="clear" w:color="auto" w:fill="E0E0E0"/>
          </w:tcPr>
          <w:p w14:paraId="6D27AEB0">
            <w:pPr>
              <w:spacing w:line="240" w:lineRule="auto"/>
              <w:ind w:left="60" w:right="60"/>
              <w:rPr>
                <w:rFonts w:ascii="Arial" w:hAnsi="Arial"/>
                <w:color w:val="264A60"/>
                <w:sz w:val="15"/>
                <w:szCs w:val="15"/>
              </w:rPr>
            </w:pPr>
            <w:r>
              <w:rPr>
                <w:rFonts w:ascii="Arial" w:hAnsi="Arial"/>
                <w:color w:val="264A60"/>
                <w:sz w:val="15"/>
                <w:szCs w:val="15"/>
              </w:rPr>
              <w:t>1</w:t>
            </w:r>
          </w:p>
        </w:tc>
        <w:tc>
          <w:tcPr>
            <w:tcW w:w="750"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529B1AAB">
            <w:pPr>
              <w:spacing w:line="240" w:lineRule="auto"/>
              <w:ind w:left="60" w:right="60"/>
              <w:rPr>
                <w:rFonts w:ascii="Arial" w:hAnsi="Arial"/>
                <w:color w:val="264A60"/>
                <w:sz w:val="15"/>
                <w:szCs w:val="15"/>
              </w:rPr>
            </w:pPr>
            <w:r>
              <w:rPr>
                <w:rFonts w:ascii="Arial" w:hAnsi="Arial"/>
                <w:color w:val="264A60"/>
                <w:sz w:val="15"/>
                <w:szCs w:val="15"/>
              </w:rPr>
              <w:t>ETR_X1</w:t>
            </w:r>
          </w:p>
        </w:tc>
        <w:tc>
          <w:tcPr>
            <w:tcW w:w="1171"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522F6DE">
            <w:pPr>
              <w:spacing w:line="240" w:lineRule="auto"/>
              <w:ind w:left="60" w:right="60"/>
              <w:jc w:val="right"/>
              <w:rPr>
                <w:rFonts w:ascii="Arial" w:hAnsi="Arial"/>
                <w:color w:val="010205"/>
                <w:sz w:val="15"/>
                <w:szCs w:val="15"/>
              </w:rPr>
            </w:pPr>
            <w:r>
              <w:rPr>
                <w:rFonts w:ascii="Arial" w:hAnsi="Arial"/>
                <w:color w:val="010205"/>
                <w:sz w:val="15"/>
                <w:szCs w:val="15"/>
              </w:rPr>
              <w:t>.937</w:t>
            </w:r>
          </w:p>
        </w:tc>
        <w:tc>
          <w:tcPr>
            <w:tcW w:w="1514"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8BC0B38">
            <w:pPr>
              <w:spacing w:line="240" w:lineRule="auto"/>
              <w:ind w:left="60" w:right="60"/>
              <w:jc w:val="right"/>
              <w:rPr>
                <w:rFonts w:ascii="Arial" w:hAnsi="Arial"/>
                <w:color w:val="010205"/>
                <w:sz w:val="15"/>
                <w:szCs w:val="15"/>
              </w:rPr>
            </w:pPr>
            <w:r>
              <w:rPr>
                <w:rFonts w:ascii="Arial" w:hAnsi="Arial"/>
                <w:color w:val="010205"/>
                <w:sz w:val="15"/>
                <w:szCs w:val="15"/>
              </w:rPr>
              <w:t>1.068</w:t>
            </w:r>
          </w:p>
        </w:tc>
      </w:tr>
      <w:tr w14:paraId="6BECC692">
        <w:tblPrEx>
          <w:tblCellMar>
            <w:top w:w="0" w:type="dxa"/>
            <w:left w:w="0" w:type="dxa"/>
            <w:bottom w:w="0" w:type="dxa"/>
            <w:right w:w="0" w:type="dxa"/>
          </w:tblCellMar>
        </w:tblPrEx>
        <w:trPr>
          <w:cantSplit/>
          <w:trHeight w:val="346" w:hRule="atLeast"/>
        </w:trPr>
        <w:tc>
          <w:tcPr>
            <w:tcW w:w="572"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071C65E2">
            <w:pPr>
              <w:spacing w:line="240" w:lineRule="auto"/>
              <w:rPr>
                <w:rFonts w:ascii="Arial" w:hAnsi="Arial"/>
                <w:color w:val="010205"/>
                <w:sz w:val="15"/>
                <w:szCs w:val="15"/>
              </w:rPr>
            </w:pPr>
          </w:p>
        </w:tc>
        <w:tc>
          <w:tcPr>
            <w:tcW w:w="750"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3C70DE58">
            <w:pPr>
              <w:spacing w:line="240" w:lineRule="auto"/>
              <w:ind w:left="60" w:right="60"/>
              <w:rPr>
                <w:rFonts w:ascii="Arial" w:hAnsi="Arial"/>
                <w:color w:val="264A60"/>
                <w:sz w:val="15"/>
                <w:szCs w:val="15"/>
              </w:rPr>
            </w:pPr>
            <w:r>
              <w:rPr>
                <w:rFonts w:ascii="Arial" w:hAnsi="Arial"/>
                <w:color w:val="264A60"/>
                <w:sz w:val="15"/>
                <w:szCs w:val="15"/>
              </w:rPr>
              <w:t>PER_X2</w:t>
            </w:r>
          </w:p>
        </w:tc>
        <w:tc>
          <w:tcPr>
            <w:tcW w:w="1171"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9BA1A69">
            <w:pPr>
              <w:spacing w:line="240" w:lineRule="auto"/>
              <w:ind w:left="60" w:right="60"/>
              <w:jc w:val="right"/>
              <w:rPr>
                <w:rFonts w:ascii="Arial" w:hAnsi="Arial"/>
                <w:color w:val="010205"/>
                <w:sz w:val="15"/>
                <w:szCs w:val="15"/>
              </w:rPr>
            </w:pPr>
            <w:r>
              <w:rPr>
                <w:rFonts w:ascii="Arial" w:hAnsi="Arial"/>
                <w:color w:val="010205"/>
                <w:sz w:val="15"/>
                <w:szCs w:val="15"/>
              </w:rPr>
              <w:t>.913</w:t>
            </w:r>
          </w:p>
        </w:tc>
        <w:tc>
          <w:tcPr>
            <w:tcW w:w="1514"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0486D9E">
            <w:pPr>
              <w:spacing w:line="240" w:lineRule="auto"/>
              <w:ind w:left="60" w:right="60"/>
              <w:jc w:val="right"/>
              <w:rPr>
                <w:rFonts w:ascii="Arial" w:hAnsi="Arial"/>
                <w:color w:val="010205"/>
                <w:sz w:val="15"/>
                <w:szCs w:val="15"/>
              </w:rPr>
            </w:pPr>
            <w:r>
              <w:rPr>
                <w:rFonts w:ascii="Arial" w:hAnsi="Arial"/>
                <w:color w:val="010205"/>
                <w:sz w:val="15"/>
                <w:szCs w:val="15"/>
              </w:rPr>
              <w:t>1.095</w:t>
            </w:r>
          </w:p>
        </w:tc>
      </w:tr>
      <w:tr w14:paraId="3658B75B">
        <w:tblPrEx>
          <w:tblCellMar>
            <w:top w:w="0" w:type="dxa"/>
            <w:left w:w="0" w:type="dxa"/>
            <w:bottom w:w="0" w:type="dxa"/>
            <w:right w:w="0" w:type="dxa"/>
          </w:tblCellMar>
        </w:tblPrEx>
        <w:trPr>
          <w:cantSplit/>
          <w:trHeight w:val="346" w:hRule="atLeast"/>
        </w:trPr>
        <w:tc>
          <w:tcPr>
            <w:tcW w:w="572"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1843B1D4">
            <w:pPr>
              <w:spacing w:line="240" w:lineRule="auto"/>
              <w:rPr>
                <w:rFonts w:ascii="Arial" w:hAnsi="Arial"/>
                <w:color w:val="010205"/>
                <w:sz w:val="15"/>
                <w:szCs w:val="15"/>
              </w:rPr>
            </w:pPr>
          </w:p>
        </w:tc>
        <w:tc>
          <w:tcPr>
            <w:tcW w:w="750"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0A5401C6">
            <w:pPr>
              <w:spacing w:line="240" w:lineRule="auto"/>
              <w:ind w:left="60" w:right="60"/>
              <w:rPr>
                <w:rFonts w:ascii="Arial" w:hAnsi="Arial"/>
                <w:color w:val="264A60"/>
                <w:sz w:val="15"/>
                <w:szCs w:val="15"/>
              </w:rPr>
            </w:pPr>
            <w:r>
              <w:rPr>
                <w:rFonts w:ascii="Arial" w:hAnsi="Arial"/>
                <w:color w:val="264A60"/>
                <w:sz w:val="15"/>
                <w:szCs w:val="15"/>
              </w:rPr>
              <w:t>CH_X3</w:t>
            </w:r>
          </w:p>
        </w:tc>
        <w:tc>
          <w:tcPr>
            <w:tcW w:w="1171"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D89F0D7">
            <w:pPr>
              <w:spacing w:line="240" w:lineRule="auto"/>
              <w:ind w:left="60" w:right="60"/>
              <w:jc w:val="right"/>
              <w:rPr>
                <w:rFonts w:ascii="Arial" w:hAnsi="Arial"/>
                <w:color w:val="010205"/>
                <w:sz w:val="15"/>
                <w:szCs w:val="15"/>
              </w:rPr>
            </w:pPr>
            <w:r>
              <w:rPr>
                <w:rFonts w:ascii="Arial" w:hAnsi="Arial"/>
                <w:color w:val="010205"/>
                <w:sz w:val="15"/>
                <w:szCs w:val="15"/>
              </w:rPr>
              <w:t>.934</w:t>
            </w:r>
          </w:p>
        </w:tc>
        <w:tc>
          <w:tcPr>
            <w:tcW w:w="1514"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4609418">
            <w:pPr>
              <w:spacing w:line="240" w:lineRule="auto"/>
              <w:ind w:left="60" w:right="60"/>
              <w:jc w:val="right"/>
              <w:rPr>
                <w:rFonts w:ascii="Arial" w:hAnsi="Arial"/>
                <w:color w:val="010205"/>
                <w:sz w:val="15"/>
                <w:szCs w:val="15"/>
              </w:rPr>
            </w:pPr>
            <w:r>
              <w:rPr>
                <w:rFonts w:ascii="Arial" w:hAnsi="Arial"/>
                <w:color w:val="010205"/>
                <w:sz w:val="15"/>
                <w:szCs w:val="15"/>
              </w:rPr>
              <w:t>1.070</w:t>
            </w:r>
          </w:p>
        </w:tc>
      </w:tr>
      <w:tr w14:paraId="7D2A0E84">
        <w:tblPrEx>
          <w:tblCellMar>
            <w:top w:w="0" w:type="dxa"/>
            <w:left w:w="0" w:type="dxa"/>
            <w:bottom w:w="0" w:type="dxa"/>
            <w:right w:w="0" w:type="dxa"/>
          </w:tblCellMar>
        </w:tblPrEx>
        <w:trPr>
          <w:cantSplit/>
          <w:trHeight w:val="318" w:hRule="atLeast"/>
        </w:trPr>
        <w:tc>
          <w:tcPr>
            <w:tcW w:w="4007"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tcPr>
          <w:p w14:paraId="5196D39E">
            <w:pPr>
              <w:spacing w:line="240" w:lineRule="auto"/>
              <w:ind w:left="60" w:right="60"/>
              <w:rPr>
                <w:rFonts w:ascii="Arial" w:hAnsi="Arial"/>
                <w:color w:val="010205"/>
                <w:sz w:val="15"/>
                <w:szCs w:val="15"/>
              </w:rPr>
            </w:pPr>
            <w:r>
              <w:rPr>
                <w:rFonts w:ascii="Arial" w:hAnsi="Arial"/>
                <w:color w:val="010205"/>
                <w:sz w:val="15"/>
                <w:szCs w:val="15"/>
              </w:rPr>
              <w:t>a. Dependent Variable: PBV_Y</w:t>
            </w:r>
          </w:p>
        </w:tc>
      </w:tr>
    </w:tbl>
    <w:p w14:paraId="524914E4">
      <w:pPr>
        <w:spacing w:line="240" w:lineRule="auto"/>
        <w:rPr>
          <w:rFonts w:hint="default"/>
          <w:sz w:val="22"/>
          <w:szCs w:val="22"/>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4F733A31">
      <w:pPr>
        <w:pStyle w:val="21"/>
        <w:spacing w:before="0" w:after="0" w:line="240" w:lineRule="auto"/>
        <w:ind w:firstLine="284"/>
        <w:jc w:val="both"/>
        <w:rPr>
          <w:rFonts w:hint="default"/>
          <w:i w:val="0"/>
          <w:iCs w:val="0"/>
          <w:sz w:val="22"/>
          <w:szCs w:val="22"/>
          <w:lang w:val="en-US"/>
        </w:rPr>
      </w:pPr>
      <w:r>
        <w:rPr>
          <w:rFonts w:hint="default"/>
          <w:b w:val="0"/>
          <w:sz w:val="22"/>
          <w:szCs w:val="22"/>
          <w:lang w:val="en-US"/>
        </w:rPr>
        <w:t xml:space="preserve"> Pada tabel 3, dapat dilihat nilai multikolinearitas menunjukkan nilai </w:t>
      </w:r>
      <w:r>
        <w:rPr>
          <w:rFonts w:hint="default"/>
          <w:b w:val="0"/>
          <w:i/>
          <w:iCs/>
          <w:sz w:val="22"/>
          <w:szCs w:val="22"/>
          <w:lang w:val="en-US"/>
        </w:rPr>
        <w:t>Tolerance</w:t>
      </w:r>
      <w:r>
        <w:rPr>
          <w:rFonts w:hint="default"/>
          <w:b w:val="0"/>
          <w:sz w:val="22"/>
          <w:szCs w:val="22"/>
          <w:lang w:val="en-US"/>
        </w:rPr>
        <w:t xml:space="preserve"> dari perencanaan pajak (ETR), keputusan investasi (PER) dan </w:t>
      </w:r>
      <w:r>
        <w:rPr>
          <w:rFonts w:hint="default"/>
          <w:b w:val="0"/>
          <w:i/>
          <w:iCs/>
          <w:sz w:val="22"/>
          <w:szCs w:val="22"/>
          <w:lang w:val="en-US"/>
        </w:rPr>
        <w:t xml:space="preserve">cash holding </w:t>
      </w:r>
      <w:r>
        <w:rPr>
          <w:rFonts w:hint="default"/>
          <w:b w:val="0"/>
          <w:sz w:val="22"/>
          <w:szCs w:val="22"/>
          <w:lang w:val="en-US"/>
        </w:rPr>
        <w:t xml:space="preserve">(CH) yaitu 0,937, 0,913, 0,934 dan VIF 1,068, 1,095, 1,070, sehingga dapat dilakukan kesimpulan bahwa keseluruhan variabel pada penelitian ini tidak terjadi multikolinearitas karena masing-masing variabel memiliki nilai tolerance &gt; 0.1 dan nilai VIF &lt; 10.000 </w:t>
      </w:r>
    </w:p>
    <w:p w14:paraId="6992F17F">
      <w:pPr>
        <w:pStyle w:val="21"/>
        <w:spacing w:before="0" w:after="0" w:line="240" w:lineRule="auto"/>
        <w:jc w:val="both"/>
        <w:rPr>
          <w:rFonts w:hint="default"/>
          <w:b w:val="0"/>
          <w:sz w:val="22"/>
          <w:szCs w:val="22"/>
          <w:lang w:val="en-US"/>
        </w:rPr>
      </w:pPr>
    </w:p>
    <w:p w14:paraId="17E9C32C">
      <w:pPr>
        <w:pStyle w:val="21"/>
        <w:spacing w:before="0" w:after="0" w:line="240" w:lineRule="auto"/>
        <w:jc w:val="both"/>
        <w:rPr>
          <w:rFonts w:hint="default"/>
          <w:sz w:val="22"/>
          <w:szCs w:val="22"/>
          <w:lang w:val="en-US"/>
        </w:rPr>
      </w:pPr>
      <w:r>
        <w:rPr>
          <w:rFonts w:hint="default"/>
          <w:sz w:val="22"/>
          <w:szCs w:val="22"/>
          <w:lang w:val="en-US"/>
        </w:rPr>
        <w:t>Uji Heterokedastisitas</w:t>
      </w:r>
    </w:p>
    <w:tbl>
      <w:tblPr>
        <w:tblStyle w:val="3"/>
        <w:tblpPr w:leftFromText="180" w:rightFromText="180" w:vertAnchor="text" w:horzAnchor="page" w:tblpX="6453" w:tblpY="781"/>
        <w:tblOverlap w:val="never"/>
        <w:tblW w:w="4151" w:type="dxa"/>
        <w:tblInd w:w="0" w:type="dxa"/>
        <w:tblLayout w:type="fixed"/>
        <w:tblCellMar>
          <w:top w:w="0" w:type="dxa"/>
          <w:left w:w="0" w:type="dxa"/>
          <w:bottom w:w="0" w:type="dxa"/>
          <w:right w:w="0" w:type="dxa"/>
        </w:tblCellMar>
      </w:tblPr>
      <w:tblGrid>
        <w:gridCol w:w="269"/>
        <w:gridCol w:w="779"/>
        <w:gridCol w:w="618"/>
        <w:gridCol w:w="515"/>
        <w:gridCol w:w="985"/>
        <w:gridCol w:w="515"/>
        <w:gridCol w:w="470"/>
      </w:tblGrid>
      <w:tr w14:paraId="37FAD0F4">
        <w:tblPrEx>
          <w:tblCellMar>
            <w:top w:w="0" w:type="dxa"/>
            <w:left w:w="0" w:type="dxa"/>
            <w:bottom w:w="0" w:type="dxa"/>
            <w:right w:w="0" w:type="dxa"/>
          </w:tblCellMar>
        </w:tblPrEx>
        <w:trPr>
          <w:cantSplit/>
          <w:trHeight w:val="270" w:hRule="atLeast"/>
        </w:trPr>
        <w:tc>
          <w:tcPr>
            <w:tcW w:w="4151"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5BA00E0F">
            <w:pPr>
              <w:spacing w:line="240" w:lineRule="auto"/>
              <w:ind w:left="60" w:right="60"/>
              <w:jc w:val="center"/>
              <w:rPr>
                <w:rFonts w:ascii="Times New Roman" w:hAnsi="Times New Roman" w:cs="Times New Roman"/>
                <w:color w:val="010205"/>
                <w:sz w:val="16"/>
                <w:szCs w:val="16"/>
              </w:rPr>
            </w:pPr>
            <w:r>
              <w:rPr>
                <w:rFonts w:ascii="Times New Roman" w:hAnsi="Times New Roman" w:cs="Times New Roman"/>
                <w:b/>
                <w:color w:val="010205"/>
                <w:sz w:val="16"/>
                <w:szCs w:val="16"/>
              </w:rPr>
              <w:t>Coefficients</w:t>
            </w:r>
            <w:r>
              <w:rPr>
                <w:rFonts w:ascii="Times New Roman" w:hAnsi="Times New Roman" w:cs="Times New Roman"/>
                <w:b/>
                <w:color w:val="010205"/>
                <w:sz w:val="16"/>
                <w:szCs w:val="16"/>
                <w:vertAlign w:val="superscript"/>
              </w:rPr>
              <w:t>a</w:t>
            </w:r>
          </w:p>
        </w:tc>
      </w:tr>
      <w:tr w14:paraId="011F7C23">
        <w:tblPrEx>
          <w:tblCellMar>
            <w:top w:w="0" w:type="dxa"/>
            <w:left w:w="0" w:type="dxa"/>
            <w:bottom w:w="0" w:type="dxa"/>
            <w:right w:w="0" w:type="dxa"/>
          </w:tblCellMar>
        </w:tblPrEx>
        <w:trPr>
          <w:cantSplit/>
          <w:trHeight w:val="530" w:hRule="atLeast"/>
        </w:trPr>
        <w:tc>
          <w:tcPr>
            <w:tcW w:w="1048" w:type="dxa"/>
            <w:gridSpan w:val="2"/>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9FEBF96">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Model</w:t>
            </w:r>
          </w:p>
        </w:tc>
        <w:tc>
          <w:tcPr>
            <w:tcW w:w="1133" w:type="dxa"/>
            <w:gridSpan w:val="2"/>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D1CEE22">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Unstandardized Coefficients</w:t>
            </w:r>
          </w:p>
        </w:tc>
        <w:tc>
          <w:tcPr>
            <w:tcW w:w="98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4E132DCE">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Standardized Coefficients</w:t>
            </w:r>
          </w:p>
        </w:tc>
        <w:tc>
          <w:tcPr>
            <w:tcW w:w="515" w:type="dxa"/>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A8C0758">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t</w:t>
            </w:r>
          </w:p>
        </w:tc>
        <w:tc>
          <w:tcPr>
            <w:tcW w:w="470" w:type="dxa"/>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BBC7950">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Sig.</w:t>
            </w:r>
          </w:p>
        </w:tc>
      </w:tr>
      <w:tr w14:paraId="25FB6A2B">
        <w:tblPrEx>
          <w:tblCellMar>
            <w:top w:w="0" w:type="dxa"/>
            <w:left w:w="0" w:type="dxa"/>
            <w:bottom w:w="0" w:type="dxa"/>
            <w:right w:w="0" w:type="dxa"/>
          </w:tblCellMar>
        </w:tblPrEx>
        <w:trPr>
          <w:cantSplit/>
          <w:trHeight w:val="265" w:hRule="atLeast"/>
        </w:trPr>
        <w:tc>
          <w:tcPr>
            <w:tcW w:w="1048" w:type="dxa"/>
            <w:gridSpan w:val="2"/>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5F9EDF6">
            <w:pPr>
              <w:spacing w:line="240" w:lineRule="auto"/>
              <w:rPr>
                <w:rFonts w:ascii="Times New Roman" w:hAnsi="Times New Roman" w:cs="Times New Roman"/>
                <w:color w:val="264A60"/>
                <w:sz w:val="15"/>
                <w:szCs w:val="15"/>
              </w:rPr>
            </w:pPr>
          </w:p>
        </w:tc>
        <w:tc>
          <w:tcPr>
            <w:tcW w:w="618"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9CFE439">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B</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BB8640C">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Std. Error</w:t>
            </w:r>
          </w:p>
        </w:tc>
        <w:tc>
          <w:tcPr>
            <w:tcW w:w="98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238D682">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Beta</w:t>
            </w:r>
          </w:p>
        </w:tc>
        <w:tc>
          <w:tcPr>
            <w:tcW w:w="515"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B30C479">
            <w:pPr>
              <w:spacing w:line="240" w:lineRule="auto"/>
              <w:rPr>
                <w:rFonts w:ascii="Times New Roman" w:hAnsi="Times New Roman" w:cs="Times New Roman"/>
                <w:color w:val="264A60"/>
                <w:sz w:val="15"/>
                <w:szCs w:val="15"/>
              </w:rPr>
            </w:pPr>
          </w:p>
        </w:tc>
        <w:tc>
          <w:tcPr>
            <w:tcW w:w="470"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98A709A">
            <w:pPr>
              <w:spacing w:line="240" w:lineRule="auto"/>
              <w:rPr>
                <w:rFonts w:ascii="Times New Roman" w:hAnsi="Times New Roman" w:cs="Times New Roman"/>
                <w:color w:val="264A60"/>
                <w:sz w:val="15"/>
                <w:szCs w:val="15"/>
              </w:rPr>
            </w:pPr>
          </w:p>
        </w:tc>
      </w:tr>
      <w:tr w14:paraId="67A2B0A1">
        <w:tblPrEx>
          <w:tblCellMar>
            <w:top w:w="0" w:type="dxa"/>
            <w:left w:w="0" w:type="dxa"/>
            <w:bottom w:w="0" w:type="dxa"/>
            <w:right w:w="0" w:type="dxa"/>
          </w:tblCellMar>
        </w:tblPrEx>
        <w:trPr>
          <w:cantSplit/>
          <w:trHeight w:val="282" w:hRule="atLeast"/>
        </w:trPr>
        <w:tc>
          <w:tcPr>
            <w:tcW w:w="269" w:type="dxa"/>
            <w:vMerge w:val="restart"/>
            <w:tcBorders>
              <w:top w:val="single" w:color="auto" w:sz="4" w:space="0"/>
              <w:left w:val="single" w:color="auto" w:sz="4" w:space="0"/>
              <w:bottom w:val="single" w:color="auto" w:sz="4" w:space="0"/>
              <w:right w:val="single" w:color="auto" w:sz="4" w:space="0"/>
              <w:tl2br w:val="nil"/>
              <w:tr2bl w:val="nil"/>
            </w:tcBorders>
            <w:shd w:val="clear" w:color="auto" w:fill="E0E0E0"/>
          </w:tcPr>
          <w:p w14:paraId="3377A218">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1</w:t>
            </w: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25439C6A">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(Constant)</w:t>
            </w:r>
          </w:p>
        </w:tc>
        <w:tc>
          <w:tcPr>
            <w:tcW w:w="618"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1F0467C">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.174</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2D14E65">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.077</w:t>
            </w:r>
          </w:p>
        </w:tc>
        <w:tc>
          <w:tcPr>
            <w:tcW w:w="985"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5F0566DB">
            <w:pPr>
              <w:spacing w:line="240" w:lineRule="auto"/>
              <w:rPr>
                <w:rFonts w:ascii="Times New Roman" w:hAnsi="Times New Roman" w:cs="Times New Roman"/>
                <w:sz w:val="15"/>
                <w:szCs w:val="15"/>
              </w:rPr>
            </w:pP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AAD903D">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2.270</w:t>
            </w:r>
          </w:p>
        </w:tc>
        <w:tc>
          <w:tcPr>
            <w:tcW w:w="4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F07DC20">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.027</w:t>
            </w:r>
          </w:p>
        </w:tc>
      </w:tr>
      <w:tr w14:paraId="104B0347">
        <w:tblPrEx>
          <w:tblCellMar>
            <w:top w:w="0" w:type="dxa"/>
            <w:left w:w="0" w:type="dxa"/>
            <w:bottom w:w="0" w:type="dxa"/>
            <w:right w:w="0" w:type="dxa"/>
          </w:tblCellMar>
        </w:tblPrEx>
        <w:trPr>
          <w:cantSplit/>
          <w:trHeight w:val="282" w:hRule="atLeast"/>
        </w:trPr>
        <w:tc>
          <w:tcPr>
            <w:tcW w:w="269"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43277165">
            <w:pPr>
              <w:spacing w:line="240" w:lineRule="auto"/>
              <w:rPr>
                <w:rFonts w:ascii="Times New Roman" w:hAnsi="Times New Roman" w:cs="Times New Roman"/>
                <w:color w:val="010205"/>
                <w:sz w:val="15"/>
                <w:szCs w:val="15"/>
              </w:rPr>
            </w:pP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7DCA16D5">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ETR_X1</w:t>
            </w:r>
          </w:p>
        </w:tc>
        <w:tc>
          <w:tcPr>
            <w:tcW w:w="618"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76229BF">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.201</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E5B7A98">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.140</w:t>
            </w:r>
          </w:p>
        </w:tc>
        <w:tc>
          <w:tcPr>
            <w:tcW w:w="98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4420D6A">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.548</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059027C">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1.438</w:t>
            </w:r>
          </w:p>
        </w:tc>
        <w:tc>
          <w:tcPr>
            <w:tcW w:w="4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5BA9C4D">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.156</w:t>
            </w:r>
          </w:p>
        </w:tc>
      </w:tr>
      <w:tr w14:paraId="511F1F69">
        <w:tblPrEx>
          <w:tblCellMar>
            <w:top w:w="0" w:type="dxa"/>
            <w:left w:w="0" w:type="dxa"/>
            <w:bottom w:w="0" w:type="dxa"/>
            <w:right w:w="0" w:type="dxa"/>
          </w:tblCellMar>
        </w:tblPrEx>
        <w:trPr>
          <w:cantSplit/>
          <w:trHeight w:val="469" w:hRule="atLeast"/>
        </w:trPr>
        <w:tc>
          <w:tcPr>
            <w:tcW w:w="269"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418459AF">
            <w:pPr>
              <w:spacing w:line="240" w:lineRule="auto"/>
              <w:rPr>
                <w:rFonts w:ascii="Times New Roman" w:hAnsi="Times New Roman" w:cs="Times New Roman"/>
                <w:color w:val="010205"/>
                <w:sz w:val="15"/>
                <w:szCs w:val="15"/>
              </w:rPr>
            </w:pP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212D3FEF">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PER_X2</w:t>
            </w:r>
          </w:p>
        </w:tc>
        <w:tc>
          <w:tcPr>
            <w:tcW w:w="618"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770CEEA">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-.008</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41B388C">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.007</w:t>
            </w:r>
          </w:p>
        </w:tc>
        <w:tc>
          <w:tcPr>
            <w:tcW w:w="98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91A23F0">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-.351</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E468BC4">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-1.114</w:t>
            </w:r>
          </w:p>
        </w:tc>
        <w:tc>
          <w:tcPr>
            <w:tcW w:w="4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60FC336">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.270</w:t>
            </w:r>
          </w:p>
        </w:tc>
      </w:tr>
      <w:tr w14:paraId="337D4481">
        <w:tblPrEx>
          <w:tblCellMar>
            <w:top w:w="0" w:type="dxa"/>
            <w:left w:w="0" w:type="dxa"/>
            <w:bottom w:w="0" w:type="dxa"/>
            <w:right w:w="0" w:type="dxa"/>
          </w:tblCellMar>
        </w:tblPrEx>
        <w:trPr>
          <w:cantSplit/>
          <w:trHeight w:val="366" w:hRule="atLeast"/>
        </w:trPr>
        <w:tc>
          <w:tcPr>
            <w:tcW w:w="269"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36BD1B17">
            <w:pPr>
              <w:spacing w:line="240" w:lineRule="auto"/>
              <w:rPr>
                <w:rFonts w:ascii="Times New Roman" w:hAnsi="Times New Roman" w:cs="Times New Roman"/>
                <w:color w:val="010205"/>
                <w:sz w:val="15"/>
                <w:szCs w:val="15"/>
              </w:rPr>
            </w:pP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2AC26E93">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CH_X3</w:t>
            </w:r>
          </w:p>
        </w:tc>
        <w:tc>
          <w:tcPr>
            <w:tcW w:w="618"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2A26010">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-.021</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4AA06AC">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.076</w:t>
            </w:r>
          </w:p>
        </w:tc>
        <w:tc>
          <w:tcPr>
            <w:tcW w:w="98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2A9F7EA">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-.089</w:t>
            </w:r>
          </w:p>
        </w:tc>
        <w:tc>
          <w:tcPr>
            <w:tcW w:w="51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49552FA">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-.273</w:t>
            </w:r>
          </w:p>
        </w:tc>
        <w:tc>
          <w:tcPr>
            <w:tcW w:w="47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432DCF1">
            <w:pPr>
              <w:spacing w:line="240" w:lineRule="auto"/>
              <w:ind w:left="60" w:right="60"/>
              <w:jc w:val="right"/>
              <w:rPr>
                <w:rFonts w:ascii="Times New Roman" w:hAnsi="Times New Roman" w:cs="Times New Roman"/>
                <w:color w:val="010205"/>
                <w:sz w:val="15"/>
                <w:szCs w:val="15"/>
              </w:rPr>
            </w:pPr>
            <w:r>
              <w:rPr>
                <w:rFonts w:ascii="Times New Roman" w:hAnsi="Times New Roman" w:cs="Times New Roman"/>
                <w:color w:val="010205"/>
                <w:sz w:val="15"/>
                <w:szCs w:val="15"/>
              </w:rPr>
              <w:t>.785</w:t>
            </w:r>
          </w:p>
        </w:tc>
      </w:tr>
      <w:tr w14:paraId="267FB53B">
        <w:tblPrEx>
          <w:tblCellMar>
            <w:top w:w="0" w:type="dxa"/>
            <w:left w:w="0" w:type="dxa"/>
            <w:bottom w:w="0" w:type="dxa"/>
            <w:right w:w="0" w:type="dxa"/>
          </w:tblCellMar>
        </w:tblPrEx>
        <w:trPr>
          <w:cantSplit/>
          <w:trHeight w:val="282" w:hRule="atLeast"/>
        </w:trPr>
        <w:tc>
          <w:tcPr>
            <w:tcW w:w="4151"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tcPr>
          <w:p w14:paraId="1C50F8A9">
            <w:pPr>
              <w:spacing w:line="240" w:lineRule="auto"/>
              <w:ind w:left="60" w:right="60"/>
              <w:rPr>
                <w:rFonts w:ascii="Times New Roman" w:hAnsi="Times New Roman" w:cs="Times New Roman"/>
                <w:color w:val="010205"/>
                <w:sz w:val="15"/>
                <w:szCs w:val="15"/>
              </w:rPr>
            </w:pPr>
            <w:r>
              <w:rPr>
                <w:rFonts w:ascii="Times New Roman" w:hAnsi="Times New Roman" w:cs="Times New Roman"/>
                <w:color w:val="010205"/>
                <w:sz w:val="15"/>
                <w:szCs w:val="15"/>
              </w:rPr>
              <w:t>a. Dependent Variable: ABRESID</w:t>
            </w:r>
          </w:p>
        </w:tc>
      </w:tr>
    </w:tbl>
    <w:p w14:paraId="0BD9F54B">
      <w:pPr>
        <w:pStyle w:val="22"/>
        <w:jc w:val="center"/>
        <w:rPr>
          <w:rFonts w:hint="default"/>
          <w:b/>
          <w:bCs/>
          <w:i w:val="0"/>
          <w:iCs w:val="0"/>
          <w:sz w:val="22"/>
          <w:szCs w:val="22"/>
          <w:lang w:val="en-US"/>
        </w:rPr>
      </w:pPr>
      <w:r>
        <w:rPr>
          <w:rFonts w:hint="default"/>
          <w:b/>
          <w:bCs/>
          <w:i w:val="0"/>
          <w:iCs w:val="0"/>
          <w:sz w:val="22"/>
          <w:szCs w:val="22"/>
          <w:lang w:val="en-US"/>
        </w:rPr>
        <w:t>Tabel 4</w:t>
      </w:r>
    </w:p>
    <w:p w14:paraId="623CAD39">
      <w:pPr>
        <w:pStyle w:val="22"/>
        <w:jc w:val="center"/>
        <w:rPr>
          <w:rFonts w:hint="default"/>
          <w:sz w:val="22"/>
          <w:szCs w:val="22"/>
          <w:lang w:val="en-US"/>
        </w:rPr>
      </w:pPr>
      <w:r>
        <w:rPr>
          <w:rFonts w:hint="default"/>
          <w:b/>
          <w:bCs/>
          <w:i w:val="0"/>
          <w:iCs w:val="0"/>
          <w:sz w:val="22"/>
          <w:szCs w:val="22"/>
          <w:lang w:val="en-US"/>
        </w:rPr>
        <w:t xml:space="preserve">Hasil Uji </w:t>
      </w:r>
      <w:r>
        <w:rPr>
          <w:rFonts w:hint="default"/>
          <w:b/>
          <w:bCs/>
          <w:sz w:val="22"/>
          <w:szCs w:val="22"/>
          <w:lang w:val="en-US"/>
        </w:rPr>
        <w:t>Heterokedastisitas</w:t>
      </w:r>
    </w:p>
    <w:p w14:paraId="09B0755E">
      <w:pPr>
        <w:pStyle w:val="22"/>
        <w:jc w:val="center"/>
        <w:rPr>
          <w:rFonts w:hint="default"/>
          <w:b/>
          <w:bCs/>
          <w:i w:val="0"/>
          <w:iCs w:val="0"/>
          <w:sz w:val="22"/>
          <w:szCs w:val="22"/>
          <w:lang w:val="en-US"/>
        </w:rPr>
      </w:pPr>
    </w:p>
    <w:p w14:paraId="1C937143">
      <w:pPr>
        <w:spacing w:line="240" w:lineRule="auto"/>
        <w:rPr>
          <w:rFonts w:hint="default" w:ascii="Times New Roman" w:hAnsi="Times New Roman" w:cs="Times New Roman"/>
          <w:bCs/>
          <w:i/>
          <w:iCs/>
          <w:sz w:val="15"/>
          <w:szCs w:val="15"/>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4AACEFC6">
      <w:pPr>
        <w:pStyle w:val="21"/>
        <w:spacing w:before="0" w:after="0" w:line="240" w:lineRule="auto"/>
        <w:jc w:val="both"/>
        <w:rPr>
          <w:rFonts w:hint="default"/>
          <w:sz w:val="22"/>
          <w:szCs w:val="22"/>
          <w:lang w:val="en-US"/>
        </w:rPr>
      </w:pPr>
    </w:p>
    <w:p w14:paraId="6AFD44A2">
      <w:pPr>
        <w:pStyle w:val="21"/>
        <w:spacing w:before="0" w:after="0" w:line="240" w:lineRule="auto"/>
        <w:ind w:firstLine="391" w:firstLineChars="178"/>
        <w:jc w:val="both"/>
        <w:rPr>
          <w:sz w:val="22"/>
          <w:szCs w:val="22"/>
          <w:lang w:val="en-US"/>
        </w:rPr>
      </w:pPr>
      <w:r>
        <w:rPr>
          <w:rFonts w:hint="default"/>
          <w:b w:val="0"/>
          <w:sz w:val="22"/>
          <w:szCs w:val="22"/>
          <w:lang w:val="en-US"/>
        </w:rPr>
        <w:t xml:space="preserve">Berdasarkan tabel 4, menunjukkan nilai heterokedastisitas yang diperoleh dari Uji Glejser untuk perencanaan pajak, keputusan investasi dan </w:t>
      </w:r>
      <w:r>
        <w:rPr>
          <w:rFonts w:hint="default"/>
          <w:b w:val="0"/>
          <w:i/>
          <w:iCs/>
          <w:sz w:val="22"/>
          <w:szCs w:val="22"/>
          <w:lang w:val="en-US"/>
        </w:rPr>
        <w:t xml:space="preserve">cash holding </w:t>
      </w:r>
      <w:r>
        <w:rPr>
          <w:rFonts w:hint="default"/>
          <w:b w:val="0"/>
          <w:i w:val="0"/>
          <w:iCs w:val="0"/>
          <w:sz w:val="22"/>
          <w:szCs w:val="22"/>
          <w:lang w:val="en-US"/>
        </w:rPr>
        <w:t>adalah sebesar 0,156, 0,270 dan 0,785, yang dimana hasil tersebut jelas menunjukkan bahwa variabel tidak mengalami gejala heterokedastisitas yang memiliki nilai signifikan &gt; 0.05.</w:t>
      </w:r>
    </w:p>
    <w:p w14:paraId="5527053E">
      <w:pPr>
        <w:pStyle w:val="23"/>
        <w:ind w:left="0" w:leftChars="0" w:firstLine="0" w:firstLineChars="0"/>
        <w:rPr>
          <w:sz w:val="22"/>
          <w:szCs w:val="22"/>
          <w:lang w:val="en-US"/>
        </w:rPr>
      </w:pPr>
    </w:p>
    <w:p w14:paraId="3C5D4E41">
      <w:pPr>
        <w:pStyle w:val="21"/>
        <w:spacing w:before="0" w:after="0"/>
        <w:jc w:val="both"/>
        <w:rPr>
          <w:rFonts w:hint="default"/>
          <w:i w:val="0"/>
          <w:iCs w:val="0"/>
          <w:sz w:val="22"/>
          <w:szCs w:val="22"/>
          <w:lang w:val="en-US"/>
        </w:rPr>
      </w:pPr>
      <w:r>
        <w:rPr>
          <w:rFonts w:hint="default"/>
          <w:sz w:val="22"/>
          <w:szCs w:val="22"/>
          <w:lang w:val="en-US"/>
        </w:rPr>
        <w:t>Uji Autokorelasi</w:t>
      </w:r>
    </w:p>
    <w:p w14:paraId="7152C7C7">
      <w:pPr>
        <w:pStyle w:val="22"/>
        <w:jc w:val="center"/>
        <w:rPr>
          <w:rFonts w:hint="default"/>
          <w:b/>
          <w:bCs/>
          <w:i w:val="0"/>
          <w:iCs w:val="0"/>
          <w:sz w:val="22"/>
          <w:szCs w:val="22"/>
          <w:lang w:val="en-US"/>
        </w:rPr>
      </w:pPr>
      <w:r>
        <w:rPr>
          <w:rFonts w:hint="default"/>
          <w:b/>
          <w:bCs/>
          <w:i w:val="0"/>
          <w:iCs w:val="0"/>
          <w:sz w:val="22"/>
          <w:szCs w:val="22"/>
          <w:lang w:val="en-US"/>
        </w:rPr>
        <w:t>Tabel 5</w:t>
      </w:r>
    </w:p>
    <w:p w14:paraId="175B5FB4">
      <w:pPr>
        <w:pStyle w:val="22"/>
        <w:jc w:val="center"/>
        <w:rPr>
          <w:rFonts w:hint="default"/>
          <w:sz w:val="22"/>
          <w:szCs w:val="22"/>
          <w:lang w:val="en-US"/>
        </w:rPr>
      </w:pPr>
      <w:r>
        <w:rPr>
          <w:rFonts w:hint="default"/>
          <w:b/>
          <w:bCs/>
          <w:i w:val="0"/>
          <w:iCs w:val="0"/>
          <w:sz w:val="22"/>
          <w:szCs w:val="22"/>
          <w:lang w:val="en-US"/>
        </w:rPr>
        <w:t>Hasil Uji Autokorelasi</w:t>
      </w:r>
    </w:p>
    <w:tbl>
      <w:tblPr>
        <w:tblStyle w:val="3"/>
        <w:tblpPr w:leftFromText="180" w:rightFromText="180" w:vertAnchor="text" w:horzAnchor="page" w:tblpX="1664" w:tblpY="121"/>
        <w:tblOverlap w:val="never"/>
        <w:tblW w:w="4093" w:type="dxa"/>
        <w:tblInd w:w="0" w:type="dxa"/>
        <w:tblLayout w:type="fixed"/>
        <w:tblCellMar>
          <w:top w:w="0" w:type="dxa"/>
          <w:left w:w="0" w:type="dxa"/>
          <w:bottom w:w="0" w:type="dxa"/>
          <w:right w:w="0" w:type="dxa"/>
        </w:tblCellMar>
      </w:tblPr>
      <w:tblGrid>
        <w:gridCol w:w="601"/>
        <w:gridCol w:w="595"/>
        <w:gridCol w:w="573"/>
        <w:gridCol w:w="853"/>
        <w:gridCol w:w="765"/>
        <w:gridCol w:w="706"/>
      </w:tblGrid>
      <w:tr w14:paraId="78F903E3">
        <w:tblPrEx>
          <w:tblCellMar>
            <w:top w:w="0" w:type="dxa"/>
            <w:left w:w="0" w:type="dxa"/>
            <w:bottom w:w="0" w:type="dxa"/>
            <w:right w:w="0" w:type="dxa"/>
          </w:tblCellMar>
        </w:tblPrEx>
        <w:trPr>
          <w:cantSplit/>
        </w:trPr>
        <w:tc>
          <w:tcPr>
            <w:tcW w:w="4093" w:type="dxa"/>
            <w:gridSpan w:val="6"/>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71CE537D">
            <w:pPr>
              <w:spacing w:line="240" w:lineRule="auto"/>
              <w:ind w:left="60" w:right="60"/>
              <w:jc w:val="center"/>
              <w:rPr>
                <w:rFonts w:ascii="Times New Roman" w:hAnsi="Times New Roman" w:cs="Times New Roman"/>
                <w:color w:val="010205"/>
                <w:sz w:val="15"/>
                <w:szCs w:val="15"/>
              </w:rPr>
            </w:pPr>
            <w:r>
              <w:rPr>
                <w:rFonts w:ascii="Times New Roman" w:hAnsi="Times New Roman" w:cs="Times New Roman"/>
                <w:b/>
                <w:color w:val="010205"/>
                <w:sz w:val="15"/>
                <w:szCs w:val="15"/>
              </w:rPr>
              <w:t>Model Summary</w:t>
            </w:r>
            <w:r>
              <w:rPr>
                <w:rFonts w:ascii="Times New Roman" w:hAnsi="Times New Roman" w:cs="Times New Roman"/>
                <w:b/>
                <w:color w:val="010205"/>
                <w:sz w:val="15"/>
                <w:szCs w:val="15"/>
                <w:vertAlign w:val="superscript"/>
              </w:rPr>
              <w:t>b</w:t>
            </w:r>
          </w:p>
        </w:tc>
      </w:tr>
      <w:tr w14:paraId="5A7852AD">
        <w:tblPrEx>
          <w:tblCellMar>
            <w:top w:w="0" w:type="dxa"/>
            <w:left w:w="0" w:type="dxa"/>
            <w:bottom w:w="0" w:type="dxa"/>
            <w:right w:w="0" w:type="dxa"/>
          </w:tblCellMar>
        </w:tblPrEx>
        <w:trPr>
          <w:cantSplit/>
        </w:trPr>
        <w:tc>
          <w:tcPr>
            <w:tcW w:w="601"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06536BE">
            <w:pPr>
              <w:spacing w:line="240" w:lineRule="auto"/>
              <w:ind w:left="60" w:right="60"/>
              <w:rPr>
                <w:rFonts w:ascii="Times New Roman" w:hAnsi="Times New Roman" w:cs="Times New Roman"/>
                <w:color w:val="264A60"/>
                <w:sz w:val="15"/>
                <w:szCs w:val="15"/>
              </w:rPr>
            </w:pPr>
            <w:r>
              <w:rPr>
                <w:rFonts w:ascii="Times New Roman" w:hAnsi="Times New Roman" w:cs="Times New Roman"/>
                <w:color w:val="264A60"/>
                <w:sz w:val="15"/>
                <w:szCs w:val="15"/>
              </w:rPr>
              <w:t>Model</w:t>
            </w:r>
          </w:p>
        </w:tc>
        <w:tc>
          <w:tcPr>
            <w:tcW w:w="59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F089026">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R</w:t>
            </w:r>
          </w:p>
        </w:tc>
        <w:tc>
          <w:tcPr>
            <w:tcW w:w="573"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33A328A1">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R Square</w:t>
            </w:r>
          </w:p>
        </w:tc>
        <w:tc>
          <w:tcPr>
            <w:tcW w:w="853"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40E66104">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Adjusted R Square</w:t>
            </w:r>
          </w:p>
        </w:tc>
        <w:tc>
          <w:tcPr>
            <w:tcW w:w="76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3FA1A8A2">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Std. Error of the Estimate</w:t>
            </w:r>
          </w:p>
        </w:tc>
        <w:tc>
          <w:tcPr>
            <w:tcW w:w="706"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31FC6857">
            <w:pPr>
              <w:spacing w:line="240" w:lineRule="auto"/>
              <w:ind w:left="60" w:right="60"/>
              <w:jc w:val="center"/>
              <w:rPr>
                <w:rFonts w:ascii="Times New Roman" w:hAnsi="Times New Roman" w:cs="Times New Roman"/>
                <w:color w:val="264A60"/>
                <w:sz w:val="15"/>
                <w:szCs w:val="15"/>
              </w:rPr>
            </w:pPr>
            <w:r>
              <w:rPr>
                <w:rFonts w:ascii="Times New Roman" w:hAnsi="Times New Roman" w:cs="Times New Roman"/>
                <w:color w:val="264A60"/>
                <w:sz w:val="15"/>
                <w:szCs w:val="15"/>
              </w:rPr>
              <w:t>Durbin-Watson</w:t>
            </w:r>
          </w:p>
        </w:tc>
      </w:tr>
      <w:tr w14:paraId="3B187836">
        <w:tblPrEx>
          <w:tblCellMar>
            <w:top w:w="0" w:type="dxa"/>
            <w:left w:w="0" w:type="dxa"/>
            <w:bottom w:w="0" w:type="dxa"/>
            <w:right w:w="0" w:type="dxa"/>
          </w:tblCellMar>
        </w:tblPrEx>
        <w:trPr>
          <w:cantSplit/>
        </w:trPr>
        <w:tc>
          <w:tcPr>
            <w:tcW w:w="601"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56FCC4E7">
            <w:pPr>
              <w:spacing w:line="240" w:lineRule="auto"/>
              <w:ind w:left="60" w:right="60"/>
              <w:rPr>
                <w:rFonts w:ascii="Times New Roman" w:hAnsi="Times New Roman" w:cs="Times New Roman"/>
                <w:color w:val="264A60"/>
                <w:sz w:val="21"/>
                <w:szCs w:val="21"/>
              </w:rPr>
            </w:pPr>
            <w:r>
              <w:rPr>
                <w:rFonts w:ascii="Times New Roman" w:hAnsi="Times New Roman" w:cs="Times New Roman"/>
                <w:color w:val="264A60"/>
                <w:sz w:val="21"/>
                <w:szCs w:val="21"/>
              </w:rPr>
              <w:t>1</w:t>
            </w:r>
          </w:p>
        </w:tc>
        <w:tc>
          <w:tcPr>
            <w:tcW w:w="59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EA65048">
            <w:pPr>
              <w:spacing w:line="240" w:lineRule="auto"/>
              <w:ind w:left="60" w:right="60"/>
              <w:jc w:val="right"/>
              <w:rPr>
                <w:rFonts w:ascii="Times New Roman" w:hAnsi="Times New Roman" w:cs="Times New Roman"/>
                <w:color w:val="010205"/>
                <w:sz w:val="21"/>
                <w:szCs w:val="21"/>
              </w:rPr>
            </w:pPr>
            <w:r>
              <w:rPr>
                <w:rFonts w:ascii="Times New Roman" w:hAnsi="Times New Roman" w:cs="Times New Roman"/>
                <w:color w:val="010205"/>
                <w:sz w:val="21"/>
                <w:szCs w:val="21"/>
              </w:rPr>
              <w:t>.704</w:t>
            </w:r>
            <w:r>
              <w:rPr>
                <w:rFonts w:ascii="Times New Roman" w:hAnsi="Times New Roman" w:cs="Times New Roman"/>
                <w:color w:val="010205"/>
                <w:sz w:val="21"/>
                <w:szCs w:val="21"/>
                <w:vertAlign w:val="superscript"/>
              </w:rPr>
              <w:t>a</w:t>
            </w:r>
          </w:p>
        </w:tc>
        <w:tc>
          <w:tcPr>
            <w:tcW w:w="57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5EC29C1">
            <w:pPr>
              <w:spacing w:line="240" w:lineRule="auto"/>
              <w:ind w:left="60" w:right="60"/>
              <w:jc w:val="right"/>
              <w:rPr>
                <w:rFonts w:ascii="Times New Roman" w:hAnsi="Times New Roman" w:cs="Times New Roman"/>
                <w:color w:val="010205"/>
                <w:sz w:val="21"/>
                <w:szCs w:val="21"/>
              </w:rPr>
            </w:pPr>
            <w:r>
              <w:rPr>
                <w:rFonts w:ascii="Times New Roman" w:hAnsi="Times New Roman" w:cs="Times New Roman"/>
                <w:color w:val="010205"/>
                <w:sz w:val="21"/>
                <w:szCs w:val="21"/>
              </w:rPr>
              <w:t>.495</w:t>
            </w:r>
          </w:p>
        </w:tc>
        <w:tc>
          <w:tcPr>
            <w:tcW w:w="85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B32526C">
            <w:pPr>
              <w:spacing w:line="240" w:lineRule="auto"/>
              <w:ind w:left="60" w:right="60"/>
              <w:jc w:val="right"/>
              <w:rPr>
                <w:rFonts w:ascii="Times New Roman" w:hAnsi="Times New Roman" w:cs="Times New Roman"/>
                <w:color w:val="010205"/>
                <w:sz w:val="21"/>
                <w:szCs w:val="21"/>
              </w:rPr>
            </w:pPr>
            <w:r>
              <w:rPr>
                <w:rFonts w:ascii="Times New Roman" w:hAnsi="Times New Roman" w:cs="Times New Roman"/>
                <w:color w:val="010205"/>
                <w:sz w:val="21"/>
                <w:szCs w:val="21"/>
              </w:rPr>
              <w:t>.467</w:t>
            </w:r>
          </w:p>
        </w:tc>
        <w:tc>
          <w:tcPr>
            <w:tcW w:w="76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FAA2439">
            <w:pPr>
              <w:spacing w:line="240" w:lineRule="auto"/>
              <w:ind w:left="60" w:right="60"/>
              <w:jc w:val="right"/>
              <w:rPr>
                <w:rFonts w:ascii="Times New Roman" w:hAnsi="Times New Roman" w:cs="Times New Roman"/>
                <w:color w:val="010205"/>
                <w:sz w:val="21"/>
                <w:szCs w:val="21"/>
              </w:rPr>
            </w:pPr>
            <w:r>
              <w:rPr>
                <w:rFonts w:ascii="Times New Roman" w:hAnsi="Times New Roman" w:cs="Times New Roman"/>
                <w:color w:val="010205"/>
                <w:sz w:val="21"/>
                <w:szCs w:val="21"/>
              </w:rPr>
              <w:t>.41319</w:t>
            </w:r>
          </w:p>
        </w:tc>
        <w:tc>
          <w:tcPr>
            <w:tcW w:w="70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60119B9">
            <w:pPr>
              <w:spacing w:line="240" w:lineRule="auto"/>
              <w:ind w:left="60" w:right="60"/>
              <w:jc w:val="right"/>
              <w:rPr>
                <w:rFonts w:ascii="Times New Roman" w:hAnsi="Times New Roman" w:cs="Times New Roman"/>
                <w:color w:val="010205"/>
                <w:sz w:val="21"/>
                <w:szCs w:val="21"/>
              </w:rPr>
            </w:pPr>
            <w:r>
              <w:rPr>
                <w:rFonts w:ascii="Times New Roman" w:hAnsi="Times New Roman" w:cs="Times New Roman"/>
                <w:color w:val="010205"/>
                <w:sz w:val="21"/>
                <w:szCs w:val="21"/>
              </w:rPr>
              <w:t>1.867</w:t>
            </w:r>
          </w:p>
        </w:tc>
      </w:tr>
      <w:tr w14:paraId="681BDE25">
        <w:tblPrEx>
          <w:tblCellMar>
            <w:top w:w="0" w:type="dxa"/>
            <w:left w:w="0" w:type="dxa"/>
            <w:bottom w:w="0" w:type="dxa"/>
            <w:right w:w="0" w:type="dxa"/>
          </w:tblCellMar>
        </w:tblPrEx>
        <w:trPr>
          <w:cantSplit/>
        </w:trPr>
        <w:tc>
          <w:tcPr>
            <w:tcW w:w="4093" w:type="dxa"/>
            <w:gridSpan w:val="6"/>
            <w:tcBorders>
              <w:top w:val="single" w:color="auto" w:sz="4" w:space="0"/>
              <w:left w:val="single" w:color="auto" w:sz="4" w:space="0"/>
              <w:bottom w:val="single" w:color="auto" w:sz="4" w:space="0"/>
              <w:right w:val="single" w:color="auto" w:sz="4" w:space="0"/>
              <w:tl2br w:val="nil"/>
              <w:tr2bl w:val="nil"/>
            </w:tcBorders>
            <w:shd w:val="clear" w:color="auto" w:fill="FFFFFF"/>
          </w:tcPr>
          <w:p w14:paraId="6FE010E3">
            <w:pPr>
              <w:spacing w:line="240" w:lineRule="auto"/>
              <w:ind w:left="60" w:right="60"/>
              <w:rPr>
                <w:rFonts w:ascii="Times New Roman" w:hAnsi="Times New Roman" w:cs="Times New Roman"/>
                <w:color w:val="010205"/>
                <w:sz w:val="18"/>
                <w:szCs w:val="18"/>
              </w:rPr>
            </w:pPr>
            <w:r>
              <w:rPr>
                <w:rFonts w:ascii="Times New Roman" w:hAnsi="Times New Roman" w:cs="Times New Roman"/>
                <w:color w:val="010205"/>
                <w:sz w:val="18"/>
                <w:szCs w:val="18"/>
              </w:rPr>
              <w:t>a. Predictors: (Constant), CH_X3, PER_X2, ETR_X1</w:t>
            </w:r>
          </w:p>
        </w:tc>
      </w:tr>
      <w:tr w14:paraId="0FE4DB75">
        <w:tblPrEx>
          <w:tblCellMar>
            <w:top w:w="0" w:type="dxa"/>
            <w:left w:w="0" w:type="dxa"/>
            <w:bottom w:w="0" w:type="dxa"/>
            <w:right w:w="0" w:type="dxa"/>
          </w:tblCellMar>
        </w:tblPrEx>
        <w:trPr>
          <w:cantSplit/>
        </w:trPr>
        <w:tc>
          <w:tcPr>
            <w:tcW w:w="4093" w:type="dxa"/>
            <w:gridSpan w:val="6"/>
            <w:tcBorders>
              <w:top w:val="single" w:color="auto" w:sz="4" w:space="0"/>
              <w:left w:val="single" w:color="auto" w:sz="4" w:space="0"/>
              <w:bottom w:val="single" w:color="auto" w:sz="4" w:space="0"/>
              <w:right w:val="single" w:color="auto" w:sz="4" w:space="0"/>
              <w:tl2br w:val="nil"/>
              <w:tr2bl w:val="nil"/>
            </w:tcBorders>
            <w:shd w:val="clear" w:color="auto" w:fill="FFFFFF"/>
          </w:tcPr>
          <w:p w14:paraId="4B13DC1A">
            <w:pPr>
              <w:spacing w:line="240" w:lineRule="auto"/>
              <w:ind w:left="60" w:right="60"/>
              <w:rPr>
                <w:rFonts w:ascii="Times New Roman" w:hAnsi="Times New Roman" w:cs="Times New Roman"/>
                <w:color w:val="010205"/>
                <w:sz w:val="18"/>
                <w:szCs w:val="18"/>
              </w:rPr>
            </w:pPr>
            <w:r>
              <w:rPr>
                <w:rFonts w:ascii="Times New Roman" w:hAnsi="Times New Roman" w:cs="Times New Roman"/>
                <w:color w:val="010205"/>
                <w:sz w:val="18"/>
                <w:szCs w:val="18"/>
              </w:rPr>
              <w:t>b. Dependent Variable: PBV_Y</w:t>
            </w:r>
          </w:p>
        </w:tc>
      </w:tr>
    </w:tbl>
    <w:p w14:paraId="5237DDB1">
      <w:pPr>
        <w:spacing w:line="240" w:lineRule="auto"/>
        <w:rPr>
          <w:rFonts w:hint="default" w:ascii="Times New Roman" w:hAnsi="Times New Roman" w:cs="Times New Roman"/>
          <w:sz w:val="20"/>
          <w:szCs w:val="20"/>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6D56FD4E">
      <w:pPr>
        <w:spacing w:after="0" w:line="240" w:lineRule="auto"/>
        <w:ind w:firstLine="284"/>
        <w:jc w:val="both"/>
        <w:rPr>
          <w:rFonts w:ascii="Times New Roman" w:hAnsi="Times New Roman"/>
        </w:rPr>
      </w:pPr>
      <w:r>
        <w:rPr>
          <w:rFonts w:hint="default" w:ascii="Times New Roman" w:hAnsi="Times New Roman" w:cs="Times New Roman"/>
          <w:lang w:val="en-US"/>
        </w:rPr>
        <w:t>Dari tabel 5, dapat dilihat jika nilai Durbi-Watson adalah sebesar 1,867. Dari hasil tersebut dikatakan tidak terdapat korelasi jika nilai DW hitung dibandingkan dengan nilai DU yang terdapat pada tabel. Adapun cara perhitungannya adalah diketahui k = 3, t = 60, dengan nilai DW hitung = 1,867, maka didapatkan nilai dL dan dU untuk k = 3 dan t =60 adalah dL = 1,4797 dan dU = 1,6889 dengan dhitung = 1,867 dan nilai (4-dU) = 2,3111, sehingga dapat disimpulkan bahwa dengan dasar pengambilan keputusan Du &lt; dW &lt; 4-Du diperoleh hasil 1,6889 &lt; 1,867 &lt; 2,3111. Dari kesimpulan diatas dapat disimpulkan bahwa syarat-syarat yang menjadi uji tidak terjadinya autokorelasi, maka dapat dikatakan bahwa pada penelitian ini tidak terjadinya autokorelasi antar variabel penelitian.</w:t>
      </w:r>
      <w:r>
        <w:rPr>
          <w:rFonts w:ascii="Times New Roman" w:hAnsi="Times New Roman"/>
        </w:rPr>
        <w:t xml:space="preserve"> </w:t>
      </w:r>
    </w:p>
    <w:p w14:paraId="5FC12DDA">
      <w:pPr>
        <w:pStyle w:val="22"/>
        <w:jc w:val="both"/>
        <w:rPr>
          <w:sz w:val="22"/>
          <w:szCs w:val="22"/>
        </w:rPr>
      </w:pPr>
    </w:p>
    <w:p w14:paraId="034AB639">
      <w:pPr>
        <w:pStyle w:val="21"/>
        <w:spacing w:before="0" w:after="0"/>
        <w:jc w:val="both"/>
        <w:rPr>
          <w:rFonts w:hint="default"/>
          <w:i w:val="0"/>
          <w:iCs w:val="0"/>
          <w:sz w:val="22"/>
          <w:szCs w:val="22"/>
          <w:lang w:val="en-US"/>
        </w:rPr>
      </w:pPr>
      <w:r>
        <w:rPr>
          <w:sz w:val="22"/>
          <w:szCs w:val="22"/>
        </w:rPr>
        <w:t xml:space="preserve"> </w:t>
      </w:r>
      <w:r>
        <w:rPr>
          <w:rFonts w:hint="default"/>
          <w:sz w:val="22"/>
          <w:szCs w:val="22"/>
          <w:lang w:val="en-US"/>
        </w:rPr>
        <w:t xml:space="preserve">Uji Regresi Linear Berganda </w:t>
      </w:r>
    </w:p>
    <w:p w14:paraId="6BD54180">
      <w:pPr>
        <w:pStyle w:val="22"/>
        <w:jc w:val="center"/>
        <w:rPr>
          <w:rFonts w:hint="default"/>
          <w:b/>
          <w:bCs/>
          <w:i w:val="0"/>
          <w:iCs w:val="0"/>
          <w:sz w:val="22"/>
          <w:szCs w:val="22"/>
          <w:lang w:val="en-US"/>
        </w:rPr>
      </w:pPr>
      <w:r>
        <w:rPr>
          <w:rFonts w:hint="default"/>
          <w:b/>
          <w:bCs/>
          <w:i w:val="0"/>
          <w:iCs w:val="0"/>
          <w:sz w:val="22"/>
          <w:szCs w:val="22"/>
          <w:lang w:val="en-US"/>
        </w:rPr>
        <w:t>Tabel 6</w:t>
      </w:r>
    </w:p>
    <w:p w14:paraId="213E5E47">
      <w:pPr>
        <w:pStyle w:val="22"/>
        <w:spacing w:line="240" w:lineRule="auto"/>
        <w:jc w:val="center"/>
        <w:rPr>
          <w:rFonts w:hint="default"/>
          <w:sz w:val="22"/>
          <w:szCs w:val="22"/>
          <w:lang w:val="en-US"/>
        </w:rPr>
      </w:pPr>
      <w:r>
        <w:rPr>
          <w:rFonts w:hint="default"/>
          <w:b/>
          <w:bCs/>
          <w:i w:val="0"/>
          <w:iCs w:val="0"/>
          <w:sz w:val="22"/>
          <w:szCs w:val="22"/>
          <w:lang w:val="en-US"/>
        </w:rPr>
        <w:t>Hasil Uji Regresi Linear Berganda</w:t>
      </w:r>
    </w:p>
    <w:tbl>
      <w:tblPr>
        <w:tblStyle w:val="3"/>
        <w:tblpPr w:leftFromText="180" w:rightFromText="180" w:vertAnchor="text" w:horzAnchor="page" w:tblpX="6333" w:tblpY="353"/>
        <w:tblOverlap w:val="never"/>
        <w:tblW w:w="4108" w:type="dxa"/>
        <w:tblInd w:w="0" w:type="dxa"/>
        <w:tblLayout w:type="fixed"/>
        <w:tblCellMar>
          <w:top w:w="0" w:type="dxa"/>
          <w:left w:w="0" w:type="dxa"/>
          <w:bottom w:w="0" w:type="dxa"/>
          <w:right w:w="0" w:type="dxa"/>
        </w:tblCellMar>
      </w:tblPr>
      <w:tblGrid>
        <w:gridCol w:w="255"/>
        <w:gridCol w:w="764"/>
        <w:gridCol w:w="633"/>
        <w:gridCol w:w="647"/>
        <w:gridCol w:w="897"/>
        <w:gridCol w:w="500"/>
        <w:gridCol w:w="412"/>
      </w:tblGrid>
      <w:tr w14:paraId="4A7A024F">
        <w:tblPrEx>
          <w:tblCellMar>
            <w:top w:w="0" w:type="dxa"/>
            <w:left w:w="0" w:type="dxa"/>
            <w:bottom w:w="0" w:type="dxa"/>
            <w:right w:w="0" w:type="dxa"/>
          </w:tblCellMar>
        </w:tblPrEx>
        <w:trPr>
          <w:cantSplit/>
          <w:trHeight w:val="90" w:hRule="atLeast"/>
        </w:trPr>
        <w:tc>
          <w:tcPr>
            <w:tcW w:w="4108"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598DC8F8">
            <w:pPr>
              <w:spacing w:line="240" w:lineRule="auto"/>
              <w:ind w:left="60" w:right="60"/>
              <w:jc w:val="center"/>
              <w:rPr>
                <w:rFonts w:ascii="Arial" w:hAnsi="Arial"/>
                <w:color w:val="010205"/>
                <w:sz w:val="18"/>
                <w:szCs w:val="20"/>
              </w:rPr>
            </w:pPr>
            <w:r>
              <w:rPr>
                <w:rFonts w:ascii="Arial" w:hAnsi="Arial"/>
                <w:b/>
                <w:color w:val="010205"/>
                <w:sz w:val="18"/>
                <w:szCs w:val="20"/>
              </w:rPr>
              <w:t>Coefficients</w:t>
            </w:r>
            <w:r>
              <w:rPr>
                <w:rFonts w:ascii="Arial" w:hAnsi="Arial"/>
                <w:b/>
                <w:color w:val="010205"/>
                <w:sz w:val="18"/>
                <w:szCs w:val="20"/>
                <w:vertAlign w:val="superscript"/>
              </w:rPr>
              <w:t>a</w:t>
            </w:r>
          </w:p>
        </w:tc>
      </w:tr>
      <w:tr w14:paraId="2743ECED">
        <w:tblPrEx>
          <w:tblCellMar>
            <w:top w:w="0" w:type="dxa"/>
            <w:left w:w="0" w:type="dxa"/>
            <w:bottom w:w="0" w:type="dxa"/>
            <w:right w:w="0" w:type="dxa"/>
          </w:tblCellMar>
        </w:tblPrEx>
        <w:trPr>
          <w:cantSplit/>
        </w:trPr>
        <w:tc>
          <w:tcPr>
            <w:tcW w:w="1019" w:type="dxa"/>
            <w:gridSpan w:val="2"/>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301CC4D">
            <w:pPr>
              <w:spacing w:line="240" w:lineRule="auto"/>
              <w:ind w:left="60" w:right="60"/>
              <w:rPr>
                <w:rFonts w:ascii="Arial" w:hAnsi="Arial"/>
                <w:color w:val="264A60"/>
                <w:sz w:val="13"/>
                <w:szCs w:val="20"/>
              </w:rPr>
            </w:pPr>
            <w:r>
              <w:rPr>
                <w:rFonts w:ascii="Arial" w:hAnsi="Arial"/>
                <w:color w:val="264A60"/>
                <w:sz w:val="13"/>
                <w:szCs w:val="20"/>
              </w:rPr>
              <w:t>Model</w:t>
            </w:r>
          </w:p>
        </w:tc>
        <w:tc>
          <w:tcPr>
            <w:tcW w:w="1280" w:type="dxa"/>
            <w:gridSpan w:val="2"/>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45F8C1C">
            <w:pPr>
              <w:spacing w:line="240" w:lineRule="auto"/>
              <w:ind w:left="60" w:right="60"/>
              <w:jc w:val="center"/>
              <w:rPr>
                <w:rFonts w:ascii="Arial" w:hAnsi="Arial"/>
                <w:color w:val="264A60"/>
                <w:sz w:val="13"/>
                <w:szCs w:val="20"/>
              </w:rPr>
            </w:pPr>
            <w:r>
              <w:rPr>
                <w:rFonts w:ascii="Arial" w:hAnsi="Arial"/>
                <w:color w:val="264A60"/>
                <w:sz w:val="13"/>
                <w:szCs w:val="20"/>
              </w:rPr>
              <w:t>Unstandardized Coefficients</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3F6AB25B">
            <w:pPr>
              <w:spacing w:line="240" w:lineRule="auto"/>
              <w:ind w:left="60" w:right="60"/>
              <w:jc w:val="center"/>
              <w:rPr>
                <w:rFonts w:ascii="Arial" w:hAnsi="Arial"/>
                <w:color w:val="264A60"/>
                <w:sz w:val="13"/>
                <w:szCs w:val="20"/>
              </w:rPr>
            </w:pPr>
            <w:r>
              <w:rPr>
                <w:rFonts w:ascii="Arial" w:hAnsi="Arial"/>
                <w:color w:val="264A60"/>
                <w:sz w:val="13"/>
                <w:szCs w:val="20"/>
              </w:rPr>
              <w:t>Standardized Coefficients</w:t>
            </w:r>
          </w:p>
        </w:tc>
        <w:tc>
          <w:tcPr>
            <w:tcW w:w="500" w:type="dxa"/>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A727190">
            <w:pPr>
              <w:spacing w:line="240" w:lineRule="auto"/>
              <w:ind w:left="60" w:right="60"/>
              <w:jc w:val="center"/>
              <w:rPr>
                <w:rFonts w:ascii="Arial" w:hAnsi="Arial"/>
                <w:color w:val="264A60"/>
                <w:sz w:val="13"/>
                <w:szCs w:val="20"/>
              </w:rPr>
            </w:pPr>
            <w:r>
              <w:rPr>
                <w:rFonts w:ascii="Arial" w:hAnsi="Arial"/>
                <w:color w:val="264A60"/>
                <w:sz w:val="13"/>
                <w:szCs w:val="20"/>
              </w:rPr>
              <w:t>t</w:t>
            </w:r>
          </w:p>
        </w:tc>
        <w:tc>
          <w:tcPr>
            <w:tcW w:w="412" w:type="dxa"/>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4F09CA9E">
            <w:pPr>
              <w:spacing w:line="240" w:lineRule="auto"/>
              <w:ind w:left="60" w:right="60"/>
              <w:jc w:val="center"/>
              <w:rPr>
                <w:rFonts w:ascii="Arial" w:hAnsi="Arial"/>
                <w:color w:val="264A60"/>
                <w:sz w:val="13"/>
                <w:szCs w:val="20"/>
              </w:rPr>
            </w:pPr>
            <w:r>
              <w:rPr>
                <w:rFonts w:ascii="Arial" w:hAnsi="Arial"/>
                <w:color w:val="264A60"/>
                <w:sz w:val="13"/>
                <w:szCs w:val="20"/>
              </w:rPr>
              <w:t>Sig.</w:t>
            </w:r>
          </w:p>
        </w:tc>
      </w:tr>
      <w:tr w14:paraId="41D2C324">
        <w:tblPrEx>
          <w:tblCellMar>
            <w:top w:w="0" w:type="dxa"/>
            <w:left w:w="0" w:type="dxa"/>
            <w:bottom w:w="0" w:type="dxa"/>
            <w:right w:w="0" w:type="dxa"/>
          </w:tblCellMar>
        </w:tblPrEx>
        <w:trPr>
          <w:cantSplit/>
        </w:trPr>
        <w:tc>
          <w:tcPr>
            <w:tcW w:w="1019" w:type="dxa"/>
            <w:gridSpan w:val="2"/>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97A74AD">
            <w:pPr>
              <w:spacing w:line="240" w:lineRule="auto"/>
              <w:rPr>
                <w:rFonts w:ascii="Arial" w:hAnsi="Arial"/>
                <w:color w:val="264A60"/>
                <w:sz w:val="13"/>
                <w:szCs w:val="20"/>
              </w:rPr>
            </w:pP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87CA8A3">
            <w:pPr>
              <w:spacing w:line="240" w:lineRule="auto"/>
              <w:ind w:left="60" w:right="60"/>
              <w:jc w:val="center"/>
              <w:rPr>
                <w:rFonts w:ascii="Arial" w:hAnsi="Arial"/>
                <w:color w:val="264A60"/>
                <w:sz w:val="13"/>
                <w:szCs w:val="20"/>
              </w:rPr>
            </w:pPr>
            <w:r>
              <w:rPr>
                <w:rFonts w:ascii="Arial" w:hAnsi="Arial"/>
                <w:color w:val="264A60"/>
                <w:sz w:val="13"/>
                <w:szCs w:val="20"/>
              </w:rPr>
              <w:t>B</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074F71B">
            <w:pPr>
              <w:spacing w:line="240" w:lineRule="auto"/>
              <w:ind w:left="60" w:right="60"/>
              <w:jc w:val="center"/>
              <w:rPr>
                <w:rFonts w:ascii="Arial" w:hAnsi="Arial"/>
                <w:color w:val="264A60"/>
                <w:sz w:val="13"/>
                <w:szCs w:val="20"/>
              </w:rPr>
            </w:pPr>
            <w:r>
              <w:rPr>
                <w:rFonts w:ascii="Arial" w:hAnsi="Arial"/>
                <w:color w:val="264A60"/>
                <w:sz w:val="13"/>
                <w:szCs w:val="20"/>
              </w:rPr>
              <w:t>Std. Error</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7557934">
            <w:pPr>
              <w:spacing w:line="240" w:lineRule="auto"/>
              <w:ind w:left="60" w:right="60"/>
              <w:jc w:val="center"/>
              <w:rPr>
                <w:rFonts w:ascii="Arial" w:hAnsi="Arial"/>
                <w:color w:val="264A60"/>
                <w:sz w:val="13"/>
                <w:szCs w:val="20"/>
              </w:rPr>
            </w:pPr>
            <w:r>
              <w:rPr>
                <w:rFonts w:ascii="Arial" w:hAnsi="Arial"/>
                <w:color w:val="264A60"/>
                <w:sz w:val="13"/>
                <w:szCs w:val="20"/>
              </w:rPr>
              <w:t>Beta</w:t>
            </w:r>
          </w:p>
        </w:tc>
        <w:tc>
          <w:tcPr>
            <w:tcW w:w="500"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AA12051">
            <w:pPr>
              <w:spacing w:line="240" w:lineRule="auto"/>
              <w:rPr>
                <w:rFonts w:ascii="Arial" w:hAnsi="Arial"/>
                <w:color w:val="264A60"/>
                <w:sz w:val="13"/>
                <w:szCs w:val="20"/>
              </w:rPr>
            </w:pPr>
          </w:p>
        </w:tc>
        <w:tc>
          <w:tcPr>
            <w:tcW w:w="412"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42CC341D">
            <w:pPr>
              <w:spacing w:line="240" w:lineRule="auto"/>
              <w:rPr>
                <w:rFonts w:ascii="Arial" w:hAnsi="Arial"/>
                <w:color w:val="264A60"/>
                <w:sz w:val="13"/>
                <w:szCs w:val="20"/>
              </w:rPr>
            </w:pPr>
          </w:p>
        </w:tc>
      </w:tr>
      <w:tr w14:paraId="7CFC57E5">
        <w:tblPrEx>
          <w:tblCellMar>
            <w:top w:w="0" w:type="dxa"/>
            <w:left w:w="0" w:type="dxa"/>
            <w:bottom w:w="0" w:type="dxa"/>
            <w:right w:w="0" w:type="dxa"/>
          </w:tblCellMar>
        </w:tblPrEx>
        <w:trPr>
          <w:cantSplit/>
        </w:trPr>
        <w:tc>
          <w:tcPr>
            <w:tcW w:w="255" w:type="dxa"/>
            <w:vMerge w:val="restart"/>
            <w:tcBorders>
              <w:top w:val="single" w:color="auto" w:sz="4" w:space="0"/>
              <w:left w:val="single" w:color="auto" w:sz="4" w:space="0"/>
              <w:bottom w:val="nil"/>
              <w:right w:val="nil"/>
              <w:tl2br w:val="nil"/>
              <w:tr2bl w:val="nil"/>
            </w:tcBorders>
            <w:shd w:val="clear" w:color="auto" w:fill="E0E0E0"/>
          </w:tcPr>
          <w:p w14:paraId="01C7D83B">
            <w:pPr>
              <w:spacing w:line="240" w:lineRule="auto"/>
              <w:ind w:left="60" w:right="60"/>
              <w:rPr>
                <w:rFonts w:ascii="Arial" w:hAnsi="Arial"/>
                <w:color w:val="264A60"/>
                <w:sz w:val="13"/>
                <w:szCs w:val="20"/>
              </w:rPr>
            </w:pPr>
            <w:r>
              <w:rPr>
                <w:rFonts w:ascii="Arial" w:hAnsi="Arial"/>
                <w:color w:val="264A60"/>
                <w:sz w:val="13"/>
                <w:szCs w:val="20"/>
              </w:rPr>
              <w:t>1</w:t>
            </w:r>
          </w:p>
        </w:tc>
        <w:tc>
          <w:tcPr>
            <w:tcW w:w="764" w:type="dxa"/>
            <w:tcBorders>
              <w:top w:val="single" w:color="auto" w:sz="4" w:space="0"/>
              <w:left w:val="nil"/>
              <w:bottom w:val="nil"/>
              <w:right w:val="single" w:color="auto" w:sz="4" w:space="0"/>
              <w:tl2br w:val="nil"/>
              <w:tr2bl w:val="nil"/>
            </w:tcBorders>
            <w:shd w:val="clear" w:color="auto" w:fill="E0E0E0"/>
          </w:tcPr>
          <w:p w14:paraId="39504571">
            <w:pPr>
              <w:spacing w:line="240" w:lineRule="auto"/>
              <w:ind w:left="60" w:right="60"/>
              <w:rPr>
                <w:rFonts w:ascii="Arial" w:hAnsi="Arial"/>
                <w:color w:val="264A60"/>
                <w:sz w:val="13"/>
                <w:szCs w:val="20"/>
              </w:rPr>
            </w:pPr>
            <w:r>
              <w:rPr>
                <w:rFonts w:ascii="Arial" w:hAnsi="Arial"/>
                <w:color w:val="264A60"/>
                <w:sz w:val="13"/>
                <w:szCs w:val="20"/>
              </w:rPr>
              <w:t>(Constant)</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3444E16">
            <w:pPr>
              <w:spacing w:line="240" w:lineRule="auto"/>
              <w:ind w:left="60" w:right="60"/>
              <w:jc w:val="right"/>
              <w:rPr>
                <w:rFonts w:ascii="Arial" w:hAnsi="Arial"/>
                <w:color w:val="010205"/>
                <w:sz w:val="13"/>
                <w:szCs w:val="20"/>
              </w:rPr>
            </w:pPr>
            <w:r>
              <w:rPr>
                <w:rFonts w:ascii="Arial" w:hAnsi="Arial"/>
                <w:color w:val="010205"/>
                <w:sz w:val="13"/>
                <w:szCs w:val="20"/>
              </w:rPr>
              <w:t>4.257</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340D3D1">
            <w:pPr>
              <w:spacing w:line="240" w:lineRule="auto"/>
              <w:ind w:left="60" w:right="60"/>
              <w:jc w:val="right"/>
              <w:rPr>
                <w:rFonts w:ascii="Arial" w:hAnsi="Arial"/>
                <w:color w:val="010205"/>
                <w:sz w:val="13"/>
                <w:szCs w:val="20"/>
              </w:rPr>
            </w:pPr>
            <w:r>
              <w:rPr>
                <w:rFonts w:ascii="Arial" w:hAnsi="Arial"/>
                <w:color w:val="010205"/>
                <w:sz w:val="13"/>
                <w:szCs w:val="20"/>
              </w:rPr>
              <w:t>.961</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68B31CFB">
            <w:pPr>
              <w:spacing w:line="240" w:lineRule="auto"/>
              <w:rPr>
                <w:sz w:val="20"/>
                <w:szCs w:val="20"/>
              </w:rPr>
            </w:pP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32A0C92">
            <w:pPr>
              <w:spacing w:line="240" w:lineRule="auto"/>
              <w:ind w:left="60" w:right="60"/>
              <w:jc w:val="right"/>
              <w:rPr>
                <w:rFonts w:ascii="Arial" w:hAnsi="Arial"/>
                <w:color w:val="010205"/>
                <w:sz w:val="13"/>
                <w:szCs w:val="20"/>
              </w:rPr>
            </w:pPr>
            <w:r>
              <w:rPr>
                <w:rFonts w:ascii="Arial" w:hAnsi="Arial"/>
                <w:color w:val="010205"/>
                <w:sz w:val="13"/>
                <w:szCs w:val="20"/>
              </w:rPr>
              <w:t>4.428</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A63D661">
            <w:pPr>
              <w:spacing w:line="240" w:lineRule="auto"/>
              <w:ind w:left="60" w:right="60"/>
              <w:jc w:val="right"/>
              <w:rPr>
                <w:rFonts w:ascii="Arial" w:hAnsi="Arial"/>
                <w:color w:val="010205"/>
                <w:sz w:val="13"/>
                <w:szCs w:val="20"/>
              </w:rPr>
            </w:pPr>
            <w:r>
              <w:rPr>
                <w:rFonts w:ascii="Arial" w:hAnsi="Arial"/>
                <w:color w:val="010205"/>
                <w:sz w:val="13"/>
                <w:szCs w:val="20"/>
              </w:rPr>
              <w:t>.001</w:t>
            </w:r>
          </w:p>
        </w:tc>
      </w:tr>
      <w:tr w14:paraId="160C40B3">
        <w:tblPrEx>
          <w:tblCellMar>
            <w:top w:w="0" w:type="dxa"/>
            <w:left w:w="0" w:type="dxa"/>
            <w:bottom w:w="0" w:type="dxa"/>
            <w:right w:w="0" w:type="dxa"/>
          </w:tblCellMar>
        </w:tblPrEx>
        <w:trPr>
          <w:cantSplit/>
        </w:trPr>
        <w:tc>
          <w:tcPr>
            <w:tcW w:w="255" w:type="dxa"/>
            <w:vMerge w:val="continue"/>
            <w:tcBorders>
              <w:top w:val="nil"/>
              <w:left w:val="single" w:color="auto" w:sz="4" w:space="0"/>
              <w:bottom w:val="nil"/>
              <w:right w:val="nil"/>
              <w:tl2br w:val="nil"/>
              <w:tr2bl w:val="nil"/>
            </w:tcBorders>
            <w:shd w:val="clear" w:color="auto" w:fill="E0E0E0"/>
          </w:tcPr>
          <w:p w14:paraId="4D152A52">
            <w:pPr>
              <w:spacing w:line="240" w:lineRule="auto"/>
              <w:rPr>
                <w:rFonts w:ascii="Arial" w:hAnsi="Arial"/>
                <w:color w:val="010205"/>
                <w:sz w:val="13"/>
                <w:szCs w:val="20"/>
              </w:rPr>
            </w:pPr>
          </w:p>
        </w:tc>
        <w:tc>
          <w:tcPr>
            <w:tcW w:w="764" w:type="dxa"/>
            <w:tcBorders>
              <w:top w:val="nil"/>
              <w:left w:val="nil"/>
              <w:bottom w:val="nil"/>
              <w:right w:val="single" w:color="auto" w:sz="4" w:space="0"/>
              <w:tl2br w:val="nil"/>
              <w:tr2bl w:val="nil"/>
            </w:tcBorders>
            <w:shd w:val="clear" w:color="auto" w:fill="E0E0E0"/>
          </w:tcPr>
          <w:p w14:paraId="55BE277D">
            <w:pPr>
              <w:spacing w:line="240" w:lineRule="auto"/>
              <w:ind w:left="60" w:right="60"/>
              <w:rPr>
                <w:rFonts w:ascii="Arial" w:hAnsi="Arial"/>
                <w:color w:val="264A60"/>
                <w:sz w:val="13"/>
                <w:szCs w:val="20"/>
              </w:rPr>
            </w:pPr>
            <w:r>
              <w:rPr>
                <w:rFonts w:ascii="Arial" w:hAnsi="Arial"/>
                <w:color w:val="264A60"/>
                <w:sz w:val="13"/>
                <w:szCs w:val="20"/>
              </w:rPr>
              <w:t>ETR_X1</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A6F27DA">
            <w:pPr>
              <w:spacing w:line="240" w:lineRule="auto"/>
              <w:ind w:left="60" w:right="60"/>
              <w:jc w:val="right"/>
              <w:rPr>
                <w:rFonts w:ascii="Arial" w:hAnsi="Arial"/>
                <w:color w:val="010205"/>
                <w:sz w:val="13"/>
                <w:szCs w:val="20"/>
              </w:rPr>
            </w:pPr>
            <w:r>
              <w:rPr>
                <w:rFonts w:ascii="Arial" w:hAnsi="Arial"/>
                <w:color w:val="010205"/>
                <w:sz w:val="13"/>
                <w:szCs w:val="20"/>
              </w:rPr>
              <w:t>-19.216</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48F7AC8">
            <w:pPr>
              <w:spacing w:line="240" w:lineRule="auto"/>
              <w:ind w:left="60" w:right="60"/>
              <w:jc w:val="right"/>
              <w:rPr>
                <w:rFonts w:ascii="Arial" w:hAnsi="Arial"/>
                <w:color w:val="010205"/>
                <w:sz w:val="13"/>
                <w:szCs w:val="20"/>
              </w:rPr>
            </w:pPr>
            <w:r>
              <w:rPr>
                <w:rFonts w:ascii="Arial" w:hAnsi="Arial"/>
                <w:color w:val="010205"/>
                <w:sz w:val="13"/>
                <w:szCs w:val="20"/>
              </w:rPr>
              <w:t>4.383</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AD8DA4A">
            <w:pPr>
              <w:spacing w:line="240" w:lineRule="auto"/>
              <w:ind w:left="60" w:right="60"/>
              <w:jc w:val="right"/>
              <w:rPr>
                <w:rFonts w:ascii="Arial" w:hAnsi="Arial"/>
                <w:color w:val="010205"/>
                <w:sz w:val="13"/>
                <w:szCs w:val="20"/>
              </w:rPr>
            </w:pPr>
            <w:r>
              <w:rPr>
                <w:rFonts w:ascii="Arial" w:hAnsi="Arial"/>
                <w:color w:val="010205"/>
                <w:sz w:val="13"/>
                <w:szCs w:val="20"/>
              </w:rPr>
              <w:t>-.450</w:t>
            </w: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13C45B2">
            <w:pPr>
              <w:spacing w:line="240" w:lineRule="auto"/>
              <w:ind w:left="60" w:right="60"/>
              <w:jc w:val="right"/>
              <w:rPr>
                <w:rFonts w:ascii="Arial" w:hAnsi="Arial"/>
                <w:color w:val="010205"/>
                <w:sz w:val="13"/>
                <w:szCs w:val="20"/>
              </w:rPr>
            </w:pPr>
            <w:r>
              <w:rPr>
                <w:rFonts w:ascii="Arial" w:hAnsi="Arial"/>
                <w:color w:val="010205"/>
                <w:sz w:val="13"/>
                <w:szCs w:val="20"/>
              </w:rPr>
              <w:t>-4.385</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7D557D7">
            <w:pPr>
              <w:spacing w:line="240" w:lineRule="auto"/>
              <w:ind w:left="60" w:right="60"/>
              <w:jc w:val="right"/>
              <w:rPr>
                <w:rFonts w:ascii="Arial" w:hAnsi="Arial"/>
                <w:color w:val="010205"/>
                <w:sz w:val="13"/>
                <w:szCs w:val="20"/>
              </w:rPr>
            </w:pPr>
            <w:r>
              <w:rPr>
                <w:rFonts w:ascii="Arial" w:hAnsi="Arial"/>
                <w:color w:val="010205"/>
                <w:sz w:val="13"/>
                <w:szCs w:val="20"/>
              </w:rPr>
              <w:t>.001</w:t>
            </w:r>
          </w:p>
        </w:tc>
      </w:tr>
      <w:tr w14:paraId="1B0874F6">
        <w:tblPrEx>
          <w:tblCellMar>
            <w:top w:w="0" w:type="dxa"/>
            <w:left w:w="0" w:type="dxa"/>
            <w:bottom w:w="0" w:type="dxa"/>
            <w:right w:w="0" w:type="dxa"/>
          </w:tblCellMar>
        </w:tblPrEx>
        <w:trPr>
          <w:cantSplit/>
        </w:trPr>
        <w:tc>
          <w:tcPr>
            <w:tcW w:w="255" w:type="dxa"/>
            <w:vMerge w:val="continue"/>
            <w:tcBorders>
              <w:top w:val="nil"/>
              <w:left w:val="single" w:color="auto" w:sz="4" w:space="0"/>
              <w:bottom w:val="nil"/>
              <w:right w:val="nil"/>
              <w:tl2br w:val="nil"/>
              <w:tr2bl w:val="nil"/>
            </w:tcBorders>
            <w:shd w:val="clear" w:color="auto" w:fill="E0E0E0"/>
          </w:tcPr>
          <w:p w14:paraId="125C63A3">
            <w:pPr>
              <w:spacing w:line="240" w:lineRule="auto"/>
              <w:rPr>
                <w:rFonts w:ascii="Arial" w:hAnsi="Arial"/>
                <w:color w:val="010205"/>
                <w:sz w:val="13"/>
                <w:szCs w:val="20"/>
              </w:rPr>
            </w:pPr>
          </w:p>
        </w:tc>
        <w:tc>
          <w:tcPr>
            <w:tcW w:w="764" w:type="dxa"/>
            <w:tcBorders>
              <w:top w:val="nil"/>
              <w:left w:val="nil"/>
              <w:bottom w:val="nil"/>
              <w:right w:val="single" w:color="auto" w:sz="4" w:space="0"/>
              <w:tl2br w:val="nil"/>
              <w:tr2bl w:val="nil"/>
            </w:tcBorders>
            <w:shd w:val="clear" w:color="auto" w:fill="E0E0E0"/>
          </w:tcPr>
          <w:p w14:paraId="6D27D07A">
            <w:pPr>
              <w:spacing w:line="240" w:lineRule="auto"/>
              <w:ind w:left="60" w:right="60"/>
              <w:rPr>
                <w:rFonts w:ascii="Arial" w:hAnsi="Arial"/>
                <w:color w:val="264A60"/>
                <w:sz w:val="13"/>
                <w:szCs w:val="20"/>
              </w:rPr>
            </w:pPr>
            <w:r>
              <w:rPr>
                <w:rFonts w:ascii="Arial" w:hAnsi="Arial"/>
                <w:color w:val="264A60"/>
                <w:sz w:val="13"/>
                <w:szCs w:val="20"/>
              </w:rPr>
              <w:t>PER_X2</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0EA41F2">
            <w:pPr>
              <w:spacing w:line="240" w:lineRule="auto"/>
              <w:ind w:left="60" w:right="60"/>
              <w:jc w:val="right"/>
              <w:rPr>
                <w:rFonts w:ascii="Arial" w:hAnsi="Arial"/>
                <w:color w:val="010205"/>
                <w:sz w:val="13"/>
                <w:szCs w:val="20"/>
              </w:rPr>
            </w:pPr>
            <w:r>
              <w:rPr>
                <w:rFonts w:ascii="Arial" w:hAnsi="Arial"/>
                <w:color w:val="010205"/>
                <w:sz w:val="13"/>
                <w:szCs w:val="20"/>
              </w:rPr>
              <w:t>.065</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06D5A83">
            <w:pPr>
              <w:spacing w:line="240" w:lineRule="auto"/>
              <w:ind w:left="60" w:right="60"/>
              <w:jc w:val="right"/>
              <w:rPr>
                <w:rFonts w:ascii="Arial" w:hAnsi="Arial"/>
                <w:color w:val="010205"/>
                <w:sz w:val="13"/>
                <w:szCs w:val="20"/>
              </w:rPr>
            </w:pPr>
            <w:r>
              <w:rPr>
                <w:rFonts w:ascii="Arial" w:hAnsi="Arial"/>
                <w:color w:val="010205"/>
                <w:sz w:val="13"/>
                <w:szCs w:val="20"/>
              </w:rPr>
              <w:t>.012</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FFBB917">
            <w:pPr>
              <w:spacing w:line="240" w:lineRule="auto"/>
              <w:ind w:left="60" w:right="60"/>
              <w:jc w:val="right"/>
              <w:rPr>
                <w:rFonts w:ascii="Arial" w:hAnsi="Arial"/>
                <w:color w:val="010205"/>
                <w:sz w:val="13"/>
                <w:szCs w:val="20"/>
              </w:rPr>
            </w:pPr>
            <w:r>
              <w:rPr>
                <w:rFonts w:ascii="Arial" w:hAnsi="Arial"/>
                <w:color w:val="010205"/>
                <w:sz w:val="13"/>
                <w:szCs w:val="20"/>
              </w:rPr>
              <w:t>.549</w:t>
            </w: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55321F2">
            <w:pPr>
              <w:spacing w:line="240" w:lineRule="auto"/>
              <w:ind w:left="60" w:right="60"/>
              <w:jc w:val="right"/>
              <w:rPr>
                <w:rFonts w:ascii="Arial" w:hAnsi="Arial"/>
                <w:color w:val="010205"/>
                <w:sz w:val="13"/>
                <w:szCs w:val="20"/>
              </w:rPr>
            </w:pPr>
            <w:r>
              <w:rPr>
                <w:rFonts w:ascii="Arial" w:hAnsi="Arial"/>
                <w:color w:val="010205"/>
                <w:sz w:val="13"/>
                <w:szCs w:val="20"/>
              </w:rPr>
              <w:t>5.286</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51EA0BE">
            <w:pPr>
              <w:spacing w:line="240" w:lineRule="auto"/>
              <w:ind w:left="60" w:right="60"/>
              <w:jc w:val="right"/>
              <w:rPr>
                <w:rFonts w:ascii="Arial" w:hAnsi="Arial"/>
                <w:color w:val="010205"/>
                <w:sz w:val="13"/>
                <w:szCs w:val="20"/>
              </w:rPr>
            </w:pPr>
            <w:r>
              <w:rPr>
                <w:rFonts w:ascii="Arial" w:hAnsi="Arial"/>
                <w:color w:val="010205"/>
                <w:sz w:val="13"/>
                <w:szCs w:val="20"/>
              </w:rPr>
              <w:t>.001</w:t>
            </w:r>
          </w:p>
        </w:tc>
      </w:tr>
      <w:tr w14:paraId="305423E0">
        <w:tblPrEx>
          <w:tblCellMar>
            <w:top w:w="0" w:type="dxa"/>
            <w:left w:w="0" w:type="dxa"/>
            <w:bottom w:w="0" w:type="dxa"/>
            <w:right w:w="0" w:type="dxa"/>
          </w:tblCellMar>
        </w:tblPrEx>
        <w:trPr>
          <w:cantSplit/>
        </w:trPr>
        <w:tc>
          <w:tcPr>
            <w:tcW w:w="255" w:type="dxa"/>
            <w:vMerge w:val="continue"/>
            <w:tcBorders>
              <w:top w:val="nil"/>
              <w:left w:val="single" w:color="auto" w:sz="4" w:space="0"/>
              <w:bottom w:val="single" w:color="auto" w:sz="4" w:space="0"/>
              <w:right w:val="nil"/>
              <w:tl2br w:val="nil"/>
              <w:tr2bl w:val="nil"/>
            </w:tcBorders>
            <w:shd w:val="clear" w:color="auto" w:fill="E0E0E0"/>
          </w:tcPr>
          <w:p w14:paraId="30DCFC1F">
            <w:pPr>
              <w:spacing w:line="240" w:lineRule="auto"/>
              <w:rPr>
                <w:rFonts w:ascii="Arial" w:hAnsi="Arial"/>
                <w:color w:val="010205"/>
                <w:sz w:val="13"/>
                <w:szCs w:val="20"/>
              </w:rPr>
            </w:pPr>
          </w:p>
        </w:tc>
        <w:tc>
          <w:tcPr>
            <w:tcW w:w="764" w:type="dxa"/>
            <w:tcBorders>
              <w:top w:val="nil"/>
              <w:left w:val="nil"/>
              <w:bottom w:val="single" w:color="auto" w:sz="4" w:space="0"/>
              <w:right w:val="single" w:color="auto" w:sz="4" w:space="0"/>
              <w:tl2br w:val="nil"/>
              <w:tr2bl w:val="nil"/>
            </w:tcBorders>
            <w:shd w:val="clear" w:color="auto" w:fill="E0E0E0"/>
          </w:tcPr>
          <w:p w14:paraId="34688CE6">
            <w:pPr>
              <w:spacing w:line="240" w:lineRule="auto"/>
              <w:ind w:left="60" w:right="60"/>
              <w:rPr>
                <w:rFonts w:ascii="Arial" w:hAnsi="Arial"/>
                <w:color w:val="264A60"/>
                <w:sz w:val="13"/>
                <w:szCs w:val="20"/>
              </w:rPr>
            </w:pPr>
            <w:r>
              <w:rPr>
                <w:rFonts w:ascii="Arial" w:hAnsi="Arial"/>
                <w:color w:val="264A60"/>
                <w:sz w:val="13"/>
                <w:szCs w:val="20"/>
              </w:rPr>
              <w:t>CH_X3</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FAF64A2">
            <w:pPr>
              <w:spacing w:line="240" w:lineRule="auto"/>
              <w:ind w:left="60" w:right="60"/>
              <w:jc w:val="right"/>
              <w:rPr>
                <w:rFonts w:ascii="Arial" w:hAnsi="Arial"/>
                <w:color w:val="010205"/>
                <w:sz w:val="13"/>
                <w:szCs w:val="20"/>
              </w:rPr>
            </w:pPr>
            <w:r>
              <w:rPr>
                <w:rFonts w:ascii="Arial" w:hAnsi="Arial"/>
                <w:color w:val="010205"/>
                <w:sz w:val="13"/>
                <w:szCs w:val="20"/>
              </w:rPr>
              <w:t>1.403</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C3F0E6A">
            <w:pPr>
              <w:spacing w:line="240" w:lineRule="auto"/>
              <w:ind w:left="60" w:right="60"/>
              <w:jc w:val="right"/>
              <w:rPr>
                <w:rFonts w:ascii="Arial" w:hAnsi="Arial"/>
                <w:color w:val="010205"/>
                <w:sz w:val="13"/>
                <w:szCs w:val="20"/>
              </w:rPr>
            </w:pPr>
            <w:r>
              <w:rPr>
                <w:rFonts w:ascii="Arial" w:hAnsi="Arial"/>
                <w:color w:val="010205"/>
                <w:sz w:val="13"/>
                <w:szCs w:val="20"/>
              </w:rPr>
              <w:t>1.560</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908B9F0">
            <w:pPr>
              <w:spacing w:line="240" w:lineRule="auto"/>
              <w:ind w:left="60" w:right="60"/>
              <w:jc w:val="right"/>
              <w:rPr>
                <w:rFonts w:ascii="Arial" w:hAnsi="Arial"/>
                <w:color w:val="010205"/>
                <w:sz w:val="13"/>
                <w:szCs w:val="20"/>
              </w:rPr>
            </w:pPr>
            <w:r>
              <w:rPr>
                <w:rFonts w:ascii="Arial" w:hAnsi="Arial"/>
                <w:color w:val="010205"/>
                <w:sz w:val="13"/>
                <w:szCs w:val="20"/>
              </w:rPr>
              <w:t>.092</w:t>
            </w: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EADDC19">
            <w:pPr>
              <w:spacing w:line="240" w:lineRule="auto"/>
              <w:ind w:left="60" w:right="60"/>
              <w:jc w:val="right"/>
              <w:rPr>
                <w:rFonts w:ascii="Arial" w:hAnsi="Arial"/>
                <w:color w:val="010205"/>
                <w:sz w:val="13"/>
                <w:szCs w:val="20"/>
              </w:rPr>
            </w:pPr>
            <w:r>
              <w:rPr>
                <w:rFonts w:ascii="Arial" w:hAnsi="Arial"/>
                <w:color w:val="010205"/>
                <w:sz w:val="13"/>
                <w:szCs w:val="20"/>
              </w:rPr>
              <w:t>.900</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137AD3B">
            <w:pPr>
              <w:spacing w:line="240" w:lineRule="auto"/>
              <w:ind w:left="60" w:right="60"/>
              <w:jc w:val="right"/>
              <w:rPr>
                <w:rFonts w:ascii="Arial" w:hAnsi="Arial"/>
                <w:color w:val="010205"/>
                <w:sz w:val="13"/>
                <w:szCs w:val="20"/>
              </w:rPr>
            </w:pPr>
            <w:r>
              <w:rPr>
                <w:rFonts w:ascii="Arial" w:hAnsi="Arial"/>
                <w:color w:val="010205"/>
                <w:sz w:val="13"/>
                <w:szCs w:val="20"/>
              </w:rPr>
              <w:t>.372</w:t>
            </w:r>
          </w:p>
        </w:tc>
      </w:tr>
      <w:tr w14:paraId="70537442">
        <w:tblPrEx>
          <w:tblCellMar>
            <w:top w:w="0" w:type="dxa"/>
            <w:left w:w="0" w:type="dxa"/>
            <w:bottom w:w="0" w:type="dxa"/>
            <w:right w:w="0" w:type="dxa"/>
          </w:tblCellMar>
        </w:tblPrEx>
        <w:trPr>
          <w:cantSplit/>
        </w:trPr>
        <w:tc>
          <w:tcPr>
            <w:tcW w:w="4108"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tcPr>
          <w:p w14:paraId="1F868822">
            <w:pPr>
              <w:spacing w:line="240" w:lineRule="auto"/>
              <w:ind w:left="60" w:right="60"/>
              <w:rPr>
                <w:rFonts w:ascii="Arial" w:hAnsi="Arial"/>
                <w:color w:val="010205"/>
                <w:sz w:val="13"/>
                <w:szCs w:val="20"/>
              </w:rPr>
            </w:pPr>
            <w:r>
              <w:rPr>
                <w:rFonts w:ascii="Arial" w:hAnsi="Arial"/>
                <w:color w:val="010205"/>
                <w:sz w:val="13"/>
                <w:szCs w:val="20"/>
              </w:rPr>
              <w:t>a. Dependent Variable: PBV_Y</w:t>
            </w:r>
          </w:p>
        </w:tc>
      </w:tr>
    </w:tbl>
    <w:p w14:paraId="3152960B">
      <w:pPr>
        <w:spacing w:line="240" w:lineRule="auto"/>
        <w:rPr>
          <w:rFonts w:hint="default"/>
          <w:b w:val="0"/>
          <w:sz w:val="22"/>
          <w:szCs w:val="22"/>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5A5310AA">
      <w:pPr>
        <w:pStyle w:val="12"/>
        <w:spacing w:line="240" w:lineRule="auto"/>
        <w:ind w:firstLine="330" w:firstLineChars="150"/>
        <w:jc w:val="both"/>
        <w:textAlignment w:val="baseline"/>
        <w:rPr>
          <w:rFonts w:ascii="Times New Roman" w:hAnsi="Times New Roman" w:cs="Times New Roman"/>
          <w:bCs/>
          <w:sz w:val="22"/>
          <w:szCs w:val="22"/>
        </w:rPr>
      </w:pPr>
      <w:r>
        <w:rPr>
          <w:rFonts w:ascii="Times New Roman" w:hAnsi="Times New Roman" w:cs="Times New Roman"/>
          <w:bCs/>
          <w:sz w:val="22"/>
          <w:szCs w:val="22"/>
        </w:rPr>
        <w:t xml:space="preserve">Berdasarkan tabel </w:t>
      </w:r>
      <w:r>
        <w:rPr>
          <w:rFonts w:hint="default" w:ascii="Times New Roman" w:hAnsi="Times New Roman" w:cs="Times New Roman"/>
          <w:bCs/>
          <w:sz w:val="22"/>
          <w:szCs w:val="22"/>
          <w:lang w:val="en-US"/>
        </w:rPr>
        <w:t>6,</w:t>
      </w:r>
      <w:r>
        <w:rPr>
          <w:rFonts w:ascii="Times New Roman" w:hAnsi="Times New Roman" w:cs="Times New Roman"/>
          <w:bCs/>
          <w:sz w:val="22"/>
          <w:szCs w:val="22"/>
        </w:rPr>
        <w:t xml:space="preserve"> maka dapat dilihat persamaan regresi dalam penelitian ini adalah sebagai berikut :</w:t>
      </w:r>
    </w:p>
    <w:p w14:paraId="7F9A4FF0">
      <w:pPr>
        <w:pStyle w:val="12"/>
        <w:spacing w:line="240" w:lineRule="auto"/>
        <w:jc w:val="both"/>
        <w:textAlignment w:val="baseline"/>
        <w:rPr>
          <w:rFonts w:ascii="Times New Roman" w:hAnsi="Times New Roman" w:cs="Times New Roman"/>
          <w:bCs/>
          <w:sz w:val="22"/>
          <w:szCs w:val="22"/>
        </w:rPr>
      </w:pPr>
      <w:r>
        <w:rPr>
          <w:rFonts w:ascii="Times New Roman" w:hAnsi="Times New Roman" w:cs="Times New Roman"/>
          <w:bCs/>
          <w:sz w:val="22"/>
          <w:szCs w:val="22"/>
        </w:rPr>
        <w:t>Y = 4.257 - 19.216 ETR + 0.065 PER + 1.403 CH + e</w:t>
      </w:r>
    </w:p>
    <w:p w14:paraId="6B399926">
      <w:pPr>
        <w:pStyle w:val="12"/>
        <w:numPr>
          <w:ilvl w:val="0"/>
          <w:numId w:val="3"/>
        </w:numPr>
        <w:tabs>
          <w:tab w:val="clear" w:pos="425"/>
        </w:tabs>
        <w:spacing w:line="240" w:lineRule="auto"/>
        <w:jc w:val="both"/>
        <w:textAlignment w:val="baseline"/>
        <w:rPr>
          <w:rFonts w:ascii="Times New Roman" w:hAnsi="Times New Roman" w:cs="Times New Roman"/>
          <w:bCs/>
          <w:sz w:val="22"/>
          <w:szCs w:val="22"/>
        </w:rPr>
      </w:pPr>
      <w:r>
        <w:rPr>
          <w:rFonts w:ascii="Times New Roman" w:hAnsi="Times New Roman" w:cs="Times New Roman"/>
          <w:bCs/>
          <w:sz w:val="22"/>
          <w:szCs w:val="22"/>
        </w:rPr>
        <w:t>Nilai konstanta (</w:t>
      </w:r>
      <w:r>
        <w:rPr>
          <w:rFonts w:ascii="Arial" w:hAnsi="Arial" w:cs="Arial"/>
          <w:bCs/>
          <w:sz w:val="22"/>
          <w:szCs w:val="22"/>
        </w:rPr>
        <w:t>α</w:t>
      </w:r>
      <w:r>
        <w:rPr>
          <w:rFonts w:ascii="Times New Roman" w:hAnsi="Times New Roman" w:cs="Times New Roman"/>
          <w:bCs/>
          <w:sz w:val="22"/>
          <w:szCs w:val="22"/>
        </w:rPr>
        <w:t xml:space="preserve">) bernilai positive 4,257. Artinya tanpa adanya pengaruh variabel bebas, yaitu perencanaan pajak, keputusan investasi dan </w:t>
      </w:r>
      <w:r>
        <w:rPr>
          <w:rFonts w:ascii="Times New Roman" w:hAnsi="Times New Roman" w:cs="Times New Roman"/>
          <w:bCs/>
          <w:i/>
          <w:iCs/>
          <w:sz w:val="22"/>
          <w:szCs w:val="22"/>
        </w:rPr>
        <w:t>cash holding</w:t>
      </w:r>
      <w:r>
        <w:rPr>
          <w:rFonts w:ascii="Times New Roman" w:hAnsi="Times New Roman" w:cs="Times New Roman"/>
          <w:bCs/>
          <w:sz w:val="22"/>
          <w:szCs w:val="22"/>
        </w:rPr>
        <w:t xml:space="preserve"> maka nilai dari nilai perusahaan adalah 4,257.</w:t>
      </w:r>
    </w:p>
    <w:p w14:paraId="709411A5">
      <w:pPr>
        <w:pStyle w:val="12"/>
        <w:numPr>
          <w:ilvl w:val="0"/>
          <w:numId w:val="3"/>
        </w:numPr>
        <w:tabs>
          <w:tab w:val="clear" w:pos="425"/>
        </w:tabs>
        <w:spacing w:line="240" w:lineRule="auto"/>
        <w:jc w:val="both"/>
        <w:textAlignment w:val="baseline"/>
        <w:rPr>
          <w:rFonts w:ascii="Times New Roman" w:hAnsi="Times New Roman" w:cs="Times New Roman"/>
          <w:bCs/>
          <w:sz w:val="22"/>
          <w:szCs w:val="22"/>
        </w:rPr>
      </w:pPr>
      <w:r>
        <w:rPr>
          <w:rFonts w:ascii="Times New Roman" w:hAnsi="Times New Roman" w:cs="Times New Roman"/>
          <w:bCs/>
          <w:sz w:val="22"/>
          <w:szCs w:val="22"/>
        </w:rPr>
        <w:t xml:space="preserve">Nilai koefisien regresi perencanaan pajak bernilai negatif -19,216. artinya ketika variabel ETR mengalami kenaikan sebesar 1 satuan maka nilai perusahaan akan mengalami penurunan sebesar 19,216 dengan asumsi bahwa variabel lain konstan.  </w:t>
      </w:r>
    </w:p>
    <w:p w14:paraId="1DAF7B42">
      <w:pPr>
        <w:pStyle w:val="12"/>
        <w:numPr>
          <w:ilvl w:val="0"/>
          <w:numId w:val="3"/>
        </w:numPr>
        <w:tabs>
          <w:tab w:val="clear" w:pos="425"/>
        </w:tabs>
        <w:spacing w:line="240" w:lineRule="auto"/>
        <w:jc w:val="both"/>
        <w:textAlignment w:val="baseline"/>
        <w:rPr>
          <w:rFonts w:ascii="Times New Roman" w:hAnsi="Times New Roman" w:cs="Times New Roman"/>
          <w:bCs/>
          <w:sz w:val="22"/>
          <w:szCs w:val="22"/>
        </w:rPr>
      </w:pPr>
      <w:r>
        <w:rPr>
          <w:rFonts w:ascii="Times New Roman" w:hAnsi="Times New Roman" w:cs="Times New Roman"/>
          <w:bCs/>
          <w:sz w:val="22"/>
          <w:szCs w:val="22"/>
        </w:rPr>
        <w:t xml:space="preserve">Nilai koefisien regresi keputusan investasi sebesar 0,065. yang berarti bahwa apabila variabel PER meningkat 1 satuan, maka nilai perusahaan akan  meningkat sebesar 0,065 dengan asumsi bahwa variabel lain konstan. </w:t>
      </w:r>
    </w:p>
    <w:p w14:paraId="1EE818ED">
      <w:pPr>
        <w:pStyle w:val="12"/>
        <w:numPr>
          <w:ilvl w:val="0"/>
          <w:numId w:val="3"/>
        </w:numPr>
        <w:tabs>
          <w:tab w:val="clear" w:pos="425"/>
        </w:tabs>
        <w:spacing w:line="240" w:lineRule="auto"/>
        <w:jc w:val="both"/>
        <w:textAlignment w:val="baseline"/>
        <w:rPr>
          <w:rFonts w:hint="default"/>
          <w:b w:val="0"/>
          <w:sz w:val="22"/>
          <w:szCs w:val="22"/>
          <w:lang w:val="en-US"/>
        </w:rPr>
      </w:pPr>
      <w:r>
        <w:rPr>
          <w:rFonts w:ascii="Times New Roman" w:hAnsi="Times New Roman" w:cs="Times New Roman"/>
          <w:bCs/>
          <w:sz w:val="22"/>
          <w:szCs w:val="22"/>
        </w:rPr>
        <w:t xml:space="preserve">Nilai koefisien regresi </w:t>
      </w:r>
      <w:r>
        <w:rPr>
          <w:rFonts w:ascii="Times New Roman" w:hAnsi="Times New Roman" w:cs="Times New Roman"/>
          <w:bCs/>
          <w:i/>
          <w:iCs/>
          <w:sz w:val="22"/>
          <w:szCs w:val="22"/>
        </w:rPr>
        <w:t xml:space="preserve">cash holding </w:t>
      </w:r>
      <w:r>
        <w:rPr>
          <w:rFonts w:ascii="Times New Roman" w:hAnsi="Times New Roman" w:cs="Times New Roman"/>
          <w:bCs/>
          <w:sz w:val="22"/>
          <w:szCs w:val="22"/>
        </w:rPr>
        <w:t>sebesar 1,403. yang berarti bahwa apabila variabel</w:t>
      </w:r>
      <w:r>
        <w:rPr>
          <w:rFonts w:ascii="Times New Roman" w:hAnsi="Times New Roman" w:cs="Times New Roman"/>
          <w:bCs/>
          <w:i/>
          <w:iCs/>
          <w:sz w:val="22"/>
          <w:szCs w:val="22"/>
        </w:rPr>
        <w:t xml:space="preserve"> </w:t>
      </w:r>
      <w:r>
        <w:rPr>
          <w:rFonts w:ascii="Times New Roman" w:hAnsi="Times New Roman" w:cs="Times New Roman"/>
          <w:bCs/>
          <w:sz w:val="22"/>
          <w:szCs w:val="22"/>
        </w:rPr>
        <w:t xml:space="preserve">CH meningkat satu satuan, maka nilai perusahaan juga akan meningkat sebesar 1,403 dengan asumsi bahwa variabel lain konstan. </w:t>
      </w:r>
    </w:p>
    <w:p w14:paraId="3DAAA578">
      <w:pPr>
        <w:pStyle w:val="21"/>
        <w:spacing w:before="0" w:after="0"/>
        <w:jc w:val="both"/>
        <w:rPr>
          <w:rFonts w:hint="default"/>
          <w:sz w:val="22"/>
          <w:szCs w:val="22"/>
          <w:lang w:val="en-US"/>
        </w:rPr>
      </w:pPr>
      <w:r>
        <w:rPr>
          <w:rFonts w:hint="default"/>
          <w:sz w:val="22"/>
          <w:szCs w:val="22"/>
          <w:lang w:val="en-US"/>
        </w:rPr>
        <w:t>Uji Hipotesis</w:t>
      </w:r>
    </w:p>
    <w:p w14:paraId="630196E8">
      <w:pPr>
        <w:pStyle w:val="21"/>
        <w:spacing w:before="0" w:after="0"/>
        <w:jc w:val="both"/>
        <w:rPr>
          <w:rFonts w:hint="default"/>
          <w:sz w:val="22"/>
          <w:szCs w:val="22"/>
          <w:lang w:val="en-US"/>
        </w:rPr>
      </w:pPr>
      <w:r>
        <w:rPr>
          <w:rFonts w:hint="default"/>
          <w:sz w:val="22"/>
          <w:szCs w:val="22"/>
          <w:lang w:val="en-US"/>
        </w:rPr>
        <w:t>Uji Simultan (F)</w:t>
      </w:r>
    </w:p>
    <w:p w14:paraId="6F2658F2">
      <w:pPr>
        <w:pStyle w:val="21"/>
        <w:spacing w:before="0" w:after="0"/>
        <w:jc w:val="both"/>
        <w:rPr>
          <w:rFonts w:hint="default"/>
          <w:sz w:val="22"/>
          <w:szCs w:val="22"/>
          <w:lang w:val="en-US"/>
        </w:rPr>
      </w:pPr>
    </w:p>
    <w:p w14:paraId="5A344367">
      <w:pPr>
        <w:pStyle w:val="22"/>
        <w:jc w:val="center"/>
        <w:rPr>
          <w:rFonts w:hint="default"/>
          <w:b/>
          <w:bCs/>
          <w:i w:val="0"/>
          <w:iCs w:val="0"/>
          <w:sz w:val="22"/>
          <w:szCs w:val="22"/>
          <w:lang w:val="en-US"/>
        </w:rPr>
      </w:pPr>
      <w:r>
        <w:rPr>
          <w:rFonts w:hint="default"/>
          <w:b/>
          <w:bCs/>
          <w:i w:val="0"/>
          <w:iCs w:val="0"/>
          <w:sz w:val="22"/>
          <w:szCs w:val="22"/>
          <w:lang w:val="en-US"/>
        </w:rPr>
        <w:t>Tabel 7</w:t>
      </w:r>
    </w:p>
    <w:p w14:paraId="33EB6B80">
      <w:pPr>
        <w:pStyle w:val="22"/>
        <w:jc w:val="center"/>
        <w:rPr>
          <w:rFonts w:hint="default"/>
          <w:b/>
          <w:bCs/>
          <w:i w:val="0"/>
          <w:iCs w:val="0"/>
          <w:sz w:val="22"/>
          <w:szCs w:val="22"/>
          <w:lang w:val="en-US"/>
        </w:rPr>
      </w:pPr>
      <w:r>
        <w:rPr>
          <w:rFonts w:hint="default"/>
          <w:b/>
          <w:bCs/>
          <w:i w:val="0"/>
          <w:iCs w:val="0"/>
          <w:sz w:val="22"/>
          <w:szCs w:val="22"/>
          <w:lang w:val="en-US"/>
        </w:rPr>
        <w:t>Hasil Uji Simultan (F)</w:t>
      </w:r>
    </w:p>
    <w:tbl>
      <w:tblPr>
        <w:tblStyle w:val="3"/>
        <w:tblpPr w:leftFromText="180" w:rightFromText="180" w:vertAnchor="text" w:horzAnchor="page" w:tblpX="1658" w:tblpY="165"/>
        <w:tblOverlap w:val="never"/>
        <w:tblW w:w="4284" w:type="dxa"/>
        <w:tblInd w:w="0" w:type="dxa"/>
        <w:tblLayout w:type="fixed"/>
        <w:tblCellMar>
          <w:top w:w="0" w:type="dxa"/>
          <w:left w:w="0" w:type="dxa"/>
          <w:bottom w:w="0" w:type="dxa"/>
          <w:right w:w="0" w:type="dxa"/>
        </w:tblCellMar>
      </w:tblPr>
      <w:tblGrid>
        <w:gridCol w:w="328"/>
        <w:gridCol w:w="912"/>
        <w:gridCol w:w="779"/>
        <w:gridCol w:w="456"/>
        <w:gridCol w:w="721"/>
        <w:gridCol w:w="603"/>
        <w:gridCol w:w="485"/>
      </w:tblGrid>
      <w:tr w14:paraId="27E51590">
        <w:tblPrEx>
          <w:tblCellMar>
            <w:top w:w="0" w:type="dxa"/>
            <w:left w:w="0" w:type="dxa"/>
            <w:bottom w:w="0" w:type="dxa"/>
            <w:right w:w="0" w:type="dxa"/>
          </w:tblCellMar>
        </w:tblPrEx>
        <w:trPr>
          <w:cantSplit/>
          <w:trHeight w:val="388" w:hRule="atLeast"/>
        </w:trPr>
        <w:tc>
          <w:tcPr>
            <w:tcW w:w="4284"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09C3EBA8">
            <w:pPr>
              <w:spacing w:line="240" w:lineRule="auto"/>
              <w:ind w:left="60" w:right="60"/>
              <w:jc w:val="center"/>
              <w:rPr>
                <w:rFonts w:ascii="Arial" w:hAnsi="Arial"/>
                <w:color w:val="010205"/>
                <w:sz w:val="15"/>
                <w:szCs w:val="15"/>
              </w:rPr>
            </w:pPr>
            <w:r>
              <w:rPr>
                <w:rFonts w:ascii="Arial" w:hAnsi="Arial"/>
                <w:b/>
                <w:color w:val="010205"/>
                <w:sz w:val="15"/>
                <w:szCs w:val="15"/>
              </w:rPr>
              <w:t>ANOVA</w:t>
            </w:r>
            <w:r>
              <w:rPr>
                <w:rFonts w:ascii="Arial" w:hAnsi="Arial"/>
                <w:b/>
                <w:color w:val="010205"/>
                <w:sz w:val="15"/>
                <w:szCs w:val="15"/>
                <w:vertAlign w:val="superscript"/>
              </w:rPr>
              <w:t>a</w:t>
            </w:r>
          </w:p>
        </w:tc>
      </w:tr>
      <w:tr w14:paraId="11DE9A7D">
        <w:tblPrEx>
          <w:tblCellMar>
            <w:top w:w="0" w:type="dxa"/>
            <w:left w:w="0" w:type="dxa"/>
            <w:bottom w:w="0" w:type="dxa"/>
            <w:right w:w="0" w:type="dxa"/>
          </w:tblCellMar>
        </w:tblPrEx>
        <w:trPr>
          <w:cantSplit/>
          <w:trHeight w:val="622" w:hRule="atLeast"/>
        </w:trPr>
        <w:tc>
          <w:tcPr>
            <w:tcW w:w="1240" w:type="dxa"/>
            <w:gridSpan w:val="2"/>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C14D400">
            <w:pPr>
              <w:spacing w:line="240" w:lineRule="auto"/>
              <w:ind w:left="60" w:right="60"/>
              <w:rPr>
                <w:rFonts w:ascii="Arial" w:hAnsi="Arial"/>
                <w:color w:val="264A60"/>
                <w:sz w:val="15"/>
                <w:szCs w:val="15"/>
              </w:rPr>
            </w:pPr>
            <w:r>
              <w:rPr>
                <w:rFonts w:ascii="Arial" w:hAnsi="Arial"/>
                <w:color w:val="264A60"/>
                <w:sz w:val="15"/>
                <w:szCs w:val="15"/>
              </w:rPr>
              <w:t>Model</w:t>
            </w: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30D7803">
            <w:pPr>
              <w:spacing w:line="240" w:lineRule="auto"/>
              <w:ind w:left="60" w:right="60"/>
              <w:jc w:val="center"/>
              <w:rPr>
                <w:rFonts w:ascii="Arial" w:hAnsi="Arial"/>
                <w:color w:val="264A60"/>
                <w:sz w:val="15"/>
                <w:szCs w:val="15"/>
              </w:rPr>
            </w:pPr>
            <w:r>
              <w:rPr>
                <w:rFonts w:ascii="Arial" w:hAnsi="Arial"/>
                <w:color w:val="264A60"/>
                <w:sz w:val="15"/>
                <w:szCs w:val="15"/>
              </w:rPr>
              <w:t>Sum of Squares</w:t>
            </w:r>
          </w:p>
        </w:tc>
        <w:tc>
          <w:tcPr>
            <w:tcW w:w="456"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C061CC1">
            <w:pPr>
              <w:spacing w:line="240" w:lineRule="auto"/>
              <w:ind w:left="60" w:right="60"/>
              <w:jc w:val="center"/>
              <w:rPr>
                <w:rFonts w:ascii="Arial" w:hAnsi="Arial"/>
                <w:color w:val="264A60"/>
                <w:sz w:val="15"/>
                <w:szCs w:val="15"/>
              </w:rPr>
            </w:pPr>
            <w:r>
              <w:rPr>
                <w:rFonts w:ascii="Arial" w:hAnsi="Arial"/>
                <w:color w:val="264A60"/>
                <w:sz w:val="15"/>
                <w:szCs w:val="15"/>
              </w:rPr>
              <w:t>df</w:t>
            </w:r>
          </w:p>
        </w:tc>
        <w:tc>
          <w:tcPr>
            <w:tcW w:w="721"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53BC5E5">
            <w:pPr>
              <w:spacing w:line="240" w:lineRule="auto"/>
              <w:ind w:left="60" w:right="60"/>
              <w:jc w:val="center"/>
              <w:rPr>
                <w:rFonts w:ascii="Arial" w:hAnsi="Arial"/>
                <w:color w:val="264A60"/>
                <w:sz w:val="15"/>
                <w:szCs w:val="15"/>
              </w:rPr>
            </w:pPr>
            <w:r>
              <w:rPr>
                <w:rFonts w:ascii="Arial" w:hAnsi="Arial"/>
                <w:color w:val="264A60"/>
                <w:sz w:val="15"/>
                <w:szCs w:val="15"/>
              </w:rPr>
              <w:t>Mean Square</w:t>
            </w:r>
          </w:p>
        </w:tc>
        <w:tc>
          <w:tcPr>
            <w:tcW w:w="603"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0661BAFC">
            <w:pPr>
              <w:spacing w:line="240" w:lineRule="auto"/>
              <w:ind w:left="60" w:right="60"/>
              <w:jc w:val="center"/>
              <w:rPr>
                <w:rFonts w:ascii="Arial" w:hAnsi="Arial"/>
                <w:color w:val="264A60"/>
                <w:sz w:val="15"/>
                <w:szCs w:val="15"/>
              </w:rPr>
            </w:pPr>
            <w:r>
              <w:rPr>
                <w:rFonts w:ascii="Arial" w:hAnsi="Arial"/>
                <w:color w:val="264A60"/>
                <w:sz w:val="15"/>
                <w:szCs w:val="15"/>
              </w:rPr>
              <w:t>F</w:t>
            </w:r>
          </w:p>
        </w:tc>
        <w:tc>
          <w:tcPr>
            <w:tcW w:w="48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E7DDC52">
            <w:pPr>
              <w:spacing w:line="240" w:lineRule="auto"/>
              <w:ind w:left="60" w:right="60"/>
              <w:jc w:val="center"/>
              <w:rPr>
                <w:rFonts w:ascii="Arial" w:hAnsi="Arial"/>
                <w:color w:val="264A60"/>
                <w:sz w:val="15"/>
                <w:szCs w:val="15"/>
              </w:rPr>
            </w:pPr>
            <w:r>
              <w:rPr>
                <w:rFonts w:ascii="Arial" w:hAnsi="Arial"/>
                <w:color w:val="264A60"/>
                <w:sz w:val="15"/>
                <w:szCs w:val="15"/>
              </w:rPr>
              <w:t>Sig.</w:t>
            </w:r>
          </w:p>
        </w:tc>
      </w:tr>
      <w:tr w14:paraId="70006084">
        <w:tblPrEx>
          <w:tblCellMar>
            <w:top w:w="0" w:type="dxa"/>
            <w:left w:w="0" w:type="dxa"/>
            <w:bottom w:w="0" w:type="dxa"/>
            <w:right w:w="0" w:type="dxa"/>
          </w:tblCellMar>
        </w:tblPrEx>
        <w:trPr>
          <w:cantSplit/>
          <w:trHeight w:val="388" w:hRule="atLeast"/>
        </w:trPr>
        <w:tc>
          <w:tcPr>
            <w:tcW w:w="328" w:type="dxa"/>
            <w:vMerge w:val="restart"/>
            <w:tcBorders>
              <w:top w:val="single" w:color="auto" w:sz="4" w:space="0"/>
              <w:left w:val="single" w:color="auto" w:sz="4" w:space="0"/>
              <w:bottom w:val="single" w:color="auto" w:sz="4" w:space="0"/>
              <w:right w:val="single" w:color="auto" w:sz="4" w:space="0"/>
              <w:tl2br w:val="nil"/>
              <w:tr2bl w:val="nil"/>
            </w:tcBorders>
            <w:shd w:val="clear" w:color="auto" w:fill="E0E0E0"/>
          </w:tcPr>
          <w:p w14:paraId="5510B022">
            <w:pPr>
              <w:spacing w:line="240" w:lineRule="auto"/>
              <w:ind w:left="60" w:right="60"/>
              <w:rPr>
                <w:rFonts w:ascii="Arial" w:hAnsi="Arial"/>
                <w:color w:val="264A60"/>
                <w:sz w:val="15"/>
                <w:szCs w:val="15"/>
              </w:rPr>
            </w:pPr>
            <w:r>
              <w:rPr>
                <w:rFonts w:ascii="Arial" w:hAnsi="Arial"/>
                <w:color w:val="264A60"/>
                <w:sz w:val="15"/>
                <w:szCs w:val="15"/>
              </w:rPr>
              <w:t>1</w:t>
            </w:r>
          </w:p>
        </w:tc>
        <w:tc>
          <w:tcPr>
            <w:tcW w:w="912"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2743D67E">
            <w:pPr>
              <w:spacing w:line="240" w:lineRule="auto"/>
              <w:ind w:left="60" w:right="60"/>
              <w:rPr>
                <w:rFonts w:ascii="Arial" w:hAnsi="Arial"/>
                <w:color w:val="264A60"/>
                <w:sz w:val="15"/>
                <w:szCs w:val="15"/>
              </w:rPr>
            </w:pPr>
            <w:r>
              <w:rPr>
                <w:rFonts w:ascii="Arial" w:hAnsi="Arial"/>
                <w:color w:val="264A60"/>
                <w:sz w:val="15"/>
                <w:szCs w:val="15"/>
              </w:rPr>
              <w:t>Regression</w:t>
            </w: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3D5EB877">
            <w:pPr>
              <w:spacing w:line="240" w:lineRule="auto"/>
              <w:ind w:left="60" w:right="60"/>
              <w:jc w:val="right"/>
              <w:rPr>
                <w:rFonts w:ascii="Arial" w:hAnsi="Arial"/>
                <w:color w:val="010205"/>
                <w:sz w:val="15"/>
                <w:szCs w:val="15"/>
              </w:rPr>
            </w:pPr>
            <w:r>
              <w:rPr>
                <w:rFonts w:ascii="Arial" w:hAnsi="Arial"/>
                <w:color w:val="010205"/>
                <w:sz w:val="15"/>
                <w:szCs w:val="15"/>
              </w:rPr>
              <w:t>12.488</w:t>
            </w:r>
          </w:p>
        </w:tc>
        <w:tc>
          <w:tcPr>
            <w:tcW w:w="45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7FF7650">
            <w:pPr>
              <w:spacing w:line="240" w:lineRule="auto"/>
              <w:ind w:left="60" w:right="60"/>
              <w:jc w:val="right"/>
              <w:rPr>
                <w:rFonts w:ascii="Arial" w:hAnsi="Arial"/>
                <w:color w:val="010205"/>
                <w:sz w:val="15"/>
                <w:szCs w:val="15"/>
              </w:rPr>
            </w:pPr>
            <w:r>
              <w:rPr>
                <w:rFonts w:ascii="Arial" w:hAnsi="Arial"/>
                <w:color w:val="010205"/>
                <w:sz w:val="15"/>
                <w:szCs w:val="15"/>
              </w:rPr>
              <w:t>3</w:t>
            </w:r>
          </w:p>
        </w:tc>
        <w:tc>
          <w:tcPr>
            <w:tcW w:w="721"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E84D41A">
            <w:pPr>
              <w:spacing w:line="240" w:lineRule="auto"/>
              <w:ind w:left="60" w:right="60"/>
              <w:jc w:val="right"/>
              <w:rPr>
                <w:rFonts w:ascii="Arial" w:hAnsi="Arial"/>
                <w:color w:val="010205"/>
                <w:sz w:val="15"/>
                <w:szCs w:val="15"/>
              </w:rPr>
            </w:pPr>
            <w:r>
              <w:rPr>
                <w:rFonts w:ascii="Arial" w:hAnsi="Arial"/>
                <w:color w:val="010205"/>
                <w:sz w:val="15"/>
                <w:szCs w:val="15"/>
              </w:rPr>
              <w:t>4.163</w:t>
            </w:r>
          </w:p>
        </w:tc>
        <w:tc>
          <w:tcPr>
            <w:tcW w:w="60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F51554A">
            <w:pPr>
              <w:spacing w:line="240" w:lineRule="auto"/>
              <w:ind w:left="60" w:right="60"/>
              <w:jc w:val="right"/>
              <w:rPr>
                <w:rFonts w:ascii="Arial" w:hAnsi="Arial"/>
                <w:color w:val="010205"/>
                <w:sz w:val="15"/>
                <w:szCs w:val="15"/>
              </w:rPr>
            </w:pPr>
            <w:r>
              <w:rPr>
                <w:rFonts w:ascii="Arial" w:hAnsi="Arial"/>
                <w:color w:val="010205"/>
                <w:sz w:val="15"/>
                <w:szCs w:val="15"/>
              </w:rPr>
              <w:t>15.133</w:t>
            </w:r>
          </w:p>
        </w:tc>
        <w:tc>
          <w:tcPr>
            <w:tcW w:w="48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0C6EC56">
            <w:pPr>
              <w:spacing w:line="240" w:lineRule="auto"/>
              <w:ind w:left="60" w:right="60"/>
              <w:jc w:val="right"/>
              <w:rPr>
                <w:rFonts w:ascii="Arial" w:hAnsi="Arial"/>
                <w:color w:val="010205"/>
                <w:sz w:val="15"/>
                <w:szCs w:val="15"/>
              </w:rPr>
            </w:pPr>
            <w:r>
              <w:rPr>
                <w:rFonts w:ascii="Arial" w:hAnsi="Arial"/>
                <w:color w:val="010205"/>
                <w:sz w:val="15"/>
                <w:szCs w:val="15"/>
              </w:rPr>
              <w:t>.001</w:t>
            </w:r>
            <w:r>
              <w:rPr>
                <w:rFonts w:ascii="Arial" w:hAnsi="Arial"/>
                <w:color w:val="010205"/>
                <w:sz w:val="15"/>
                <w:szCs w:val="15"/>
                <w:vertAlign w:val="superscript"/>
              </w:rPr>
              <w:t>b</w:t>
            </w:r>
          </w:p>
        </w:tc>
      </w:tr>
      <w:tr w14:paraId="0F65026C">
        <w:tblPrEx>
          <w:tblCellMar>
            <w:top w:w="0" w:type="dxa"/>
            <w:left w:w="0" w:type="dxa"/>
            <w:bottom w:w="0" w:type="dxa"/>
            <w:right w:w="0" w:type="dxa"/>
          </w:tblCellMar>
        </w:tblPrEx>
        <w:trPr>
          <w:cantSplit/>
          <w:trHeight w:val="388" w:hRule="atLeast"/>
        </w:trPr>
        <w:tc>
          <w:tcPr>
            <w:tcW w:w="328"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4DF7D536">
            <w:pPr>
              <w:spacing w:line="240" w:lineRule="auto"/>
              <w:rPr>
                <w:rFonts w:ascii="Arial" w:hAnsi="Arial"/>
                <w:color w:val="010205"/>
                <w:sz w:val="15"/>
                <w:szCs w:val="15"/>
              </w:rPr>
            </w:pPr>
          </w:p>
        </w:tc>
        <w:tc>
          <w:tcPr>
            <w:tcW w:w="912"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352FA552">
            <w:pPr>
              <w:spacing w:line="240" w:lineRule="auto"/>
              <w:ind w:left="60" w:right="60"/>
              <w:rPr>
                <w:rFonts w:ascii="Arial" w:hAnsi="Arial"/>
                <w:color w:val="264A60"/>
                <w:sz w:val="15"/>
                <w:szCs w:val="15"/>
              </w:rPr>
            </w:pPr>
            <w:r>
              <w:rPr>
                <w:rFonts w:ascii="Arial" w:hAnsi="Arial"/>
                <w:color w:val="264A60"/>
                <w:sz w:val="15"/>
                <w:szCs w:val="15"/>
              </w:rPr>
              <w:t>Residual</w:t>
            </w: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444E097">
            <w:pPr>
              <w:spacing w:line="240" w:lineRule="auto"/>
              <w:ind w:left="60" w:right="60"/>
              <w:jc w:val="right"/>
              <w:rPr>
                <w:rFonts w:ascii="Arial" w:hAnsi="Arial"/>
                <w:color w:val="010205"/>
                <w:sz w:val="15"/>
                <w:szCs w:val="15"/>
              </w:rPr>
            </w:pPr>
            <w:r>
              <w:rPr>
                <w:rFonts w:ascii="Arial" w:hAnsi="Arial"/>
                <w:color w:val="010205"/>
                <w:sz w:val="15"/>
                <w:szCs w:val="15"/>
              </w:rPr>
              <w:t>15.404</w:t>
            </w:r>
          </w:p>
        </w:tc>
        <w:tc>
          <w:tcPr>
            <w:tcW w:w="45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1D3D31A">
            <w:pPr>
              <w:spacing w:line="240" w:lineRule="auto"/>
              <w:ind w:left="60" w:right="60"/>
              <w:jc w:val="right"/>
              <w:rPr>
                <w:rFonts w:ascii="Arial" w:hAnsi="Arial"/>
                <w:color w:val="010205"/>
                <w:sz w:val="15"/>
                <w:szCs w:val="15"/>
              </w:rPr>
            </w:pPr>
            <w:r>
              <w:rPr>
                <w:rFonts w:ascii="Arial" w:hAnsi="Arial"/>
                <w:color w:val="010205"/>
                <w:sz w:val="15"/>
                <w:szCs w:val="15"/>
              </w:rPr>
              <w:t>56</w:t>
            </w:r>
          </w:p>
        </w:tc>
        <w:tc>
          <w:tcPr>
            <w:tcW w:w="721"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8C0F6C3">
            <w:pPr>
              <w:spacing w:line="240" w:lineRule="auto"/>
              <w:ind w:left="60" w:right="60"/>
              <w:jc w:val="right"/>
              <w:rPr>
                <w:rFonts w:ascii="Arial" w:hAnsi="Arial"/>
                <w:color w:val="010205"/>
                <w:sz w:val="15"/>
                <w:szCs w:val="15"/>
              </w:rPr>
            </w:pPr>
            <w:r>
              <w:rPr>
                <w:rFonts w:ascii="Arial" w:hAnsi="Arial"/>
                <w:color w:val="010205"/>
                <w:sz w:val="15"/>
                <w:szCs w:val="15"/>
              </w:rPr>
              <w:t>.275</w:t>
            </w:r>
          </w:p>
        </w:tc>
        <w:tc>
          <w:tcPr>
            <w:tcW w:w="603"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26B76401">
            <w:pPr>
              <w:spacing w:line="240" w:lineRule="auto"/>
              <w:rPr>
                <w:sz w:val="15"/>
                <w:szCs w:val="15"/>
              </w:rPr>
            </w:pPr>
          </w:p>
        </w:tc>
        <w:tc>
          <w:tcPr>
            <w:tcW w:w="485"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16EA950D">
            <w:pPr>
              <w:spacing w:line="240" w:lineRule="auto"/>
              <w:rPr>
                <w:sz w:val="15"/>
                <w:szCs w:val="15"/>
              </w:rPr>
            </w:pPr>
          </w:p>
        </w:tc>
      </w:tr>
      <w:tr w14:paraId="46339F12">
        <w:tblPrEx>
          <w:tblCellMar>
            <w:top w:w="0" w:type="dxa"/>
            <w:left w:w="0" w:type="dxa"/>
            <w:bottom w:w="0" w:type="dxa"/>
            <w:right w:w="0" w:type="dxa"/>
          </w:tblCellMar>
        </w:tblPrEx>
        <w:trPr>
          <w:cantSplit/>
          <w:trHeight w:val="388" w:hRule="atLeast"/>
        </w:trPr>
        <w:tc>
          <w:tcPr>
            <w:tcW w:w="328"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E0E0E0"/>
          </w:tcPr>
          <w:p w14:paraId="29C2C834">
            <w:pPr>
              <w:spacing w:line="240" w:lineRule="auto"/>
              <w:rPr>
                <w:sz w:val="15"/>
                <w:szCs w:val="15"/>
              </w:rPr>
            </w:pPr>
          </w:p>
        </w:tc>
        <w:tc>
          <w:tcPr>
            <w:tcW w:w="912"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17487512">
            <w:pPr>
              <w:spacing w:line="240" w:lineRule="auto"/>
              <w:ind w:left="60" w:right="60"/>
              <w:rPr>
                <w:rFonts w:ascii="Arial" w:hAnsi="Arial"/>
                <w:color w:val="264A60"/>
                <w:sz w:val="15"/>
                <w:szCs w:val="15"/>
              </w:rPr>
            </w:pPr>
            <w:r>
              <w:rPr>
                <w:rFonts w:ascii="Arial" w:hAnsi="Arial"/>
                <w:color w:val="264A60"/>
                <w:sz w:val="15"/>
                <w:szCs w:val="15"/>
              </w:rPr>
              <w:t>Total</w:t>
            </w:r>
          </w:p>
        </w:tc>
        <w:tc>
          <w:tcPr>
            <w:tcW w:w="779"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2431B5B">
            <w:pPr>
              <w:spacing w:line="240" w:lineRule="auto"/>
              <w:ind w:left="60" w:right="60"/>
              <w:jc w:val="right"/>
              <w:rPr>
                <w:rFonts w:ascii="Arial" w:hAnsi="Arial"/>
                <w:color w:val="010205"/>
                <w:sz w:val="15"/>
                <w:szCs w:val="15"/>
              </w:rPr>
            </w:pPr>
            <w:r>
              <w:rPr>
                <w:rFonts w:ascii="Arial" w:hAnsi="Arial"/>
                <w:color w:val="010205"/>
                <w:sz w:val="15"/>
                <w:szCs w:val="15"/>
              </w:rPr>
              <w:t>27.892</w:t>
            </w:r>
          </w:p>
        </w:tc>
        <w:tc>
          <w:tcPr>
            <w:tcW w:w="45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EB156F2">
            <w:pPr>
              <w:spacing w:line="240" w:lineRule="auto"/>
              <w:ind w:left="60" w:right="60"/>
              <w:jc w:val="right"/>
              <w:rPr>
                <w:rFonts w:ascii="Arial" w:hAnsi="Arial"/>
                <w:color w:val="010205"/>
                <w:sz w:val="15"/>
                <w:szCs w:val="15"/>
              </w:rPr>
            </w:pPr>
            <w:r>
              <w:rPr>
                <w:rFonts w:ascii="Arial" w:hAnsi="Arial"/>
                <w:color w:val="010205"/>
                <w:sz w:val="15"/>
                <w:szCs w:val="15"/>
              </w:rPr>
              <w:t>59</w:t>
            </w:r>
          </w:p>
        </w:tc>
        <w:tc>
          <w:tcPr>
            <w:tcW w:w="721"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2D91A1AC">
            <w:pPr>
              <w:spacing w:line="240" w:lineRule="auto"/>
              <w:rPr>
                <w:sz w:val="15"/>
                <w:szCs w:val="15"/>
              </w:rPr>
            </w:pPr>
          </w:p>
        </w:tc>
        <w:tc>
          <w:tcPr>
            <w:tcW w:w="603"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494F895E">
            <w:pPr>
              <w:spacing w:line="240" w:lineRule="auto"/>
              <w:rPr>
                <w:sz w:val="15"/>
                <w:szCs w:val="15"/>
              </w:rPr>
            </w:pPr>
          </w:p>
        </w:tc>
        <w:tc>
          <w:tcPr>
            <w:tcW w:w="485"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3DD28F56">
            <w:pPr>
              <w:spacing w:line="240" w:lineRule="auto"/>
              <w:rPr>
                <w:sz w:val="15"/>
                <w:szCs w:val="15"/>
              </w:rPr>
            </w:pPr>
          </w:p>
        </w:tc>
      </w:tr>
      <w:tr w14:paraId="06C3C272">
        <w:tblPrEx>
          <w:tblCellMar>
            <w:top w:w="0" w:type="dxa"/>
            <w:left w:w="0" w:type="dxa"/>
            <w:bottom w:w="0" w:type="dxa"/>
            <w:right w:w="0" w:type="dxa"/>
          </w:tblCellMar>
        </w:tblPrEx>
        <w:trPr>
          <w:cantSplit/>
          <w:trHeight w:val="388" w:hRule="atLeast"/>
        </w:trPr>
        <w:tc>
          <w:tcPr>
            <w:tcW w:w="4284"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tcPr>
          <w:p w14:paraId="34779D18">
            <w:pPr>
              <w:spacing w:line="240" w:lineRule="auto"/>
              <w:ind w:left="60" w:right="60"/>
              <w:rPr>
                <w:rFonts w:ascii="Arial" w:hAnsi="Arial"/>
                <w:color w:val="010205"/>
                <w:sz w:val="15"/>
                <w:szCs w:val="15"/>
              </w:rPr>
            </w:pPr>
            <w:r>
              <w:rPr>
                <w:rFonts w:ascii="Arial" w:hAnsi="Arial"/>
                <w:color w:val="010205"/>
                <w:sz w:val="15"/>
                <w:szCs w:val="15"/>
              </w:rPr>
              <w:t>a. Dependent Variable: PBV_Y</w:t>
            </w:r>
          </w:p>
        </w:tc>
      </w:tr>
      <w:tr w14:paraId="65982A4C">
        <w:tblPrEx>
          <w:tblCellMar>
            <w:top w:w="0" w:type="dxa"/>
            <w:left w:w="0" w:type="dxa"/>
            <w:bottom w:w="0" w:type="dxa"/>
            <w:right w:w="0" w:type="dxa"/>
          </w:tblCellMar>
        </w:tblPrEx>
        <w:trPr>
          <w:cantSplit/>
          <w:trHeight w:val="395" w:hRule="atLeast"/>
        </w:trPr>
        <w:tc>
          <w:tcPr>
            <w:tcW w:w="4284"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tcPr>
          <w:p w14:paraId="3F2EC18E">
            <w:pPr>
              <w:spacing w:line="240" w:lineRule="auto"/>
              <w:ind w:left="60" w:right="60"/>
              <w:rPr>
                <w:rFonts w:ascii="Arial" w:hAnsi="Arial"/>
                <w:color w:val="010205"/>
                <w:sz w:val="15"/>
                <w:szCs w:val="15"/>
              </w:rPr>
            </w:pPr>
            <w:r>
              <w:rPr>
                <w:rFonts w:ascii="Arial" w:hAnsi="Arial"/>
                <w:color w:val="010205"/>
                <w:sz w:val="15"/>
                <w:szCs w:val="15"/>
              </w:rPr>
              <w:t>b. Predictors: (Constant), CH_X3, ETR_X1, PER_X2</w:t>
            </w:r>
          </w:p>
        </w:tc>
      </w:tr>
    </w:tbl>
    <w:p w14:paraId="67748079">
      <w:pPr>
        <w:spacing w:line="240" w:lineRule="auto"/>
        <w:rPr>
          <w:rFonts w:hint="default"/>
          <w:sz w:val="22"/>
          <w:szCs w:val="22"/>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3F52B437">
      <w:pPr>
        <w:pStyle w:val="21"/>
        <w:spacing w:before="0" w:after="0"/>
        <w:ind w:firstLine="330" w:firstLineChars="150"/>
        <w:jc w:val="both"/>
        <w:rPr>
          <w:rFonts w:hint="default"/>
          <w:b w:val="0"/>
          <w:sz w:val="22"/>
          <w:szCs w:val="22"/>
          <w:lang w:val="en-US"/>
        </w:rPr>
      </w:pPr>
      <w:r>
        <w:rPr>
          <w:rFonts w:hint="default"/>
          <w:b w:val="0"/>
          <w:sz w:val="22"/>
          <w:szCs w:val="22"/>
          <w:lang w:val="en-US"/>
        </w:rPr>
        <w:t>Berdasrkan tabel 7, menunjukkan bahwa nilai Sig sebesar 0,001 yang berarti kurang dari 0,05, sehinga dapat diakatakan bahwa variabel perencanaan pajak (x</w:t>
      </w:r>
      <w:r>
        <w:rPr>
          <w:rFonts w:hint="default"/>
          <w:b w:val="0"/>
          <w:sz w:val="22"/>
          <w:szCs w:val="22"/>
          <w:vertAlign w:val="subscript"/>
          <w:lang w:val="en-US"/>
        </w:rPr>
        <w:t>1</w:t>
      </w:r>
      <w:r>
        <w:rPr>
          <w:rFonts w:hint="default"/>
          <w:b w:val="0"/>
          <w:sz w:val="22"/>
          <w:szCs w:val="22"/>
          <w:lang w:val="en-US"/>
        </w:rPr>
        <w:t>), keputusan investasi (x</w:t>
      </w:r>
      <w:r>
        <w:rPr>
          <w:rFonts w:hint="default"/>
          <w:b w:val="0"/>
          <w:sz w:val="22"/>
          <w:szCs w:val="22"/>
          <w:vertAlign w:val="subscript"/>
          <w:lang w:val="en-US"/>
        </w:rPr>
        <w:t>2</w:t>
      </w:r>
      <w:r>
        <w:rPr>
          <w:rFonts w:hint="default"/>
          <w:b w:val="0"/>
          <w:sz w:val="22"/>
          <w:szCs w:val="22"/>
          <w:lang w:val="en-US"/>
        </w:rPr>
        <w:t>) dan cash holding (x</w:t>
      </w:r>
      <w:r>
        <w:rPr>
          <w:rFonts w:hint="default"/>
          <w:b w:val="0"/>
          <w:sz w:val="22"/>
          <w:szCs w:val="22"/>
          <w:vertAlign w:val="subscript"/>
          <w:lang w:val="en-US"/>
        </w:rPr>
        <w:t>3</w:t>
      </w:r>
      <w:r>
        <w:rPr>
          <w:rFonts w:hint="default"/>
          <w:b w:val="0"/>
          <w:sz w:val="22"/>
          <w:szCs w:val="22"/>
          <w:vertAlign w:val="baseline"/>
          <w:lang w:val="en-US"/>
        </w:rPr>
        <w:t>) secara simultan bersama sama berpengaruh terhadap variabel nilai perusahaan (Y) pada perusahaan sub sektor perbankan di Bursa Efek Indonesia periode 2022-2024.</w:t>
      </w:r>
      <w:r>
        <w:rPr>
          <w:rFonts w:hint="default"/>
          <w:b w:val="0"/>
          <w:sz w:val="22"/>
          <w:szCs w:val="22"/>
          <w:lang w:val="en-US"/>
        </w:rPr>
        <w:t xml:space="preserve"> </w:t>
      </w:r>
    </w:p>
    <w:p w14:paraId="7B7BBA7D">
      <w:pPr>
        <w:pStyle w:val="21"/>
        <w:spacing w:before="0" w:after="0"/>
        <w:ind w:firstLine="330" w:firstLineChars="150"/>
        <w:jc w:val="both"/>
        <w:rPr>
          <w:rFonts w:hint="default"/>
          <w:b w:val="0"/>
          <w:sz w:val="22"/>
          <w:szCs w:val="22"/>
          <w:lang w:val="en-US"/>
        </w:rPr>
      </w:pPr>
    </w:p>
    <w:p w14:paraId="1C0038FA">
      <w:pPr>
        <w:pStyle w:val="21"/>
        <w:spacing w:before="0" w:after="0"/>
        <w:jc w:val="both"/>
        <w:rPr>
          <w:rFonts w:hint="default"/>
          <w:sz w:val="22"/>
          <w:szCs w:val="22"/>
          <w:lang w:val="en-US"/>
        </w:rPr>
      </w:pPr>
      <w:r>
        <w:rPr>
          <w:rFonts w:hint="default"/>
          <w:sz w:val="22"/>
          <w:szCs w:val="22"/>
          <w:lang w:val="en-US"/>
        </w:rPr>
        <w:t>Uji Hipotesis (t)</w:t>
      </w:r>
    </w:p>
    <w:p w14:paraId="714B6074">
      <w:pPr>
        <w:pStyle w:val="21"/>
        <w:spacing w:before="0" w:after="0"/>
        <w:jc w:val="both"/>
        <w:rPr>
          <w:rFonts w:hint="default"/>
          <w:sz w:val="22"/>
          <w:szCs w:val="22"/>
          <w:lang w:val="en-US"/>
        </w:rPr>
      </w:pPr>
    </w:p>
    <w:p w14:paraId="606BD0F9">
      <w:pPr>
        <w:pStyle w:val="22"/>
        <w:jc w:val="center"/>
        <w:rPr>
          <w:rFonts w:hint="default"/>
          <w:b/>
          <w:bCs/>
          <w:i w:val="0"/>
          <w:iCs w:val="0"/>
          <w:sz w:val="22"/>
          <w:szCs w:val="22"/>
          <w:lang w:val="en-US"/>
        </w:rPr>
      </w:pPr>
      <w:r>
        <w:rPr>
          <w:rFonts w:hint="default"/>
          <w:b/>
          <w:bCs/>
          <w:i w:val="0"/>
          <w:iCs w:val="0"/>
          <w:sz w:val="22"/>
          <w:szCs w:val="22"/>
          <w:lang w:val="en-US"/>
        </w:rPr>
        <w:t>Tabel 8</w:t>
      </w:r>
    </w:p>
    <w:p w14:paraId="4F412AD6">
      <w:pPr>
        <w:pStyle w:val="22"/>
        <w:jc w:val="center"/>
        <w:rPr>
          <w:rFonts w:hint="default"/>
          <w:b w:val="0"/>
          <w:sz w:val="22"/>
          <w:szCs w:val="22"/>
          <w:vertAlign w:val="baseline"/>
          <w:lang w:val="en-US"/>
        </w:rPr>
      </w:pPr>
      <w:r>
        <w:rPr>
          <w:rFonts w:hint="default"/>
          <w:b/>
          <w:bCs/>
          <w:i w:val="0"/>
          <w:iCs w:val="0"/>
          <w:sz w:val="22"/>
          <w:szCs w:val="22"/>
          <w:lang w:val="en-US"/>
        </w:rPr>
        <w:t>Hasil Uji Parsial (t)</w:t>
      </w:r>
    </w:p>
    <w:tbl>
      <w:tblPr>
        <w:tblStyle w:val="3"/>
        <w:tblpPr w:leftFromText="180" w:rightFromText="180" w:vertAnchor="text" w:horzAnchor="page" w:tblpX="1699" w:tblpY="170"/>
        <w:tblOverlap w:val="never"/>
        <w:tblW w:w="4108" w:type="dxa"/>
        <w:tblInd w:w="0" w:type="dxa"/>
        <w:tblLayout w:type="fixed"/>
        <w:tblCellMar>
          <w:top w:w="0" w:type="dxa"/>
          <w:left w:w="0" w:type="dxa"/>
          <w:bottom w:w="0" w:type="dxa"/>
          <w:right w:w="0" w:type="dxa"/>
        </w:tblCellMar>
      </w:tblPr>
      <w:tblGrid>
        <w:gridCol w:w="255"/>
        <w:gridCol w:w="764"/>
        <w:gridCol w:w="633"/>
        <w:gridCol w:w="647"/>
        <w:gridCol w:w="897"/>
        <w:gridCol w:w="500"/>
        <w:gridCol w:w="412"/>
      </w:tblGrid>
      <w:tr w14:paraId="2FDF619B">
        <w:tblPrEx>
          <w:tblCellMar>
            <w:top w:w="0" w:type="dxa"/>
            <w:left w:w="0" w:type="dxa"/>
            <w:bottom w:w="0" w:type="dxa"/>
            <w:right w:w="0" w:type="dxa"/>
          </w:tblCellMar>
        </w:tblPrEx>
        <w:trPr>
          <w:cantSplit/>
          <w:trHeight w:val="90" w:hRule="atLeast"/>
        </w:trPr>
        <w:tc>
          <w:tcPr>
            <w:tcW w:w="4108"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vAlign w:val="center"/>
          </w:tcPr>
          <w:p w14:paraId="5CB5EA9D">
            <w:pPr>
              <w:spacing w:line="240" w:lineRule="auto"/>
              <w:ind w:left="60" w:right="60"/>
              <w:jc w:val="center"/>
              <w:rPr>
                <w:rFonts w:ascii="Arial" w:hAnsi="Arial"/>
                <w:color w:val="010205"/>
                <w:sz w:val="18"/>
                <w:szCs w:val="20"/>
              </w:rPr>
            </w:pPr>
            <w:r>
              <w:rPr>
                <w:rFonts w:ascii="Arial" w:hAnsi="Arial"/>
                <w:b/>
                <w:color w:val="010205"/>
                <w:sz w:val="18"/>
                <w:szCs w:val="20"/>
              </w:rPr>
              <w:t>Coefficients</w:t>
            </w:r>
            <w:r>
              <w:rPr>
                <w:rFonts w:ascii="Arial" w:hAnsi="Arial"/>
                <w:b/>
                <w:color w:val="010205"/>
                <w:sz w:val="18"/>
                <w:szCs w:val="20"/>
                <w:vertAlign w:val="superscript"/>
              </w:rPr>
              <w:t>a</w:t>
            </w:r>
          </w:p>
        </w:tc>
      </w:tr>
      <w:tr w14:paraId="42E1EB5E">
        <w:tblPrEx>
          <w:tblCellMar>
            <w:top w:w="0" w:type="dxa"/>
            <w:left w:w="0" w:type="dxa"/>
            <w:bottom w:w="0" w:type="dxa"/>
            <w:right w:w="0" w:type="dxa"/>
          </w:tblCellMar>
        </w:tblPrEx>
        <w:trPr>
          <w:cantSplit/>
        </w:trPr>
        <w:tc>
          <w:tcPr>
            <w:tcW w:w="1019" w:type="dxa"/>
            <w:gridSpan w:val="2"/>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80CEC39">
            <w:pPr>
              <w:spacing w:line="240" w:lineRule="auto"/>
              <w:ind w:left="60" w:right="60"/>
              <w:rPr>
                <w:rFonts w:ascii="Arial" w:hAnsi="Arial"/>
                <w:color w:val="264A60"/>
                <w:sz w:val="13"/>
                <w:szCs w:val="20"/>
              </w:rPr>
            </w:pPr>
            <w:r>
              <w:rPr>
                <w:rFonts w:ascii="Arial" w:hAnsi="Arial"/>
                <w:color w:val="264A60"/>
                <w:sz w:val="13"/>
                <w:szCs w:val="20"/>
              </w:rPr>
              <w:t>Model</w:t>
            </w:r>
          </w:p>
        </w:tc>
        <w:tc>
          <w:tcPr>
            <w:tcW w:w="1280" w:type="dxa"/>
            <w:gridSpan w:val="2"/>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F4A184E">
            <w:pPr>
              <w:spacing w:line="240" w:lineRule="auto"/>
              <w:ind w:left="60" w:right="60"/>
              <w:jc w:val="center"/>
              <w:rPr>
                <w:rFonts w:ascii="Arial" w:hAnsi="Arial"/>
                <w:color w:val="264A60"/>
                <w:sz w:val="13"/>
                <w:szCs w:val="20"/>
              </w:rPr>
            </w:pPr>
            <w:r>
              <w:rPr>
                <w:rFonts w:ascii="Arial" w:hAnsi="Arial"/>
                <w:color w:val="264A60"/>
                <w:sz w:val="13"/>
                <w:szCs w:val="20"/>
              </w:rPr>
              <w:t>Unstandardized Coefficients</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7CBE6EA">
            <w:pPr>
              <w:spacing w:line="240" w:lineRule="auto"/>
              <w:ind w:left="60" w:right="60"/>
              <w:jc w:val="center"/>
              <w:rPr>
                <w:rFonts w:ascii="Arial" w:hAnsi="Arial"/>
                <w:color w:val="264A60"/>
                <w:sz w:val="13"/>
                <w:szCs w:val="20"/>
              </w:rPr>
            </w:pPr>
            <w:r>
              <w:rPr>
                <w:rFonts w:ascii="Arial" w:hAnsi="Arial"/>
                <w:color w:val="264A60"/>
                <w:sz w:val="13"/>
                <w:szCs w:val="20"/>
              </w:rPr>
              <w:t>Standardized Coefficients</w:t>
            </w:r>
          </w:p>
        </w:tc>
        <w:tc>
          <w:tcPr>
            <w:tcW w:w="500" w:type="dxa"/>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4301C343">
            <w:pPr>
              <w:spacing w:line="240" w:lineRule="auto"/>
              <w:ind w:left="60" w:right="60"/>
              <w:jc w:val="center"/>
              <w:rPr>
                <w:rFonts w:ascii="Arial" w:hAnsi="Arial"/>
                <w:color w:val="264A60"/>
                <w:sz w:val="13"/>
                <w:szCs w:val="20"/>
              </w:rPr>
            </w:pPr>
            <w:r>
              <w:rPr>
                <w:rFonts w:ascii="Arial" w:hAnsi="Arial"/>
                <w:color w:val="264A60"/>
                <w:sz w:val="13"/>
                <w:szCs w:val="20"/>
              </w:rPr>
              <w:t>t</w:t>
            </w:r>
          </w:p>
        </w:tc>
        <w:tc>
          <w:tcPr>
            <w:tcW w:w="412" w:type="dxa"/>
            <w:vMerge w:val="restart"/>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4E214825">
            <w:pPr>
              <w:spacing w:line="240" w:lineRule="auto"/>
              <w:ind w:left="60" w:right="60"/>
              <w:jc w:val="center"/>
              <w:rPr>
                <w:rFonts w:ascii="Arial" w:hAnsi="Arial"/>
                <w:color w:val="264A60"/>
                <w:sz w:val="13"/>
                <w:szCs w:val="20"/>
              </w:rPr>
            </w:pPr>
            <w:r>
              <w:rPr>
                <w:rFonts w:ascii="Arial" w:hAnsi="Arial"/>
                <w:color w:val="264A60"/>
                <w:sz w:val="13"/>
                <w:szCs w:val="20"/>
              </w:rPr>
              <w:t>Sig.</w:t>
            </w:r>
          </w:p>
        </w:tc>
      </w:tr>
      <w:tr w14:paraId="4D1258BA">
        <w:tblPrEx>
          <w:tblCellMar>
            <w:top w:w="0" w:type="dxa"/>
            <w:left w:w="0" w:type="dxa"/>
            <w:bottom w:w="0" w:type="dxa"/>
            <w:right w:w="0" w:type="dxa"/>
          </w:tblCellMar>
        </w:tblPrEx>
        <w:trPr>
          <w:cantSplit/>
        </w:trPr>
        <w:tc>
          <w:tcPr>
            <w:tcW w:w="1019" w:type="dxa"/>
            <w:gridSpan w:val="2"/>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E1A9AD6">
            <w:pPr>
              <w:spacing w:line="240" w:lineRule="auto"/>
              <w:rPr>
                <w:rFonts w:ascii="Arial" w:hAnsi="Arial"/>
                <w:color w:val="264A60"/>
                <w:sz w:val="13"/>
                <w:szCs w:val="20"/>
              </w:rPr>
            </w:pP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7DD6A666">
            <w:pPr>
              <w:spacing w:line="240" w:lineRule="auto"/>
              <w:ind w:left="60" w:right="60"/>
              <w:jc w:val="center"/>
              <w:rPr>
                <w:rFonts w:ascii="Arial" w:hAnsi="Arial"/>
                <w:color w:val="264A60"/>
                <w:sz w:val="13"/>
                <w:szCs w:val="20"/>
              </w:rPr>
            </w:pPr>
            <w:r>
              <w:rPr>
                <w:rFonts w:ascii="Arial" w:hAnsi="Arial"/>
                <w:color w:val="264A60"/>
                <w:sz w:val="13"/>
                <w:szCs w:val="20"/>
              </w:rPr>
              <w:t>B</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A37FD8C">
            <w:pPr>
              <w:spacing w:line="240" w:lineRule="auto"/>
              <w:ind w:left="60" w:right="60"/>
              <w:jc w:val="center"/>
              <w:rPr>
                <w:rFonts w:ascii="Arial" w:hAnsi="Arial"/>
                <w:color w:val="264A60"/>
                <w:sz w:val="13"/>
                <w:szCs w:val="20"/>
              </w:rPr>
            </w:pPr>
            <w:r>
              <w:rPr>
                <w:rFonts w:ascii="Arial" w:hAnsi="Arial"/>
                <w:color w:val="264A60"/>
                <w:sz w:val="13"/>
                <w:szCs w:val="20"/>
              </w:rPr>
              <w:t>Std. Error</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C0C40A9">
            <w:pPr>
              <w:spacing w:line="240" w:lineRule="auto"/>
              <w:ind w:left="60" w:right="60"/>
              <w:jc w:val="center"/>
              <w:rPr>
                <w:rFonts w:ascii="Arial" w:hAnsi="Arial"/>
                <w:color w:val="264A60"/>
                <w:sz w:val="13"/>
                <w:szCs w:val="20"/>
              </w:rPr>
            </w:pPr>
            <w:r>
              <w:rPr>
                <w:rFonts w:ascii="Arial" w:hAnsi="Arial"/>
                <w:color w:val="264A60"/>
                <w:sz w:val="13"/>
                <w:szCs w:val="20"/>
              </w:rPr>
              <w:t>Beta</w:t>
            </w:r>
          </w:p>
        </w:tc>
        <w:tc>
          <w:tcPr>
            <w:tcW w:w="500"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37CBA41">
            <w:pPr>
              <w:spacing w:line="240" w:lineRule="auto"/>
              <w:rPr>
                <w:rFonts w:ascii="Arial" w:hAnsi="Arial"/>
                <w:color w:val="264A60"/>
                <w:sz w:val="13"/>
                <w:szCs w:val="20"/>
              </w:rPr>
            </w:pPr>
          </w:p>
        </w:tc>
        <w:tc>
          <w:tcPr>
            <w:tcW w:w="412" w:type="dxa"/>
            <w:vMerge w:val="continue"/>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16DC2D37">
            <w:pPr>
              <w:spacing w:line="240" w:lineRule="auto"/>
              <w:rPr>
                <w:rFonts w:ascii="Arial" w:hAnsi="Arial"/>
                <w:color w:val="264A60"/>
                <w:sz w:val="13"/>
                <w:szCs w:val="20"/>
              </w:rPr>
            </w:pPr>
          </w:p>
        </w:tc>
      </w:tr>
      <w:tr w14:paraId="7112E251">
        <w:tblPrEx>
          <w:tblCellMar>
            <w:top w:w="0" w:type="dxa"/>
            <w:left w:w="0" w:type="dxa"/>
            <w:bottom w:w="0" w:type="dxa"/>
            <w:right w:w="0" w:type="dxa"/>
          </w:tblCellMar>
        </w:tblPrEx>
        <w:trPr>
          <w:cantSplit/>
        </w:trPr>
        <w:tc>
          <w:tcPr>
            <w:tcW w:w="255" w:type="dxa"/>
            <w:vMerge w:val="restart"/>
            <w:tcBorders>
              <w:top w:val="single" w:color="auto" w:sz="4" w:space="0"/>
              <w:left w:val="single" w:color="auto" w:sz="4" w:space="0"/>
              <w:bottom w:val="nil"/>
              <w:right w:val="nil"/>
              <w:tl2br w:val="nil"/>
              <w:tr2bl w:val="nil"/>
            </w:tcBorders>
            <w:shd w:val="clear" w:color="auto" w:fill="E0E0E0"/>
          </w:tcPr>
          <w:p w14:paraId="74CF7F42">
            <w:pPr>
              <w:spacing w:line="240" w:lineRule="auto"/>
              <w:ind w:left="60" w:right="60"/>
              <w:rPr>
                <w:rFonts w:ascii="Arial" w:hAnsi="Arial"/>
                <w:color w:val="264A60"/>
                <w:sz w:val="13"/>
                <w:szCs w:val="20"/>
              </w:rPr>
            </w:pPr>
            <w:r>
              <w:rPr>
                <w:rFonts w:ascii="Arial" w:hAnsi="Arial"/>
                <w:color w:val="264A60"/>
                <w:sz w:val="13"/>
                <w:szCs w:val="20"/>
              </w:rPr>
              <w:t>1</w:t>
            </w:r>
          </w:p>
        </w:tc>
        <w:tc>
          <w:tcPr>
            <w:tcW w:w="764" w:type="dxa"/>
            <w:tcBorders>
              <w:top w:val="single" w:color="auto" w:sz="4" w:space="0"/>
              <w:left w:val="nil"/>
              <w:bottom w:val="nil"/>
              <w:right w:val="single" w:color="auto" w:sz="4" w:space="0"/>
              <w:tl2br w:val="nil"/>
              <w:tr2bl w:val="nil"/>
            </w:tcBorders>
            <w:shd w:val="clear" w:color="auto" w:fill="E0E0E0"/>
          </w:tcPr>
          <w:p w14:paraId="5019C629">
            <w:pPr>
              <w:spacing w:line="240" w:lineRule="auto"/>
              <w:ind w:left="60" w:right="60"/>
              <w:rPr>
                <w:rFonts w:ascii="Arial" w:hAnsi="Arial"/>
                <w:color w:val="264A60"/>
                <w:sz w:val="13"/>
                <w:szCs w:val="20"/>
              </w:rPr>
            </w:pPr>
            <w:r>
              <w:rPr>
                <w:rFonts w:ascii="Arial" w:hAnsi="Arial"/>
                <w:color w:val="264A60"/>
                <w:sz w:val="13"/>
                <w:szCs w:val="20"/>
              </w:rPr>
              <w:t>(Constant)</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7A36EB5">
            <w:pPr>
              <w:spacing w:line="240" w:lineRule="auto"/>
              <w:ind w:left="60" w:right="60"/>
              <w:jc w:val="right"/>
              <w:rPr>
                <w:rFonts w:ascii="Arial" w:hAnsi="Arial"/>
                <w:color w:val="010205"/>
                <w:sz w:val="13"/>
                <w:szCs w:val="20"/>
              </w:rPr>
            </w:pPr>
            <w:r>
              <w:rPr>
                <w:rFonts w:ascii="Arial" w:hAnsi="Arial"/>
                <w:color w:val="010205"/>
                <w:sz w:val="13"/>
                <w:szCs w:val="20"/>
              </w:rPr>
              <w:t>4.257</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2FB5FD7">
            <w:pPr>
              <w:spacing w:line="240" w:lineRule="auto"/>
              <w:ind w:left="60" w:right="60"/>
              <w:jc w:val="right"/>
              <w:rPr>
                <w:rFonts w:ascii="Arial" w:hAnsi="Arial"/>
                <w:color w:val="010205"/>
                <w:sz w:val="13"/>
                <w:szCs w:val="20"/>
              </w:rPr>
            </w:pPr>
            <w:r>
              <w:rPr>
                <w:rFonts w:ascii="Arial" w:hAnsi="Arial"/>
                <w:color w:val="010205"/>
                <w:sz w:val="13"/>
                <w:szCs w:val="20"/>
              </w:rPr>
              <w:t>.961</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vAlign w:val="center"/>
          </w:tcPr>
          <w:p w14:paraId="440137F6">
            <w:pPr>
              <w:spacing w:line="240" w:lineRule="auto"/>
              <w:rPr>
                <w:sz w:val="20"/>
                <w:szCs w:val="20"/>
              </w:rPr>
            </w:pP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6CA9BD8">
            <w:pPr>
              <w:spacing w:line="240" w:lineRule="auto"/>
              <w:ind w:left="60" w:right="60"/>
              <w:jc w:val="right"/>
              <w:rPr>
                <w:rFonts w:ascii="Arial" w:hAnsi="Arial"/>
                <w:color w:val="010205"/>
                <w:sz w:val="13"/>
                <w:szCs w:val="20"/>
              </w:rPr>
            </w:pPr>
            <w:r>
              <w:rPr>
                <w:rFonts w:ascii="Arial" w:hAnsi="Arial"/>
                <w:color w:val="010205"/>
                <w:sz w:val="13"/>
                <w:szCs w:val="20"/>
              </w:rPr>
              <w:t>4.428</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D5795D9">
            <w:pPr>
              <w:spacing w:line="240" w:lineRule="auto"/>
              <w:ind w:left="60" w:right="60"/>
              <w:jc w:val="right"/>
              <w:rPr>
                <w:rFonts w:ascii="Arial" w:hAnsi="Arial"/>
                <w:color w:val="010205"/>
                <w:sz w:val="13"/>
                <w:szCs w:val="20"/>
              </w:rPr>
            </w:pPr>
            <w:r>
              <w:rPr>
                <w:rFonts w:ascii="Arial" w:hAnsi="Arial"/>
                <w:color w:val="010205"/>
                <w:sz w:val="13"/>
                <w:szCs w:val="20"/>
              </w:rPr>
              <w:t>.001</w:t>
            </w:r>
          </w:p>
        </w:tc>
      </w:tr>
      <w:tr w14:paraId="2F43DBDC">
        <w:tblPrEx>
          <w:tblCellMar>
            <w:top w:w="0" w:type="dxa"/>
            <w:left w:w="0" w:type="dxa"/>
            <w:bottom w:w="0" w:type="dxa"/>
            <w:right w:w="0" w:type="dxa"/>
          </w:tblCellMar>
        </w:tblPrEx>
        <w:trPr>
          <w:cantSplit/>
        </w:trPr>
        <w:tc>
          <w:tcPr>
            <w:tcW w:w="255" w:type="dxa"/>
            <w:vMerge w:val="continue"/>
            <w:tcBorders>
              <w:top w:val="nil"/>
              <w:left w:val="single" w:color="auto" w:sz="4" w:space="0"/>
              <w:bottom w:val="nil"/>
              <w:right w:val="nil"/>
              <w:tl2br w:val="nil"/>
              <w:tr2bl w:val="nil"/>
            </w:tcBorders>
            <w:shd w:val="clear" w:color="auto" w:fill="E0E0E0"/>
          </w:tcPr>
          <w:p w14:paraId="31E44AFA">
            <w:pPr>
              <w:spacing w:line="240" w:lineRule="auto"/>
              <w:rPr>
                <w:rFonts w:ascii="Arial" w:hAnsi="Arial"/>
                <w:color w:val="010205"/>
                <w:sz w:val="13"/>
                <w:szCs w:val="20"/>
              </w:rPr>
            </w:pPr>
          </w:p>
        </w:tc>
        <w:tc>
          <w:tcPr>
            <w:tcW w:w="764" w:type="dxa"/>
            <w:tcBorders>
              <w:top w:val="nil"/>
              <w:left w:val="nil"/>
              <w:bottom w:val="nil"/>
              <w:right w:val="single" w:color="auto" w:sz="4" w:space="0"/>
              <w:tl2br w:val="nil"/>
              <w:tr2bl w:val="nil"/>
            </w:tcBorders>
            <w:shd w:val="clear" w:color="auto" w:fill="E0E0E0"/>
          </w:tcPr>
          <w:p w14:paraId="4F14DE03">
            <w:pPr>
              <w:spacing w:line="240" w:lineRule="auto"/>
              <w:ind w:left="60" w:right="60"/>
              <w:rPr>
                <w:rFonts w:ascii="Arial" w:hAnsi="Arial"/>
                <w:color w:val="264A60"/>
                <w:sz w:val="13"/>
                <w:szCs w:val="20"/>
              </w:rPr>
            </w:pPr>
            <w:r>
              <w:rPr>
                <w:rFonts w:ascii="Arial" w:hAnsi="Arial"/>
                <w:color w:val="264A60"/>
                <w:sz w:val="13"/>
                <w:szCs w:val="20"/>
              </w:rPr>
              <w:t>ETR_X1</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5CD5032">
            <w:pPr>
              <w:spacing w:line="240" w:lineRule="auto"/>
              <w:ind w:left="60" w:right="60"/>
              <w:jc w:val="right"/>
              <w:rPr>
                <w:rFonts w:ascii="Arial" w:hAnsi="Arial"/>
                <w:color w:val="010205"/>
                <w:sz w:val="13"/>
                <w:szCs w:val="20"/>
              </w:rPr>
            </w:pPr>
            <w:r>
              <w:rPr>
                <w:rFonts w:ascii="Arial" w:hAnsi="Arial"/>
                <w:color w:val="010205"/>
                <w:sz w:val="13"/>
                <w:szCs w:val="20"/>
              </w:rPr>
              <w:t>-19.216</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B41BF04">
            <w:pPr>
              <w:spacing w:line="240" w:lineRule="auto"/>
              <w:ind w:left="60" w:right="60"/>
              <w:jc w:val="right"/>
              <w:rPr>
                <w:rFonts w:ascii="Arial" w:hAnsi="Arial"/>
                <w:color w:val="010205"/>
                <w:sz w:val="13"/>
                <w:szCs w:val="20"/>
              </w:rPr>
            </w:pPr>
            <w:r>
              <w:rPr>
                <w:rFonts w:ascii="Arial" w:hAnsi="Arial"/>
                <w:color w:val="010205"/>
                <w:sz w:val="13"/>
                <w:szCs w:val="20"/>
              </w:rPr>
              <w:t>4.383</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68EBFB5F">
            <w:pPr>
              <w:spacing w:line="240" w:lineRule="auto"/>
              <w:ind w:left="60" w:right="60"/>
              <w:jc w:val="right"/>
              <w:rPr>
                <w:rFonts w:ascii="Arial" w:hAnsi="Arial"/>
                <w:color w:val="010205"/>
                <w:sz w:val="13"/>
                <w:szCs w:val="20"/>
              </w:rPr>
            </w:pPr>
            <w:r>
              <w:rPr>
                <w:rFonts w:ascii="Arial" w:hAnsi="Arial"/>
                <w:color w:val="010205"/>
                <w:sz w:val="13"/>
                <w:szCs w:val="20"/>
              </w:rPr>
              <w:t>-.450</w:t>
            </w: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1FEFBD2">
            <w:pPr>
              <w:spacing w:line="240" w:lineRule="auto"/>
              <w:ind w:left="60" w:right="60"/>
              <w:jc w:val="right"/>
              <w:rPr>
                <w:rFonts w:ascii="Arial" w:hAnsi="Arial"/>
                <w:color w:val="010205"/>
                <w:sz w:val="13"/>
                <w:szCs w:val="20"/>
              </w:rPr>
            </w:pPr>
            <w:r>
              <w:rPr>
                <w:rFonts w:ascii="Arial" w:hAnsi="Arial"/>
                <w:color w:val="010205"/>
                <w:sz w:val="13"/>
                <w:szCs w:val="20"/>
              </w:rPr>
              <w:t>-4.385</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E4BB55D">
            <w:pPr>
              <w:spacing w:line="240" w:lineRule="auto"/>
              <w:ind w:left="60" w:right="60"/>
              <w:jc w:val="right"/>
              <w:rPr>
                <w:rFonts w:ascii="Arial" w:hAnsi="Arial"/>
                <w:color w:val="010205"/>
                <w:sz w:val="13"/>
                <w:szCs w:val="20"/>
              </w:rPr>
            </w:pPr>
            <w:r>
              <w:rPr>
                <w:rFonts w:ascii="Arial" w:hAnsi="Arial"/>
                <w:color w:val="010205"/>
                <w:sz w:val="13"/>
                <w:szCs w:val="20"/>
              </w:rPr>
              <w:t>.001</w:t>
            </w:r>
          </w:p>
        </w:tc>
      </w:tr>
      <w:tr w14:paraId="62E08414">
        <w:tblPrEx>
          <w:tblCellMar>
            <w:top w:w="0" w:type="dxa"/>
            <w:left w:w="0" w:type="dxa"/>
            <w:bottom w:w="0" w:type="dxa"/>
            <w:right w:w="0" w:type="dxa"/>
          </w:tblCellMar>
        </w:tblPrEx>
        <w:trPr>
          <w:cantSplit/>
        </w:trPr>
        <w:tc>
          <w:tcPr>
            <w:tcW w:w="255" w:type="dxa"/>
            <w:vMerge w:val="continue"/>
            <w:tcBorders>
              <w:top w:val="nil"/>
              <w:left w:val="single" w:color="auto" w:sz="4" w:space="0"/>
              <w:bottom w:val="nil"/>
              <w:right w:val="nil"/>
              <w:tl2br w:val="nil"/>
              <w:tr2bl w:val="nil"/>
            </w:tcBorders>
            <w:shd w:val="clear" w:color="auto" w:fill="E0E0E0"/>
          </w:tcPr>
          <w:p w14:paraId="6A57554B">
            <w:pPr>
              <w:spacing w:line="240" w:lineRule="auto"/>
              <w:rPr>
                <w:rFonts w:ascii="Arial" w:hAnsi="Arial"/>
                <w:color w:val="010205"/>
                <w:sz w:val="13"/>
                <w:szCs w:val="20"/>
              </w:rPr>
            </w:pPr>
          </w:p>
        </w:tc>
        <w:tc>
          <w:tcPr>
            <w:tcW w:w="764" w:type="dxa"/>
            <w:tcBorders>
              <w:top w:val="nil"/>
              <w:left w:val="nil"/>
              <w:bottom w:val="nil"/>
              <w:right w:val="single" w:color="auto" w:sz="4" w:space="0"/>
              <w:tl2br w:val="nil"/>
              <w:tr2bl w:val="nil"/>
            </w:tcBorders>
            <w:shd w:val="clear" w:color="auto" w:fill="E0E0E0"/>
          </w:tcPr>
          <w:p w14:paraId="51A187E3">
            <w:pPr>
              <w:spacing w:line="240" w:lineRule="auto"/>
              <w:ind w:left="60" w:right="60"/>
              <w:rPr>
                <w:rFonts w:ascii="Arial" w:hAnsi="Arial"/>
                <w:color w:val="264A60"/>
                <w:sz w:val="13"/>
                <w:szCs w:val="20"/>
              </w:rPr>
            </w:pPr>
            <w:r>
              <w:rPr>
                <w:rFonts w:ascii="Arial" w:hAnsi="Arial"/>
                <w:color w:val="264A60"/>
                <w:sz w:val="13"/>
                <w:szCs w:val="20"/>
              </w:rPr>
              <w:t>PER_X2</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38D2195">
            <w:pPr>
              <w:spacing w:line="240" w:lineRule="auto"/>
              <w:ind w:left="60" w:right="60"/>
              <w:jc w:val="right"/>
              <w:rPr>
                <w:rFonts w:ascii="Arial" w:hAnsi="Arial"/>
                <w:color w:val="010205"/>
                <w:sz w:val="13"/>
                <w:szCs w:val="20"/>
              </w:rPr>
            </w:pPr>
            <w:r>
              <w:rPr>
                <w:rFonts w:ascii="Arial" w:hAnsi="Arial"/>
                <w:color w:val="010205"/>
                <w:sz w:val="13"/>
                <w:szCs w:val="20"/>
              </w:rPr>
              <w:t>.065</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75289E3">
            <w:pPr>
              <w:spacing w:line="240" w:lineRule="auto"/>
              <w:ind w:left="60" w:right="60"/>
              <w:jc w:val="right"/>
              <w:rPr>
                <w:rFonts w:ascii="Arial" w:hAnsi="Arial"/>
                <w:color w:val="010205"/>
                <w:sz w:val="13"/>
                <w:szCs w:val="20"/>
              </w:rPr>
            </w:pPr>
            <w:r>
              <w:rPr>
                <w:rFonts w:ascii="Arial" w:hAnsi="Arial"/>
                <w:color w:val="010205"/>
                <w:sz w:val="13"/>
                <w:szCs w:val="20"/>
              </w:rPr>
              <w:t>.012</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966AD58">
            <w:pPr>
              <w:spacing w:line="240" w:lineRule="auto"/>
              <w:ind w:left="60" w:right="60"/>
              <w:jc w:val="right"/>
              <w:rPr>
                <w:rFonts w:ascii="Arial" w:hAnsi="Arial"/>
                <w:color w:val="010205"/>
                <w:sz w:val="13"/>
                <w:szCs w:val="20"/>
              </w:rPr>
            </w:pPr>
            <w:r>
              <w:rPr>
                <w:rFonts w:ascii="Arial" w:hAnsi="Arial"/>
                <w:color w:val="010205"/>
                <w:sz w:val="13"/>
                <w:szCs w:val="20"/>
              </w:rPr>
              <w:t>.549</w:t>
            </w: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2A0A94F9">
            <w:pPr>
              <w:spacing w:line="240" w:lineRule="auto"/>
              <w:ind w:left="60" w:right="60"/>
              <w:jc w:val="right"/>
              <w:rPr>
                <w:rFonts w:ascii="Arial" w:hAnsi="Arial"/>
                <w:color w:val="010205"/>
                <w:sz w:val="13"/>
                <w:szCs w:val="20"/>
              </w:rPr>
            </w:pPr>
            <w:r>
              <w:rPr>
                <w:rFonts w:ascii="Arial" w:hAnsi="Arial"/>
                <w:color w:val="010205"/>
                <w:sz w:val="13"/>
                <w:szCs w:val="20"/>
              </w:rPr>
              <w:t>5.286</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6E990AC">
            <w:pPr>
              <w:spacing w:line="240" w:lineRule="auto"/>
              <w:ind w:left="60" w:right="60"/>
              <w:jc w:val="right"/>
              <w:rPr>
                <w:rFonts w:ascii="Arial" w:hAnsi="Arial"/>
                <w:color w:val="010205"/>
                <w:sz w:val="13"/>
                <w:szCs w:val="20"/>
              </w:rPr>
            </w:pPr>
            <w:r>
              <w:rPr>
                <w:rFonts w:ascii="Arial" w:hAnsi="Arial"/>
                <w:color w:val="010205"/>
                <w:sz w:val="13"/>
                <w:szCs w:val="20"/>
              </w:rPr>
              <w:t>.001</w:t>
            </w:r>
          </w:p>
        </w:tc>
      </w:tr>
      <w:tr w14:paraId="20997798">
        <w:tblPrEx>
          <w:tblCellMar>
            <w:top w:w="0" w:type="dxa"/>
            <w:left w:w="0" w:type="dxa"/>
            <w:bottom w:w="0" w:type="dxa"/>
            <w:right w:w="0" w:type="dxa"/>
          </w:tblCellMar>
        </w:tblPrEx>
        <w:trPr>
          <w:cantSplit/>
        </w:trPr>
        <w:tc>
          <w:tcPr>
            <w:tcW w:w="255" w:type="dxa"/>
            <w:vMerge w:val="continue"/>
            <w:tcBorders>
              <w:top w:val="nil"/>
              <w:left w:val="single" w:color="auto" w:sz="4" w:space="0"/>
              <w:bottom w:val="single" w:color="auto" w:sz="4" w:space="0"/>
              <w:right w:val="nil"/>
              <w:tl2br w:val="nil"/>
              <w:tr2bl w:val="nil"/>
            </w:tcBorders>
            <w:shd w:val="clear" w:color="auto" w:fill="E0E0E0"/>
          </w:tcPr>
          <w:p w14:paraId="3D10264E">
            <w:pPr>
              <w:spacing w:line="240" w:lineRule="auto"/>
              <w:rPr>
                <w:rFonts w:ascii="Arial" w:hAnsi="Arial"/>
                <w:color w:val="010205"/>
                <w:sz w:val="13"/>
                <w:szCs w:val="20"/>
              </w:rPr>
            </w:pPr>
          </w:p>
        </w:tc>
        <w:tc>
          <w:tcPr>
            <w:tcW w:w="764" w:type="dxa"/>
            <w:tcBorders>
              <w:top w:val="nil"/>
              <w:left w:val="nil"/>
              <w:bottom w:val="single" w:color="auto" w:sz="4" w:space="0"/>
              <w:right w:val="single" w:color="auto" w:sz="4" w:space="0"/>
              <w:tl2br w:val="nil"/>
              <w:tr2bl w:val="nil"/>
            </w:tcBorders>
            <w:shd w:val="clear" w:color="auto" w:fill="E0E0E0"/>
          </w:tcPr>
          <w:p w14:paraId="69332F1E">
            <w:pPr>
              <w:spacing w:line="240" w:lineRule="auto"/>
              <w:ind w:left="60" w:right="60"/>
              <w:rPr>
                <w:rFonts w:ascii="Arial" w:hAnsi="Arial"/>
                <w:color w:val="264A60"/>
                <w:sz w:val="13"/>
                <w:szCs w:val="20"/>
              </w:rPr>
            </w:pPr>
            <w:r>
              <w:rPr>
                <w:rFonts w:ascii="Arial" w:hAnsi="Arial"/>
                <w:color w:val="264A60"/>
                <w:sz w:val="13"/>
                <w:szCs w:val="20"/>
              </w:rPr>
              <w:t>CH_X3</w:t>
            </w:r>
          </w:p>
        </w:tc>
        <w:tc>
          <w:tcPr>
            <w:tcW w:w="633"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14D4CF2">
            <w:pPr>
              <w:spacing w:line="240" w:lineRule="auto"/>
              <w:ind w:left="60" w:right="60"/>
              <w:jc w:val="right"/>
              <w:rPr>
                <w:rFonts w:ascii="Arial" w:hAnsi="Arial"/>
                <w:color w:val="010205"/>
                <w:sz w:val="13"/>
                <w:szCs w:val="20"/>
              </w:rPr>
            </w:pPr>
            <w:r>
              <w:rPr>
                <w:rFonts w:ascii="Arial" w:hAnsi="Arial"/>
                <w:color w:val="010205"/>
                <w:sz w:val="13"/>
                <w:szCs w:val="20"/>
              </w:rPr>
              <w:t>1.403</w:t>
            </w:r>
          </w:p>
        </w:tc>
        <w:tc>
          <w:tcPr>
            <w:tcW w:w="64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495FFF5B">
            <w:pPr>
              <w:spacing w:line="240" w:lineRule="auto"/>
              <w:ind w:left="60" w:right="60"/>
              <w:jc w:val="right"/>
              <w:rPr>
                <w:rFonts w:ascii="Arial" w:hAnsi="Arial"/>
                <w:color w:val="010205"/>
                <w:sz w:val="13"/>
                <w:szCs w:val="20"/>
              </w:rPr>
            </w:pPr>
            <w:r>
              <w:rPr>
                <w:rFonts w:ascii="Arial" w:hAnsi="Arial"/>
                <w:color w:val="010205"/>
                <w:sz w:val="13"/>
                <w:szCs w:val="20"/>
              </w:rPr>
              <w:t>1.560</w:t>
            </w:r>
          </w:p>
        </w:tc>
        <w:tc>
          <w:tcPr>
            <w:tcW w:w="897"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952168A">
            <w:pPr>
              <w:spacing w:line="240" w:lineRule="auto"/>
              <w:ind w:left="60" w:right="60"/>
              <w:jc w:val="right"/>
              <w:rPr>
                <w:rFonts w:ascii="Arial" w:hAnsi="Arial"/>
                <w:color w:val="010205"/>
                <w:sz w:val="13"/>
                <w:szCs w:val="20"/>
              </w:rPr>
            </w:pPr>
            <w:r>
              <w:rPr>
                <w:rFonts w:ascii="Arial" w:hAnsi="Arial"/>
                <w:color w:val="010205"/>
                <w:sz w:val="13"/>
                <w:szCs w:val="20"/>
              </w:rPr>
              <w:t>.092</w:t>
            </w:r>
          </w:p>
        </w:tc>
        <w:tc>
          <w:tcPr>
            <w:tcW w:w="500"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3A7C5B8">
            <w:pPr>
              <w:spacing w:line="240" w:lineRule="auto"/>
              <w:ind w:left="60" w:right="60"/>
              <w:jc w:val="right"/>
              <w:rPr>
                <w:rFonts w:ascii="Arial" w:hAnsi="Arial"/>
                <w:color w:val="010205"/>
                <w:sz w:val="13"/>
                <w:szCs w:val="20"/>
              </w:rPr>
            </w:pPr>
            <w:r>
              <w:rPr>
                <w:rFonts w:ascii="Arial" w:hAnsi="Arial"/>
                <w:color w:val="010205"/>
                <w:sz w:val="13"/>
                <w:szCs w:val="20"/>
              </w:rPr>
              <w:t>.900</w:t>
            </w:r>
          </w:p>
        </w:tc>
        <w:tc>
          <w:tcPr>
            <w:tcW w:w="412"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169CC9B8">
            <w:pPr>
              <w:spacing w:line="240" w:lineRule="auto"/>
              <w:ind w:left="60" w:right="60"/>
              <w:jc w:val="right"/>
              <w:rPr>
                <w:rFonts w:ascii="Arial" w:hAnsi="Arial"/>
                <w:color w:val="010205"/>
                <w:sz w:val="13"/>
                <w:szCs w:val="20"/>
              </w:rPr>
            </w:pPr>
            <w:r>
              <w:rPr>
                <w:rFonts w:ascii="Arial" w:hAnsi="Arial"/>
                <w:color w:val="010205"/>
                <w:sz w:val="13"/>
                <w:szCs w:val="20"/>
              </w:rPr>
              <w:t>.372</w:t>
            </w:r>
          </w:p>
        </w:tc>
      </w:tr>
      <w:tr w14:paraId="088AA4B9">
        <w:tblPrEx>
          <w:tblCellMar>
            <w:top w:w="0" w:type="dxa"/>
            <w:left w:w="0" w:type="dxa"/>
            <w:bottom w:w="0" w:type="dxa"/>
            <w:right w:w="0" w:type="dxa"/>
          </w:tblCellMar>
        </w:tblPrEx>
        <w:trPr>
          <w:cantSplit/>
        </w:trPr>
        <w:tc>
          <w:tcPr>
            <w:tcW w:w="4108" w:type="dxa"/>
            <w:gridSpan w:val="7"/>
            <w:tcBorders>
              <w:top w:val="single" w:color="auto" w:sz="4" w:space="0"/>
              <w:left w:val="single" w:color="auto" w:sz="4" w:space="0"/>
              <w:bottom w:val="single" w:color="auto" w:sz="4" w:space="0"/>
              <w:right w:val="single" w:color="auto" w:sz="4" w:space="0"/>
              <w:tl2br w:val="nil"/>
              <w:tr2bl w:val="nil"/>
            </w:tcBorders>
            <w:shd w:val="clear" w:color="auto" w:fill="FFFFFF"/>
          </w:tcPr>
          <w:p w14:paraId="79D766DB">
            <w:pPr>
              <w:spacing w:line="240" w:lineRule="auto"/>
              <w:ind w:left="60" w:right="60"/>
              <w:rPr>
                <w:rFonts w:ascii="Arial" w:hAnsi="Arial"/>
                <w:color w:val="010205"/>
                <w:sz w:val="13"/>
                <w:szCs w:val="20"/>
              </w:rPr>
            </w:pPr>
            <w:r>
              <w:rPr>
                <w:rFonts w:ascii="Arial" w:hAnsi="Arial"/>
                <w:color w:val="010205"/>
                <w:sz w:val="13"/>
                <w:szCs w:val="20"/>
              </w:rPr>
              <w:t>a. Dependent Variable: PBV_Y</w:t>
            </w:r>
          </w:p>
        </w:tc>
      </w:tr>
    </w:tbl>
    <w:p w14:paraId="7A11C6F8">
      <w:pPr>
        <w:spacing w:line="240" w:lineRule="auto"/>
        <w:rPr>
          <w:rFonts w:hint="default"/>
          <w:b w:val="0"/>
          <w:sz w:val="22"/>
          <w:szCs w:val="22"/>
          <w:vertAlign w:val="baseline"/>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43E9E715">
      <w:pPr>
        <w:pStyle w:val="21"/>
        <w:spacing w:before="0" w:after="0"/>
        <w:ind w:firstLine="330" w:firstLineChars="150"/>
        <w:jc w:val="both"/>
        <w:rPr>
          <w:rFonts w:hint="default"/>
          <w:b w:val="0"/>
          <w:sz w:val="22"/>
          <w:szCs w:val="22"/>
          <w:vertAlign w:val="baseline"/>
          <w:lang w:val="en-US"/>
        </w:rPr>
      </w:pPr>
      <w:r>
        <w:rPr>
          <w:rFonts w:hint="default"/>
          <w:b w:val="0"/>
          <w:sz w:val="22"/>
          <w:szCs w:val="22"/>
          <w:vertAlign w:val="baseline"/>
          <w:lang w:val="en-US"/>
        </w:rPr>
        <w:t>Berdasarkan tabel 8, hasil uji t didapatkan hasil sebagai berikut:</w:t>
      </w:r>
    </w:p>
    <w:p w14:paraId="137340EE">
      <w:pPr>
        <w:pStyle w:val="21"/>
        <w:spacing w:before="0" w:after="0"/>
        <w:ind w:firstLine="330" w:firstLineChars="150"/>
        <w:jc w:val="both"/>
        <w:rPr>
          <w:rFonts w:hint="default"/>
          <w:b w:val="0"/>
          <w:sz w:val="22"/>
          <w:szCs w:val="22"/>
          <w:vertAlign w:val="baseline"/>
          <w:lang w:val="en-US"/>
        </w:rPr>
      </w:pPr>
      <w:r>
        <w:rPr>
          <w:rFonts w:hint="default"/>
          <w:b w:val="0"/>
          <w:sz w:val="22"/>
          <w:szCs w:val="22"/>
          <w:vertAlign w:val="baseline"/>
          <w:lang w:val="en-US"/>
        </w:rPr>
        <w:t xml:space="preserve">Pada pengaruh perencanaan pajak terhadap nilai perusahaan. </w:t>
      </w:r>
      <w:r>
        <w:rPr>
          <w:rFonts w:ascii="Times New Roman" w:hAnsi="Times New Roman" w:eastAsia="Times New Roman" w:cs="Times New Roman"/>
          <w:b w:val="0"/>
          <w:bCs/>
          <w:sz w:val="22"/>
          <w:szCs w:val="22"/>
        </w:rPr>
        <w:t xml:space="preserve">Berdasarkan hasil dari tabel </w:t>
      </w:r>
      <w:r>
        <w:rPr>
          <w:rFonts w:hint="default" w:ascii="Times New Roman" w:hAnsi="Times New Roman" w:eastAsia="Times New Roman" w:cs="Times New Roman"/>
          <w:b w:val="0"/>
          <w:bCs/>
          <w:sz w:val="22"/>
          <w:szCs w:val="22"/>
          <w:lang w:val="en-US"/>
        </w:rPr>
        <w:t>8</w:t>
      </w:r>
      <w:r>
        <w:rPr>
          <w:rFonts w:ascii="Times New Roman" w:hAnsi="Times New Roman" w:eastAsia="Times New Roman" w:cs="Times New Roman"/>
          <w:b w:val="0"/>
          <w:bCs/>
          <w:sz w:val="22"/>
          <w:szCs w:val="22"/>
        </w:rPr>
        <w:t xml:space="preserve"> dapat diketahui bahwa  t-hitung sebesar -4,385 lebih besar dari t-tabel sebesar 2,003 (-4,385&gt;-2,003), selain itu dengan nilai probability (0,001&lt;0,05)</w:t>
      </w:r>
      <w:r>
        <w:rPr>
          <w:rFonts w:hint="default" w:ascii="Times New Roman" w:hAnsi="Times New Roman" w:eastAsia="Times New Roman" w:cs="Times New Roman"/>
          <w:b w:val="0"/>
          <w:bCs/>
          <w:sz w:val="22"/>
          <w:szCs w:val="22"/>
          <w:lang w:val="en-US"/>
        </w:rPr>
        <w:t>.</w:t>
      </w:r>
      <w:r>
        <w:rPr>
          <w:rFonts w:ascii="Times New Roman" w:hAnsi="Times New Roman" w:eastAsia="Times New Roman" w:cs="Times New Roman"/>
          <w:b w:val="0"/>
          <w:bCs/>
          <w:sz w:val="22"/>
          <w:szCs w:val="22"/>
        </w:rPr>
        <w:t xml:space="preserve"> Maka dapat disimpulkan bahwa variabel perencanaan pajak secara parsial berpengaruh dan signifikan terhadap nilai perusahan. </w:t>
      </w:r>
    </w:p>
    <w:p w14:paraId="0C3DCD55">
      <w:pPr>
        <w:pStyle w:val="21"/>
        <w:spacing w:before="0" w:after="0"/>
        <w:ind w:firstLine="330" w:firstLineChars="150"/>
        <w:jc w:val="both"/>
        <w:rPr>
          <w:rFonts w:hint="default"/>
          <w:b w:val="0"/>
          <w:sz w:val="22"/>
          <w:szCs w:val="22"/>
          <w:vertAlign w:val="baseline"/>
          <w:lang w:val="en-US"/>
        </w:rPr>
      </w:pPr>
      <w:r>
        <w:rPr>
          <w:rFonts w:hint="default"/>
          <w:b w:val="0"/>
          <w:sz w:val="22"/>
          <w:szCs w:val="22"/>
          <w:vertAlign w:val="baseline"/>
          <w:lang w:val="en-US"/>
        </w:rPr>
        <w:t>Pada pengaruh keputusan investasi terhadap nilai perusahaan.</w:t>
      </w:r>
      <w:r>
        <w:rPr>
          <w:rFonts w:ascii="Times New Roman" w:hAnsi="Times New Roman" w:eastAsia="Times New Roman" w:cs="Times New Roman"/>
          <w:b w:val="0"/>
          <w:bCs/>
          <w:sz w:val="22"/>
          <w:szCs w:val="22"/>
        </w:rPr>
        <w:t xml:space="preserve">Berdasarkan hasil dari tabel </w:t>
      </w:r>
      <w:r>
        <w:rPr>
          <w:rFonts w:hint="default" w:ascii="Times New Roman" w:hAnsi="Times New Roman" w:eastAsia="Times New Roman" w:cs="Times New Roman"/>
          <w:b w:val="0"/>
          <w:bCs/>
          <w:sz w:val="22"/>
          <w:szCs w:val="22"/>
          <w:lang w:val="en-US"/>
        </w:rPr>
        <w:t>8</w:t>
      </w:r>
      <w:r>
        <w:rPr>
          <w:rFonts w:ascii="Times New Roman" w:hAnsi="Times New Roman" w:eastAsia="Times New Roman" w:cs="Times New Roman"/>
          <w:b w:val="0"/>
          <w:bCs/>
          <w:sz w:val="22"/>
          <w:szCs w:val="22"/>
        </w:rPr>
        <w:t xml:space="preserve"> dapat diketahui bahwa  t-hitung sebesar 5,286 lebih besar dari t-tabel sebesar 2,003 (5,286&gt;2,003), selain itu dengan nilai probability (0,001&lt;0,05) Maka dapat disimpulkan bahwa keputusan investasi secara parsial berpengaruh terhadap nilai perusahaan.</w:t>
      </w:r>
    </w:p>
    <w:p w14:paraId="4EACE165">
      <w:pPr>
        <w:pStyle w:val="21"/>
        <w:spacing w:before="0" w:after="0"/>
        <w:ind w:firstLine="330" w:firstLineChars="150"/>
        <w:jc w:val="both"/>
        <w:rPr>
          <w:rFonts w:ascii="Times New Roman" w:hAnsi="Times New Roman" w:eastAsia="Times New Roman" w:cs="Times New Roman"/>
          <w:b w:val="0"/>
          <w:bCs/>
          <w:sz w:val="22"/>
          <w:szCs w:val="22"/>
        </w:rPr>
      </w:pPr>
      <w:r>
        <w:rPr>
          <w:rFonts w:hint="default"/>
          <w:b w:val="0"/>
          <w:sz w:val="22"/>
          <w:szCs w:val="22"/>
          <w:vertAlign w:val="baseline"/>
          <w:lang w:val="en-US"/>
        </w:rPr>
        <w:t xml:space="preserve"> Pada pengaruh</w:t>
      </w:r>
      <w:r>
        <w:rPr>
          <w:rFonts w:hint="default"/>
          <w:b w:val="0"/>
          <w:i/>
          <w:iCs/>
          <w:sz w:val="22"/>
          <w:szCs w:val="22"/>
          <w:vertAlign w:val="baseline"/>
          <w:lang w:val="en-US"/>
        </w:rPr>
        <w:t xml:space="preserve"> cash holding </w:t>
      </w:r>
      <w:r>
        <w:rPr>
          <w:rFonts w:hint="default"/>
          <w:b w:val="0"/>
          <w:i w:val="0"/>
          <w:iCs w:val="0"/>
          <w:sz w:val="22"/>
          <w:szCs w:val="22"/>
          <w:vertAlign w:val="baseline"/>
          <w:lang w:val="en-US"/>
        </w:rPr>
        <w:t xml:space="preserve">terhadap nilai perusahaan. </w:t>
      </w:r>
      <w:r>
        <w:rPr>
          <w:rFonts w:ascii="Times New Roman" w:hAnsi="Times New Roman" w:eastAsia="Times New Roman" w:cs="Times New Roman"/>
          <w:b w:val="0"/>
          <w:bCs/>
          <w:sz w:val="22"/>
          <w:szCs w:val="22"/>
        </w:rPr>
        <w:t xml:space="preserve">Berdasarkan hasil dari tabel </w:t>
      </w:r>
      <w:r>
        <w:rPr>
          <w:rFonts w:hint="default" w:ascii="Times New Roman" w:hAnsi="Times New Roman" w:eastAsia="Times New Roman" w:cs="Times New Roman"/>
          <w:b w:val="0"/>
          <w:bCs/>
          <w:sz w:val="22"/>
          <w:szCs w:val="22"/>
          <w:lang w:val="en-US"/>
        </w:rPr>
        <w:t>8</w:t>
      </w:r>
      <w:r>
        <w:rPr>
          <w:rFonts w:ascii="Times New Roman" w:hAnsi="Times New Roman" w:eastAsia="Times New Roman" w:cs="Times New Roman"/>
          <w:b w:val="0"/>
          <w:bCs/>
          <w:sz w:val="22"/>
          <w:szCs w:val="22"/>
        </w:rPr>
        <w:t xml:space="preserve"> dapat diketahui bahwa  t-hitung sebesar 0,900 lebih kecil dari t-tabel sebesar 2,003 (0,900&lt;2,003), selain itu dengan nilai probability (0,372 &lt; 0,05). Maka dapat disimpulkan bahwa </w:t>
      </w:r>
      <w:r>
        <w:rPr>
          <w:rFonts w:ascii="Times New Roman" w:hAnsi="Times New Roman" w:eastAsia="Times New Roman" w:cs="Times New Roman"/>
          <w:b w:val="0"/>
          <w:bCs/>
          <w:i/>
          <w:iCs/>
          <w:sz w:val="22"/>
          <w:szCs w:val="22"/>
        </w:rPr>
        <w:t>Cash Holding</w:t>
      </w:r>
      <w:r>
        <w:rPr>
          <w:rFonts w:ascii="Times New Roman" w:hAnsi="Times New Roman" w:eastAsia="Times New Roman" w:cs="Times New Roman"/>
          <w:b w:val="0"/>
          <w:bCs/>
          <w:sz w:val="22"/>
          <w:szCs w:val="22"/>
        </w:rPr>
        <w:t xml:space="preserve"> secara parsial tidak berpengaruh terhadap nilai perusahaan. </w:t>
      </w:r>
    </w:p>
    <w:p w14:paraId="14ED4FEA">
      <w:pPr>
        <w:pStyle w:val="21"/>
        <w:spacing w:before="0" w:after="0"/>
        <w:ind w:firstLine="330" w:firstLineChars="150"/>
        <w:jc w:val="both"/>
        <w:rPr>
          <w:rFonts w:hint="default" w:ascii="Times New Roman" w:hAnsi="Times New Roman" w:eastAsia="Times New Roman" w:cs="Times New Roman"/>
          <w:b w:val="0"/>
          <w:bCs/>
          <w:sz w:val="22"/>
          <w:szCs w:val="22"/>
          <w:lang w:val="en-US"/>
        </w:rPr>
      </w:pPr>
    </w:p>
    <w:p w14:paraId="55A4EAB2">
      <w:pPr>
        <w:pStyle w:val="21"/>
        <w:spacing w:before="0" w:after="0"/>
        <w:jc w:val="both"/>
        <w:rPr>
          <w:rFonts w:hint="default"/>
          <w:sz w:val="22"/>
          <w:szCs w:val="22"/>
          <w:vertAlign w:val="baseline"/>
          <w:lang w:val="en-US"/>
        </w:rPr>
      </w:pPr>
      <w:r>
        <w:rPr>
          <w:rFonts w:hint="default"/>
          <w:sz w:val="22"/>
          <w:szCs w:val="22"/>
          <w:lang w:val="en-US"/>
        </w:rPr>
        <w:t>Uji Koefisien Determinasi (R</w:t>
      </w:r>
      <w:r>
        <w:rPr>
          <w:rFonts w:hint="default"/>
          <w:sz w:val="22"/>
          <w:szCs w:val="22"/>
          <w:vertAlign w:val="superscript"/>
          <w:lang w:val="en-US"/>
        </w:rPr>
        <w:t>2</w:t>
      </w:r>
      <w:r>
        <w:rPr>
          <w:rFonts w:hint="default"/>
          <w:sz w:val="22"/>
          <w:szCs w:val="22"/>
          <w:vertAlign w:val="baseline"/>
          <w:lang w:val="en-US"/>
        </w:rPr>
        <w:t>)</w:t>
      </w:r>
    </w:p>
    <w:p w14:paraId="77A45EA5">
      <w:pPr>
        <w:pStyle w:val="22"/>
        <w:jc w:val="center"/>
        <w:rPr>
          <w:rFonts w:hint="default"/>
          <w:b/>
          <w:bCs/>
          <w:i w:val="0"/>
          <w:iCs w:val="0"/>
          <w:sz w:val="22"/>
          <w:szCs w:val="22"/>
          <w:lang w:val="en-US"/>
        </w:rPr>
      </w:pPr>
      <w:r>
        <w:rPr>
          <w:rFonts w:hint="default"/>
          <w:b/>
          <w:bCs/>
          <w:i w:val="0"/>
          <w:iCs w:val="0"/>
          <w:sz w:val="22"/>
          <w:szCs w:val="22"/>
          <w:lang w:val="en-US"/>
        </w:rPr>
        <w:t>Tabel 9</w:t>
      </w:r>
    </w:p>
    <w:p w14:paraId="4C3F55C1">
      <w:pPr>
        <w:pStyle w:val="22"/>
        <w:jc w:val="center"/>
        <w:rPr>
          <w:rFonts w:hint="default"/>
          <w:sz w:val="22"/>
          <w:szCs w:val="22"/>
          <w:vertAlign w:val="baseline"/>
          <w:lang w:val="en-US"/>
        </w:rPr>
      </w:pPr>
      <w:r>
        <w:rPr>
          <w:rFonts w:hint="default"/>
          <w:b/>
          <w:bCs/>
          <w:i w:val="0"/>
          <w:iCs w:val="0"/>
          <w:sz w:val="22"/>
          <w:szCs w:val="22"/>
          <w:lang w:val="en-US"/>
        </w:rPr>
        <w:t>Hasil Uji Koefisien Determinasi</w:t>
      </w:r>
    </w:p>
    <w:tbl>
      <w:tblPr>
        <w:tblStyle w:val="3"/>
        <w:tblpPr w:leftFromText="180" w:rightFromText="180" w:vertAnchor="text" w:horzAnchor="page" w:tblpX="6413" w:tblpY="153"/>
        <w:tblOverlap w:val="never"/>
        <w:tblW w:w="4196" w:type="dxa"/>
        <w:tblInd w:w="0" w:type="dxa"/>
        <w:tblLayout w:type="fixed"/>
        <w:tblCellMar>
          <w:top w:w="0" w:type="dxa"/>
          <w:left w:w="0" w:type="dxa"/>
          <w:bottom w:w="0" w:type="dxa"/>
          <w:right w:w="0" w:type="dxa"/>
        </w:tblCellMar>
      </w:tblPr>
      <w:tblGrid>
        <w:gridCol w:w="589"/>
        <w:gridCol w:w="588"/>
        <w:gridCol w:w="755"/>
        <w:gridCol w:w="1056"/>
        <w:gridCol w:w="1208"/>
      </w:tblGrid>
      <w:tr w14:paraId="0A87491F">
        <w:tblPrEx>
          <w:tblCellMar>
            <w:top w:w="0" w:type="dxa"/>
            <w:left w:w="0" w:type="dxa"/>
            <w:bottom w:w="0" w:type="dxa"/>
            <w:right w:w="0" w:type="dxa"/>
          </w:tblCellMar>
        </w:tblPrEx>
        <w:trPr>
          <w:cantSplit/>
          <w:trHeight w:val="663" w:hRule="atLeast"/>
        </w:trPr>
        <w:tc>
          <w:tcPr>
            <w:tcW w:w="589"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6A8203BC">
            <w:pPr>
              <w:spacing w:line="240" w:lineRule="auto"/>
              <w:ind w:left="60" w:right="60"/>
              <w:jc w:val="both"/>
              <w:rPr>
                <w:rFonts w:ascii="Times New Roman" w:hAnsi="Times New Roman" w:cs="Times New Roman"/>
                <w:color w:val="264A60"/>
                <w:sz w:val="16"/>
                <w:szCs w:val="16"/>
              </w:rPr>
            </w:pPr>
            <w:r>
              <w:rPr>
                <w:rFonts w:ascii="Times New Roman" w:hAnsi="Times New Roman" w:cs="Times New Roman"/>
                <w:color w:val="264A60"/>
                <w:sz w:val="16"/>
                <w:szCs w:val="16"/>
              </w:rPr>
              <w:t>Model</w:t>
            </w:r>
          </w:p>
        </w:tc>
        <w:tc>
          <w:tcPr>
            <w:tcW w:w="588"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595BFF0">
            <w:pPr>
              <w:spacing w:line="240" w:lineRule="auto"/>
              <w:ind w:left="60" w:right="60"/>
              <w:jc w:val="both"/>
              <w:rPr>
                <w:rFonts w:ascii="Times New Roman" w:hAnsi="Times New Roman" w:cs="Times New Roman"/>
                <w:color w:val="264A60"/>
                <w:sz w:val="16"/>
                <w:szCs w:val="16"/>
              </w:rPr>
            </w:pPr>
            <w:r>
              <w:rPr>
                <w:rFonts w:ascii="Times New Roman" w:hAnsi="Times New Roman" w:cs="Times New Roman"/>
                <w:color w:val="264A60"/>
                <w:sz w:val="16"/>
                <w:szCs w:val="16"/>
              </w:rPr>
              <w:t>R</w:t>
            </w:r>
          </w:p>
        </w:tc>
        <w:tc>
          <w:tcPr>
            <w:tcW w:w="755"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4E643F1">
            <w:pPr>
              <w:spacing w:line="240" w:lineRule="auto"/>
              <w:ind w:left="60" w:right="60"/>
              <w:jc w:val="both"/>
              <w:rPr>
                <w:rFonts w:ascii="Times New Roman" w:hAnsi="Times New Roman" w:cs="Times New Roman"/>
                <w:color w:val="264A60"/>
                <w:sz w:val="16"/>
                <w:szCs w:val="16"/>
              </w:rPr>
            </w:pPr>
            <w:r>
              <w:rPr>
                <w:rFonts w:ascii="Times New Roman" w:hAnsi="Times New Roman" w:cs="Times New Roman"/>
                <w:color w:val="264A60"/>
                <w:sz w:val="16"/>
                <w:szCs w:val="16"/>
              </w:rPr>
              <w:t>R Square</w:t>
            </w:r>
          </w:p>
        </w:tc>
        <w:tc>
          <w:tcPr>
            <w:tcW w:w="1056"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5C15DDF6">
            <w:pPr>
              <w:spacing w:line="240" w:lineRule="auto"/>
              <w:ind w:left="60" w:right="60"/>
              <w:jc w:val="center"/>
              <w:rPr>
                <w:rFonts w:ascii="Times New Roman" w:hAnsi="Times New Roman" w:cs="Times New Roman"/>
                <w:color w:val="264A60"/>
                <w:sz w:val="16"/>
                <w:szCs w:val="16"/>
              </w:rPr>
            </w:pPr>
            <w:r>
              <w:rPr>
                <w:rFonts w:ascii="Times New Roman" w:hAnsi="Times New Roman" w:cs="Times New Roman"/>
                <w:color w:val="264A60"/>
                <w:sz w:val="16"/>
                <w:szCs w:val="16"/>
              </w:rPr>
              <w:t>Adjusted R</w:t>
            </w:r>
          </w:p>
          <w:p w14:paraId="5C827ACA">
            <w:pPr>
              <w:spacing w:line="240" w:lineRule="auto"/>
              <w:ind w:left="60" w:right="60"/>
              <w:jc w:val="center"/>
              <w:rPr>
                <w:rFonts w:ascii="Times New Roman" w:hAnsi="Times New Roman" w:cs="Times New Roman"/>
                <w:color w:val="264A60"/>
                <w:sz w:val="16"/>
                <w:szCs w:val="16"/>
              </w:rPr>
            </w:pPr>
            <w:r>
              <w:rPr>
                <w:rFonts w:ascii="Times New Roman" w:hAnsi="Times New Roman" w:cs="Times New Roman"/>
                <w:color w:val="264A60"/>
                <w:sz w:val="16"/>
                <w:szCs w:val="16"/>
              </w:rPr>
              <w:t>Square</w:t>
            </w:r>
          </w:p>
        </w:tc>
        <w:tc>
          <w:tcPr>
            <w:tcW w:w="1208" w:type="dxa"/>
            <w:tcBorders>
              <w:top w:val="single" w:color="auto" w:sz="4" w:space="0"/>
              <w:left w:val="single" w:color="auto" w:sz="4" w:space="0"/>
              <w:bottom w:val="single" w:color="auto" w:sz="4" w:space="0"/>
              <w:right w:val="single" w:color="auto" w:sz="4" w:space="0"/>
              <w:tl2br w:val="nil"/>
              <w:tr2bl w:val="nil"/>
            </w:tcBorders>
            <w:shd w:val="clear" w:color="auto" w:fill="FFFFFF"/>
            <w:vAlign w:val="bottom"/>
          </w:tcPr>
          <w:p w14:paraId="25E76DFB">
            <w:pPr>
              <w:spacing w:line="240" w:lineRule="auto"/>
              <w:ind w:left="60" w:right="60"/>
              <w:jc w:val="center"/>
              <w:rPr>
                <w:rFonts w:ascii="Times New Roman" w:hAnsi="Times New Roman" w:cs="Times New Roman"/>
                <w:color w:val="264A60"/>
                <w:sz w:val="16"/>
                <w:szCs w:val="16"/>
              </w:rPr>
            </w:pPr>
            <w:r>
              <w:rPr>
                <w:rFonts w:ascii="Times New Roman" w:hAnsi="Times New Roman" w:cs="Times New Roman"/>
                <w:color w:val="264A60"/>
                <w:sz w:val="16"/>
                <w:szCs w:val="16"/>
              </w:rPr>
              <w:t>Std. Error of the</w:t>
            </w:r>
          </w:p>
          <w:p w14:paraId="385BE880">
            <w:pPr>
              <w:spacing w:line="240" w:lineRule="auto"/>
              <w:ind w:left="60" w:right="60"/>
              <w:jc w:val="center"/>
              <w:rPr>
                <w:rFonts w:ascii="Times New Roman" w:hAnsi="Times New Roman" w:cs="Times New Roman"/>
                <w:color w:val="264A60"/>
                <w:sz w:val="16"/>
                <w:szCs w:val="16"/>
              </w:rPr>
            </w:pPr>
            <w:r>
              <w:rPr>
                <w:rFonts w:ascii="Times New Roman" w:hAnsi="Times New Roman" w:cs="Times New Roman"/>
                <w:color w:val="264A60"/>
                <w:sz w:val="16"/>
                <w:szCs w:val="16"/>
              </w:rPr>
              <w:t>Estimate</w:t>
            </w:r>
          </w:p>
        </w:tc>
      </w:tr>
      <w:tr w14:paraId="1EF70667">
        <w:tblPrEx>
          <w:tblCellMar>
            <w:top w:w="0" w:type="dxa"/>
            <w:left w:w="0" w:type="dxa"/>
            <w:bottom w:w="0" w:type="dxa"/>
            <w:right w:w="0" w:type="dxa"/>
          </w:tblCellMar>
        </w:tblPrEx>
        <w:trPr>
          <w:cantSplit/>
          <w:trHeight w:val="344" w:hRule="atLeast"/>
        </w:trPr>
        <w:tc>
          <w:tcPr>
            <w:tcW w:w="589" w:type="dxa"/>
            <w:tcBorders>
              <w:top w:val="single" w:color="auto" w:sz="4" w:space="0"/>
              <w:left w:val="single" w:color="auto" w:sz="4" w:space="0"/>
              <w:bottom w:val="single" w:color="auto" w:sz="4" w:space="0"/>
              <w:right w:val="single" w:color="auto" w:sz="4" w:space="0"/>
              <w:tl2br w:val="nil"/>
              <w:tr2bl w:val="nil"/>
            </w:tcBorders>
            <w:shd w:val="clear" w:color="auto" w:fill="E0E0E0"/>
          </w:tcPr>
          <w:p w14:paraId="2037A2E1">
            <w:pPr>
              <w:spacing w:line="240" w:lineRule="auto"/>
              <w:ind w:left="60" w:right="60"/>
              <w:jc w:val="both"/>
              <w:rPr>
                <w:rFonts w:ascii="Times New Roman" w:hAnsi="Times New Roman" w:cs="Times New Roman"/>
                <w:color w:val="264A60"/>
                <w:sz w:val="16"/>
                <w:szCs w:val="16"/>
              </w:rPr>
            </w:pPr>
            <w:r>
              <w:rPr>
                <w:rFonts w:ascii="Times New Roman" w:hAnsi="Times New Roman" w:cs="Times New Roman"/>
                <w:color w:val="264A60"/>
                <w:sz w:val="16"/>
                <w:szCs w:val="16"/>
              </w:rPr>
              <w:t>1</w:t>
            </w:r>
          </w:p>
        </w:tc>
        <w:tc>
          <w:tcPr>
            <w:tcW w:w="588"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0BA2A2A3">
            <w:pPr>
              <w:spacing w:line="240" w:lineRule="auto"/>
              <w:ind w:left="60" w:right="60"/>
              <w:jc w:val="both"/>
              <w:rPr>
                <w:rFonts w:ascii="Times New Roman" w:hAnsi="Times New Roman" w:cs="Times New Roman"/>
                <w:color w:val="010205"/>
                <w:sz w:val="16"/>
                <w:szCs w:val="16"/>
              </w:rPr>
            </w:pPr>
            <w:r>
              <w:rPr>
                <w:rFonts w:ascii="Times New Roman" w:hAnsi="Times New Roman" w:cs="Times New Roman"/>
                <w:color w:val="010205"/>
                <w:sz w:val="16"/>
                <w:szCs w:val="16"/>
              </w:rPr>
              <w:t>.704</w:t>
            </w:r>
            <w:r>
              <w:rPr>
                <w:rFonts w:ascii="Times New Roman" w:hAnsi="Times New Roman" w:cs="Times New Roman"/>
                <w:color w:val="010205"/>
                <w:sz w:val="16"/>
                <w:szCs w:val="16"/>
                <w:vertAlign w:val="superscript"/>
              </w:rPr>
              <w:t>a</w:t>
            </w:r>
          </w:p>
        </w:tc>
        <w:tc>
          <w:tcPr>
            <w:tcW w:w="755"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299282A">
            <w:pPr>
              <w:spacing w:line="240" w:lineRule="auto"/>
              <w:ind w:left="60" w:right="60"/>
              <w:jc w:val="both"/>
              <w:rPr>
                <w:rFonts w:ascii="Times New Roman" w:hAnsi="Times New Roman" w:cs="Times New Roman"/>
                <w:color w:val="010205"/>
                <w:sz w:val="16"/>
                <w:szCs w:val="16"/>
              </w:rPr>
            </w:pPr>
            <w:r>
              <w:rPr>
                <w:rFonts w:ascii="Times New Roman" w:hAnsi="Times New Roman" w:cs="Times New Roman"/>
                <w:color w:val="010205"/>
                <w:sz w:val="16"/>
                <w:szCs w:val="16"/>
              </w:rPr>
              <w:t>.495</w:t>
            </w:r>
          </w:p>
        </w:tc>
        <w:tc>
          <w:tcPr>
            <w:tcW w:w="1056"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59654C4B">
            <w:pPr>
              <w:spacing w:line="240" w:lineRule="auto"/>
              <w:ind w:left="60" w:right="60"/>
              <w:jc w:val="both"/>
              <w:rPr>
                <w:rFonts w:ascii="Times New Roman" w:hAnsi="Times New Roman" w:cs="Times New Roman"/>
                <w:color w:val="010205"/>
                <w:sz w:val="16"/>
                <w:szCs w:val="16"/>
              </w:rPr>
            </w:pPr>
            <w:r>
              <w:rPr>
                <w:rFonts w:ascii="Times New Roman" w:hAnsi="Times New Roman" w:cs="Times New Roman"/>
                <w:color w:val="010205"/>
                <w:sz w:val="16"/>
                <w:szCs w:val="16"/>
              </w:rPr>
              <w:t>.467</w:t>
            </w:r>
          </w:p>
        </w:tc>
        <w:tc>
          <w:tcPr>
            <w:tcW w:w="1208" w:type="dxa"/>
            <w:tcBorders>
              <w:top w:val="single" w:color="auto" w:sz="4" w:space="0"/>
              <w:left w:val="single" w:color="auto" w:sz="4" w:space="0"/>
              <w:bottom w:val="single" w:color="auto" w:sz="4" w:space="0"/>
              <w:right w:val="single" w:color="auto" w:sz="4" w:space="0"/>
              <w:tl2br w:val="nil"/>
              <w:tr2bl w:val="nil"/>
            </w:tcBorders>
            <w:shd w:val="clear" w:color="auto" w:fill="F9F9FB"/>
          </w:tcPr>
          <w:p w14:paraId="7532EA4E">
            <w:pPr>
              <w:spacing w:line="240" w:lineRule="auto"/>
              <w:ind w:left="60" w:right="60"/>
              <w:jc w:val="both"/>
              <w:rPr>
                <w:rFonts w:ascii="Times New Roman" w:hAnsi="Times New Roman" w:cs="Times New Roman"/>
                <w:color w:val="010205"/>
                <w:sz w:val="16"/>
                <w:szCs w:val="16"/>
              </w:rPr>
            </w:pPr>
            <w:r>
              <w:rPr>
                <w:rFonts w:ascii="Times New Roman" w:hAnsi="Times New Roman" w:cs="Times New Roman"/>
                <w:color w:val="010205"/>
                <w:sz w:val="16"/>
                <w:szCs w:val="16"/>
              </w:rPr>
              <w:t>.41319</w:t>
            </w:r>
          </w:p>
        </w:tc>
      </w:tr>
    </w:tbl>
    <w:p w14:paraId="6DF56797">
      <w:pPr>
        <w:pStyle w:val="21"/>
        <w:spacing w:before="0" w:after="0"/>
        <w:ind w:firstLine="330" w:firstLineChars="150"/>
        <w:jc w:val="both"/>
        <w:rPr>
          <w:rFonts w:hint="default"/>
          <w:b w:val="0"/>
          <w:i w:val="0"/>
          <w:iCs w:val="0"/>
          <w:sz w:val="22"/>
          <w:szCs w:val="22"/>
          <w:vertAlign w:val="baseline"/>
          <w:lang w:val="en-US"/>
        </w:rPr>
      </w:pPr>
    </w:p>
    <w:p w14:paraId="75311CC8">
      <w:pPr>
        <w:spacing w:line="240" w:lineRule="auto"/>
        <w:rPr>
          <w:rFonts w:hint="default"/>
          <w:b w:val="0"/>
          <w:i w:val="0"/>
          <w:iCs w:val="0"/>
          <w:sz w:val="22"/>
          <w:szCs w:val="22"/>
          <w:vertAlign w:val="baseline"/>
          <w:lang w:val="en-US"/>
        </w:rPr>
      </w:pPr>
      <w:r>
        <w:rPr>
          <w:rFonts w:ascii="Times New Roman" w:hAnsi="Times New Roman" w:cs="Times New Roman"/>
          <w:bCs/>
          <w:i/>
          <w:iCs/>
          <w:sz w:val="15"/>
          <w:szCs w:val="15"/>
        </w:rPr>
        <w:t>Sumber : Hasil pengolahan data dengan program SPSS 27</w:t>
      </w:r>
      <w:r>
        <w:rPr>
          <w:rFonts w:hint="default" w:ascii="Times New Roman" w:hAnsi="Times New Roman" w:cs="Times New Roman"/>
          <w:bCs/>
          <w:i/>
          <w:iCs/>
          <w:sz w:val="15"/>
          <w:szCs w:val="15"/>
          <w:lang w:val="en-US"/>
        </w:rPr>
        <w:t>,2025</w:t>
      </w:r>
    </w:p>
    <w:p w14:paraId="3481C76A">
      <w:pPr>
        <w:pStyle w:val="21"/>
        <w:spacing w:before="0" w:after="0"/>
        <w:ind w:firstLine="330" w:firstLineChars="150"/>
        <w:jc w:val="both"/>
        <w:rPr>
          <w:rFonts w:hint="default"/>
          <w:b w:val="0"/>
          <w:i w:val="0"/>
          <w:iCs w:val="0"/>
          <w:sz w:val="22"/>
          <w:szCs w:val="22"/>
          <w:vertAlign w:val="baseline"/>
          <w:lang w:val="en-US"/>
        </w:rPr>
      </w:pPr>
      <w:r>
        <w:rPr>
          <w:rFonts w:hint="default"/>
          <w:b w:val="0"/>
          <w:i w:val="0"/>
          <w:iCs w:val="0"/>
          <w:sz w:val="22"/>
          <w:szCs w:val="22"/>
          <w:vertAlign w:val="baseline"/>
          <w:lang w:val="en-US"/>
        </w:rPr>
        <w:t>Berdasarkan tabel 9, dapat dilihat bahwa nilai Adjusted R Square sebesar 0,467 atau 46,7%. artinya bahwa variabel perencanaan pajak (x</w:t>
      </w:r>
      <w:r>
        <w:rPr>
          <w:rFonts w:hint="default"/>
          <w:b w:val="0"/>
          <w:i w:val="0"/>
          <w:iCs w:val="0"/>
          <w:sz w:val="22"/>
          <w:szCs w:val="22"/>
          <w:vertAlign w:val="subscript"/>
          <w:lang w:val="en-US"/>
        </w:rPr>
        <w:t>1</w:t>
      </w:r>
      <w:r>
        <w:rPr>
          <w:rFonts w:hint="default"/>
          <w:b w:val="0"/>
          <w:i w:val="0"/>
          <w:iCs w:val="0"/>
          <w:sz w:val="22"/>
          <w:szCs w:val="22"/>
          <w:vertAlign w:val="baseline"/>
          <w:lang w:val="en-US"/>
        </w:rPr>
        <w:t>) keputusan investasi (x</w:t>
      </w:r>
      <w:r>
        <w:rPr>
          <w:rFonts w:hint="default"/>
          <w:b w:val="0"/>
          <w:i w:val="0"/>
          <w:iCs w:val="0"/>
          <w:sz w:val="22"/>
          <w:szCs w:val="22"/>
          <w:vertAlign w:val="subscript"/>
          <w:lang w:val="en-US"/>
        </w:rPr>
        <w:t>2</w:t>
      </w:r>
      <w:r>
        <w:rPr>
          <w:rFonts w:hint="default"/>
          <w:b w:val="0"/>
          <w:i w:val="0"/>
          <w:iCs w:val="0"/>
          <w:sz w:val="22"/>
          <w:szCs w:val="22"/>
          <w:vertAlign w:val="baseline"/>
          <w:lang w:val="en-US"/>
        </w:rPr>
        <w:t xml:space="preserve">) dan </w:t>
      </w:r>
      <w:r>
        <w:rPr>
          <w:rFonts w:hint="default"/>
          <w:b w:val="0"/>
          <w:i/>
          <w:iCs/>
          <w:sz w:val="22"/>
          <w:szCs w:val="22"/>
          <w:vertAlign w:val="baseline"/>
          <w:lang w:val="en-US"/>
        </w:rPr>
        <w:t>cash holding</w:t>
      </w:r>
      <w:r>
        <w:rPr>
          <w:rFonts w:hint="default"/>
          <w:b w:val="0"/>
          <w:i w:val="0"/>
          <w:iCs w:val="0"/>
          <w:sz w:val="22"/>
          <w:szCs w:val="22"/>
          <w:vertAlign w:val="baseline"/>
          <w:lang w:val="en-US"/>
        </w:rPr>
        <w:t xml:space="preserve"> (x</w:t>
      </w:r>
      <w:r>
        <w:rPr>
          <w:rFonts w:hint="default"/>
          <w:b w:val="0"/>
          <w:i w:val="0"/>
          <w:iCs w:val="0"/>
          <w:sz w:val="22"/>
          <w:szCs w:val="22"/>
          <w:vertAlign w:val="subscript"/>
          <w:lang w:val="en-US"/>
        </w:rPr>
        <w:t>3</w:t>
      </w:r>
      <w:r>
        <w:rPr>
          <w:rFonts w:hint="default"/>
          <w:b w:val="0"/>
          <w:i w:val="0"/>
          <w:iCs w:val="0"/>
          <w:sz w:val="22"/>
          <w:szCs w:val="22"/>
          <w:vertAlign w:val="baseline"/>
          <w:lang w:val="en-US"/>
        </w:rPr>
        <w:t>) secara bersama sama berpengaruh terhadap nilai perusahaan (Y) sebesar 46,7% sedangkan sisanya sebesar 53,3% dipengaruhi oleh variabel lain diluar model persamaan regresi.</w:t>
      </w:r>
    </w:p>
    <w:p w14:paraId="51FB811B">
      <w:pPr>
        <w:pStyle w:val="21"/>
        <w:spacing w:before="0" w:after="0"/>
        <w:ind w:firstLine="330" w:firstLineChars="150"/>
        <w:jc w:val="both"/>
        <w:rPr>
          <w:rFonts w:hint="default"/>
          <w:b w:val="0"/>
          <w:i w:val="0"/>
          <w:iCs w:val="0"/>
          <w:sz w:val="22"/>
          <w:szCs w:val="22"/>
          <w:vertAlign w:val="baseline"/>
          <w:lang w:val="en-US"/>
        </w:rPr>
      </w:pPr>
    </w:p>
    <w:p w14:paraId="2E130C75">
      <w:pPr>
        <w:pStyle w:val="21"/>
        <w:spacing w:before="0" w:after="0"/>
        <w:jc w:val="both"/>
        <w:rPr>
          <w:sz w:val="22"/>
          <w:szCs w:val="22"/>
          <w:lang w:val="en-US"/>
        </w:rPr>
      </w:pPr>
    </w:p>
    <w:p w14:paraId="5D9F29E0">
      <w:pPr>
        <w:pStyle w:val="21"/>
        <w:spacing w:before="0" w:after="0"/>
        <w:jc w:val="both"/>
        <w:rPr>
          <w:rFonts w:hint="default"/>
          <w:b w:val="0"/>
          <w:i w:val="0"/>
          <w:iCs w:val="0"/>
          <w:sz w:val="22"/>
          <w:szCs w:val="22"/>
          <w:vertAlign w:val="baseline"/>
          <w:lang w:val="en-US"/>
        </w:rPr>
      </w:pPr>
      <w:r>
        <w:rPr>
          <w:sz w:val="22"/>
          <w:szCs w:val="22"/>
          <w:lang w:val="en-US"/>
        </w:rPr>
        <w:t>P</w:t>
      </w:r>
      <w:r>
        <w:rPr>
          <w:rFonts w:hint="default"/>
          <w:sz w:val="22"/>
          <w:szCs w:val="22"/>
          <w:lang w:val="en-US"/>
        </w:rPr>
        <w:t>embahasan</w:t>
      </w:r>
    </w:p>
    <w:p w14:paraId="63CBA635">
      <w:pPr>
        <w:pStyle w:val="21"/>
        <w:spacing w:before="0" w:after="0"/>
        <w:jc w:val="both"/>
        <w:rPr>
          <w:rFonts w:hint="default"/>
          <w:b/>
          <w:bCs/>
          <w:i w:val="0"/>
          <w:iCs w:val="0"/>
          <w:sz w:val="22"/>
          <w:szCs w:val="22"/>
          <w:vertAlign w:val="baseline"/>
          <w:lang w:val="en-US"/>
        </w:rPr>
      </w:pPr>
    </w:p>
    <w:p w14:paraId="2E8307A2">
      <w:pPr>
        <w:pStyle w:val="21"/>
        <w:spacing w:before="0" w:after="0"/>
        <w:jc w:val="both"/>
        <w:rPr>
          <w:rFonts w:hint="default"/>
          <w:b/>
          <w:bCs/>
          <w:i w:val="0"/>
          <w:iCs w:val="0"/>
          <w:sz w:val="22"/>
          <w:szCs w:val="22"/>
          <w:vertAlign w:val="baseline"/>
          <w:lang w:val="en-US"/>
        </w:rPr>
      </w:pPr>
      <w:r>
        <w:rPr>
          <w:rFonts w:hint="default"/>
          <w:b/>
          <w:bCs/>
          <w:i w:val="0"/>
          <w:iCs w:val="0"/>
          <w:sz w:val="22"/>
          <w:szCs w:val="22"/>
          <w:vertAlign w:val="baseline"/>
          <w:lang w:val="en-US"/>
        </w:rPr>
        <w:t>Pengaruh Perencanaan Pajak, Keputusan Investasi dan</w:t>
      </w:r>
      <w:r>
        <w:rPr>
          <w:rFonts w:hint="default"/>
          <w:b/>
          <w:bCs/>
          <w:i/>
          <w:iCs/>
          <w:sz w:val="22"/>
          <w:szCs w:val="22"/>
          <w:vertAlign w:val="baseline"/>
          <w:lang w:val="en-US"/>
        </w:rPr>
        <w:t xml:space="preserve"> Cash Holding </w:t>
      </w:r>
      <w:r>
        <w:rPr>
          <w:rFonts w:hint="default"/>
          <w:b/>
          <w:bCs/>
          <w:i w:val="0"/>
          <w:iCs w:val="0"/>
          <w:sz w:val="22"/>
          <w:szCs w:val="22"/>
          <w:vertAlign w:val="baseline"/>
          <w:lang w:val="en-US"/>
        </w:rPr>
        <w:t>Terhadap Nilai Perusahaan.</w:t>
      </w:r>
    </w:p>
    <w:p w14:paraId="7269A815">
      <w:pPr>
        <w:pStyle w:val="21"/>
        <w:spacing w:before="0" w:after="0"/>
        <w:ind w:firstLine="330" w:firstLineChars="150"/>
        <w:jc w:val="both"/>
        <w:rPr>
          <w:rFonts w:ascii="Times New Roman" w:hAnsi="Times New Roman" w:cs="Times New Roman"/>
          <w:b w:val="0"/>
          <w:bCs w:val="0"/>
          <w:sz w:val="22"/>
          <w:szCs w:val="22"/>
        </w:rPr>
      </w:pPr>
      <w:r>
        <w:rPr>
          <w:rFonts w:ascii="Times New Roman" w:hAnsi="Times New Roman" w:cs="Times New Roman"/>
          <w:b w:val="0"/>
          <w:bCs/>
          <w:sz w:val="22"/>
          <w:szCs w:val="22"/>
        </w:rPr>
        <w:t xml:space="preserve">Berdasarkan hasil pengujian yang telah dilakukan, diketahui bahwa variabel perencanaan pajak, keputusan investasi, dan </w:t>
      </w:r>
      <w:r>
        <w:rPr>
          <w:rFonts w:ascii="Times New Roman" w:hAnsi="Times New Roman" w:cs="Times New Roman"/>
          <w:b w:val="0"/>
          <w:bCs/>
          <w:i/>
          <w:iCs/>
          <w:sz w:val="22"/>
          <w:szCs w:val="22"/>
        </w:rPr>
        <w:t xml:space="preserve">cash holding </w:t>
      </w:r>
      <w:r>
        <w:rPr>
          <w:rFonts w:ascii="Times New Roman" w:hAnsi="Times New Roman" w:cs="Times New Roman"/>
          <w:b w:val="0"/>
          <w:bCs/>
          <w:sz w:val="22"/>
          <w:szCs w:val="22"/>
        </w:rPr>
        <w:t>secara simultan berpengaruh signifikan terhadap nilai peruasahaan. Hasil ini menunjukkan bahwa ketiga variabel tersebut secara bersama-sama mampu menjelaskan variasi nilai perusahaan pada perusahaan perbankan selama periode observasi tahun 2022-2024.</w:t>
      </w:r>
      <w:r>
        <w:rPr>
          <w:rFonts w:hint="default" w:ascii="Times New Roman" w:hAnsi="Times New Roman" w:cs="Times New Roman"/>
          <w:b w:val="0"/>
          <w:bCs/>
          <w:sz w:val="22"/>
          <w:szCs w:val="22"/>
          <w:lang w:val="en-US"/>
        </w:rPr>
        <w:t xml:space="preserve"> </w:t>
      </w:r>
      <w:r>
        <w:rPr>
          <w:rFonts w:ascii="Times New Roman" w:hAnsi="Times New Roman" w:cs="Times New Roman"/>
          <w:b w:val="0"/>
          <w:bCs w:val="0"/>
          <w:sz w:val="22"/>
          <w:szCs w:val="22"/>
        </w:rPr>
        <w:t>Dalam sektor perbankan yang memiliki tingkat pengawasan tinggi, kombinasi dari ketiga kebijakan ini memberikan sinyal kepada pasar tentang kinerja dan prospek perusahaan secara keselurusan. Dengan kata lain nilai perusahaan tidak hanya dipengaruhi oleh satu kebijakan keuangan secara terpisah, melainkan oleh keterpaduan dari keputusan strategi yang diambil manajmen dalam  mengelolah pajak  investasi, dan likuiditas secara bersamaan.</w:t>
      </w:r>
    </w:p>
    <w:p w14:paraId="0A908CB6">
      <w:pPr>
        <w:pStyle w:val="21"/>
        <w:spacing w:before="0" w:after="0"/>
        <w:ind w:firstLine="330" w:firstLineChars="15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Hasil penelitian ini juga didukung oleh penelitian yang dilakukan Sari &amp; Trisnawati (2024), yang menunjukkan bahwa perencanaan pajak, keputusan investasi dan </w:t>
      </w:r>
      <w:r>
        <w:rPr>
          <w:rFonts w:ascii="Times New Roman" w:hAnsi="Times New Roman" w:cs="Times New Roman"/>
          <w:b w:val="0"/>
          <w:bCs w:val="0"/>
          <w:i/>
          <w:iCs/>
          <w:sz w:val="22"/>
          <w:szCs w:val="22"/>
        </w:rPr>
        <w:t>cash holding</w:t>
      </w:r>
      <w:r>
        <w:rPr>
          <w:rFonts w:ascii="Times New Roman" w:hAnsi="Times New Roman" w:cs="Times New Roman"/>
          <w:b w:val="0"/>
          <w:bCs w:val="0"/>
          <w:sz w:val="22"/>
          <w:szCs w:val="22"/>
        </w:rPr>
        <w:t xml:space="preserve"> secara simultan berpengaruh sugnifikan terhadap nilai perusahaan. Penelitian tersebut, menegaskan bahwa kebijakan keuangan yang dikelola secara terpadu dapat memengaruhi persepsi pasar terhadap kinerja dan nilai perusahaan.  </w:t>
      </w:r>
    </w:p>
    <w:p w14:paraId="449B475D">
      <w:pPr>
        <w:pStyle w:val="21"/>
        <w:spacing w:before="0" w:after="0"/>
        <w:jc w:val="both"/>
        <w:rPr>
          <w:rFonts w:hint="default"/>
          <w:b w:val="0"/>
          <w:i w:val="0"/>
          <w:iCs w:val="0"/>
          <w:sz w:val="22"/>
          <w:szCs w:val="22"/>
          <w:vertAlign w:val="baseline"/>
          <w:lang w:val="en-US"/>
        </w:rPr>
      </w:pPr>
    </w:p>
    <w:p w14:paraId="1131F81A">
      <w:pPr>
        <w:pStyle w:val="21"/>
        <w:spacing w:before="0" w:after="0"/>
        <w:jc w:val="both"/>
        <w:rPr>
          <w:rFonts w:hint="default"/>
          <w:b/>
          <w:bCs/>
          <w:i w:val="0"/>
          <w:iCs w:val="0"/>
          <w:sz w:val="22"/>
          <w:szCs w:val="22"/>
          <w:vertAlign w:val="baseline"/>
          <w:lang w:val="en-US"/>
        </w:rPr>
      </w:pPr>
      <w:r>
        <w:rPr>
          <w:rFonts w:hint="default"/>
          <w:b/>
          <w:bCs/>
          <w:i w:val="0"/>
          <w:iCs w:val="0"/>
          <w:sz w:val="22"/>
          <w:szCs w:val="22"/>
          <w:vertAlign w:val="baseline"/>
          <w:lang w:val="en-US"/>
        </w:rPr>
        <w:t>Pengaruh Perencanaan Pajak, Terhadap Nilai Perusahaan.</w:t>
      </w:r>
    </w:p>
    <w:p w14:paraId="1D640C5F">
      <w:pPr>
        <w:pStyle w:val="22"/>
        <w:ind w:firstLine="330" w:firstLineChars="150"/>
        <w:jc w:val="both"/>
        <w:rPr>
          <w:rFonts w:ascii="Times New Roman" w:hAnsi="Times New Roman" w:cs="Times New Roman"/>
          <w:sz w:val="22"/>
          <w:szCs w:val="22"/>
        </w:rPr>
      </w:pPr>
      <w:r>
        <w:rPr>
          <w:rFonts w:ascii="Times New Roman" w:hAnsi="Times New Roman" w:cs="Times New Roman"/>
          <w:sz w:val="22"/>
          <w:szCs w:val="22"/>
        </w:rPr>
        <w:t xml:space="preserve">Berdasarkan hasil uji yang telah dilakukan dalam penelitian ini, dapat disimpulkan bahwa perencanaan pajak yang diukur dengan </w:t>
      </w:r>
      <w:r>
        <w:rPr>
          <w:rFonts w:ascii="Times New Roman" w:hAnsi="Times New Roman" w:cs="Times New Roman"/>
          <w:i/>
          <w:iCs/>
          <w:sz w:val="22"/>
          <w:szCs w:val="22"/>
        </w:rPr>
        <w:t>Effective Tax Rate</w:t>
      </w:r>
      <w:r>
        <w:rPr>
          <w:rFonts w:ascii="Times New Roman" w:hAnsi="Times New Roman" w:cs="Times New Roman"/>
          <w:sz w:val="22"/>
          <w:szCs w:val="22"/>
        </w:rPr>
        <w:t xml:space="preserve"> (ETR) secara parsial berpengaruh negatif dan signifikan terhadap nilai perusahaan yang diukur dengan </w:t>
      </w:r>
      <w:r>
        <w:rPr>
          <w:rFonts w:ascii="Times New Roman" w:hAnsi="Times New Roman" w:cs="Times New Roman"/>
          <w:i/>
          <w:iCs/>
          <w:sz w:val="22"/>
          <w:szCs w:val="22"/>
        </w:rPr>
        <w:t>Price to Book Value</w:t>
      </w:r>
      <w:r>
        <w:rPr>
          <w:rFonts w:ascii="Times New Roman" w:hAnsi="Times New Roman" w:cs="Times New Roman"/>
          <w:sz w:val="22"/>
          <w:szCs w:val="22"/>
        </w:rPr>
        <w:t xml:space="preserve"> (PBV). Artinya semak</w:t>
      </w:r>
      <w:r>
        <w:rPr>
          <w:rFonts w:ascii="Times New Roman" w:hAnsi="Times New Roman" w:cs="Times New Roman"/>
          <w:sz w:val="24"/>
          <w:szCs w:val="24"/>
        </w:rPr>
        <w:t>in meningkat perencanaan pajak maka semakin menurun nilai perusahaan</w:t>
      </w:r>
      <w:r>
        <w:rPr>
          <w:rFonts w:hint="default" w:ascii="Times New Roman" w:hAnsi="Times New Roman" w:cs="Times New Roman"/>
          <w:sz w:val="24"/>
          <w:szCs w:val="24"/>
          <w:lang w:val="en-US"/>
        </w:rPr>
        <w:t xml:space="preserve">. </w:t>
      </w:r>
      <w:r>
        <w:rPr>
          <w:rFonts w:ascii="Times New Roman" w:hAnsi="Times New Roman" w:cs="Times New Roman"/>
          <w:sz w:val="22"/>
          <w:szCs w:val="22"/>
        </w:rPr>
        <w:t>Hasil penelitian ini dapat diartikan bahwa selama periode pengamatan tahun 2022-2024 terdapat indikasi bahwa peusahaan-perusahaan dalam sampel penelitian melakukan perencanaan pajak, yang tercermin dari rata-rata nilai ETR sebesar 0,2146 atau 21,46%. Nilai ini berada sedikit di bawah tarif pajak badan usaha yang berlaku sesuai pasal 17 yaitu sebesar 22%. kondisi ini menunjukan bahwa secara umum, perusahaan melakukan perencanaan pajak secara moderat. Namun demikian, terdapat beberapa perusahaan yang memiliki nilai ETR dibawah 20%, yang dapat dianggap sebagai indikasi adanya praktik perencanaan pajak yang cenderung agresif. Dalam konteks sektor perbankan</w:t>
      </w:r>
      <w:r>
        <w:rPr>
          <w:rFonts w:hint="default" w:ascii="Times New Roman" w:hAnsi="Times New Roman" w:cs="Times New Roman"/>
          <w:sz w:val="22"/>
          <w:szCs w:val="22"/>
          <w:lang w:val="en-US"/>
        </w:rPr>
        <w:t xml:space="preserve"> </w:t>
      </w:r>
      <w:r>
        <w:rPr>
          <w:rFonts w:ascii="Times New Roman" w:hAnsi="Times New Roman" w:cs="Times New Roman"/>
          <w:sz w:val="22"/>
          <w:szCs w:val="22"/>
        </w:rPr>
        <w:t xml:space="preserve">praktik perencanaan pajak yang terlalu agresif dapat dipersepsikan negatif oleh perusahaan, sehingga berdampak pada penurunan nilai perusahaan yang tercermin dalam rasio PBV. </w:t>
      </w:r>
    </w:p>
    <w:p w14:paraId="0CF8BEA6">
      <w:pPr>
        <w:pStyle w:val="22"/>
        <w:ind w:firstLine="330" w:firstLineChars="150"/>
        <w:jc w:val="both"/>
        <w:rPr>
          <w:rFonts w:ascii="Times New Roman" w:hAnsi="Times New Roman" w:cs="Times New Roman"/>
          <w:sz w:val="22"/>
          <w:szCs w:val="22"/>
        </w:rPr>
      </w:pPr>
      <w:r>
        <w:rPr>
          <w:rFonts w:ascii="Times New Roman" w:hAnsi="Times New Roman" w:cs="Times New Roman"/>
          <w:sz w:val="22"/>
          <w:szCs w:val="22"/>
        </w:rPr>
        <w:t xml:space="preserve">Hasil penelitian ini sejalan dengan penelitian yang dilakukan oleh penelitian sebelumnya Apriani &amp; Martini (2024), yang menemukan bahwa perencanaan pajak berpengaruh negatif dan signifikan terhadap nilai perusahaan. Hal ini terjadi karena tingginya perencanaan pajak dapat menimbulkan risiko pengawasan dari fiskus yang berdampak negatif terhadap persepsi investor. Dengan demikian hasil penelitian ini sejalan dengan penelitian penulis pada subsektor perbankan, dimana strategi perencanaan pajak yang terlalu agresif justru dapat menurun nilai perusahaan. </w:t>
      </w:r>
    </w:p>
    <w:p w14:paraId="4F910F13">
      <w:pPr>
        <w:pStyle w:val="21"/>
        <w:spacing w:before="0" w:after="0"/>
        <w:jc w:val="both"/>
        <w:rPr>
          <w:rFonts w:hint="default"/>
          <w:b/>
          <w:bCs/>
          <w:i w:val="0"/>
          <w:iCs w:val="0"/>
          <w:sz w:val="22"/>
          <w:szCs w:val="22"/>
          <w:vertAlign w:val="baseline"/>
          <w:lang w:val="en-US"/>
        </w:rPr>
      </w:pPr>
    </w:p>
    <w:p w14:paraId="56EE7BC4">
      <w:pPr>
        <w:pStyle w:val="21"/>
        <w:spacing w:before="0" w:after="0"/>
        <w:jc w:val="both"/>
        <w:rPr>
          <w:rFonts w:hint="default"/>
          <w:b/>
          <w:bCs/>
          <w:i w:val="0"/>
          <w:iCs w:val="0"/>
          <w:sz w:val="22"/>
          <w:szCs w:val="22"/>
          <w:vertAlign w:val="baseline"/>
          <w:lang w:val="en-US"/>
        </w:rPr>
      </w:pPr>
      <w:r>
        <w:rPr>
          <w:rFonts w:hint="default"/>
          <w:b/>
          <w:bCs/>
          <w:i w:val="0"/>
          <w:iCs w:val="0"/>
          <w:sz w:val="22"/>
          <w:szCs w:val="22"/>
          <w:vertAlign w:val="baseline"/>
          <w:lang w:val="en-US"/>
        </w:rPr>
        <w:t>Pengaruh Keputusan Investasi Terhadap Nilai Perusahaan.</w:t>
      </w:r>
    </w:p>
    <w:p w14:paraId="56EEC1B6">
      <w:pPr>
        <w:pStyle w:val="21"/>
        <w:spacing w:before="0" w:after="0"/>
        <w:ind w:firstLine="330" w:firstLineChars="150"/>
        <w:jc w:val="both"/>
        <w:rPr>
          <w:rFonts w:ascii="Times New Roman" w:hAnsi="Times New Roman" w:cs="Times New Roman"/>
          <w:b w:val="0"/>
          <w:bCs/>
          <w:sz w:val="22"/>
          <w:szCs w:val="22"/>
        </w:rPr>
      </w:pPr>
      <w:r>
        <w:rPr>
          <w:rFonts w:ascii="Times New Roman" w:hAnsi="Times New Roman" w:cs="Times New Roman"/>
          <w:b w:val="0"/>
          <w:bCs/>
          <w:sz w:val="22"/>
          <w:szCs w:val="22"/>
        </w:rPr>
        <w:t xml:space="preserve">Berdasarkan hasil uji parsial, keputusan investasi yang diukur menggunakan rasio </w:t>
      </w:r>
      <w:r>
        <w:rPr>
          <w:rFonts w:ascii="Times New Roman" w:hAnsi="Times New Roman" w:cs="Times New Roman"/>
          <w:b w:val="0"/>
          <w:bCs/>
          <w:i/>
          <w:iCs/>
          <w:sz w:val="22"/>
          <w:szCs w:val="22"/>
        </w:rPr>
        <w:t>Price Earning Ratio</w:t>
      </w:r>
      <w:r>
        <w:rPr>
          <w:rFonts w:ascii="Times New Roman" w:hAnsi="Times New Roman" w:cs="Times New Roman"/>
          <w:b w:val="0"/>
          <w:bCs/>
          <w:sz w:val="22"/>
          <w:szCs w:val="22"/>
        </w:rPr>
        <w:t xml:space="preserve"> (PER) terbukti berpengaruh positif dan signifikan terhadap nilai perusahaan yang diukur menggunakan </w:t>
      </w:r>
      <w:r>
        <w:rPr>
          <w:rFonts w:ascii="Times New Roman" w:hAnsi="Times New Roman" w:cs="Times New Roman"/>
          <w:b w:val="0"/>
          <w:bCs/>
          <w:i/>
          <w:iCs/>
          <w:sz w:val="22"/>
          <w:szCs w:val="22"/>
        </w:rPr>
        <w:t>rasio Price to Book Value</w:t>
      </w:r>
      <w:r>
        <w:rPr>
          <w:rFonts w:ascii="Times New Roman" w:hAnsi="Times New Roman" w:cs="Times New Roman"/>
          <w:b w:val="0"/>
          <w:bCs/>
          <w:sz w:val="22"/>
          <w:szCs w:val="22"/>
        </w:rPr>
        <w:t xml:space="preserve"> (PBV). Artinya, semakin tinggi nilai PER suatu perusahaan maka semakin besar pula apresiasi investor terhadap potensi pertumbuhan laba di masa mendatang, yang pada akhirnya mendorong peningkatan nilai perusahaan. Nilai PER yang tinggi menandakan bahwa investor memiliki keyakinan terhadap prospek laba perusahaan, karena mereka bersedia membayar lebih tinggi atas setiap rupiah laba yang di hasilkan. Hal ini menjadi indikasi bahwa keputusan investasi yang dilakukan manajemen dianggap efektif dan mampu memberikan sinyal positif bagi pasar.</w:t>
      </w:r>
    </w:p>
    <w:p w14:paraId="5467D039">
      <w:pPr>
        <w:pStyle w:val="21"/>
        <w:spacing w:before="0" w:after="0"/>
        <w:ind w:firstLine="330" w:firstLineChars="150"/>
        <w:jc w:val="both"/>
        <w:rPr>
          <w:rFonts w:ascii="Times New Roman" w:hAnsi="Times New Roman" w:cs="Times New Roman"/>
          <w:b w:val="0"/>
          <w:bCs/>
          <w:sz w:val="24"/>
          <w:szCs w:val="24"/>
        </w:rPr>
      </w:pPr>
      <w:r>
        <w:rPr>
          <w:rFonts w:ascii="Times New Roman" w:hAnsi="Times New Roman" w:cs="Times New Roman"/>
          <w:b w:val="0"/>
          <w:bCs/>
          <w:sz w:val="22"/>
          <w:szCs w:val="22"/>
        </w:rPr>
        <w:t>Hasil penelitian sejalan dengan penelitian yang dilakukan oleh Putra (2023) yang menunjukkan bahwa keputusan investasi memberikan konstribusi positif terhadap nilai perusahaan. Hal ini mendukung pandangan bahwa keputusan investasi yang dijalankan secara optimal akan meningkatkan efisiensi pemanfaatan dana dan menciptakan nilai tambah bagi perusahaan dalam jangka panjang.</w:t>
      </w:r>
      <w:r>
        <w:rPr>
          <w:rFonts w:ascii="Times New Roman" w:hAnsi="Times New Roman" w:cs="Times New Roman"/>
          <w:b w:val="0"/>
          <w:bCs/>
          <w:sz w:val="24"/>
          <w:szCs w:val="24"/>
        </w:rPr>
        <w:t> </w:t>
      </w:r>
    </w:p>
    <w:p w14:paraId="4DEA493F">
      <w:pPr>
        <w:pStyle w:val="21"/>
        <w:spacing w:before="0" w:after="0"/>
        <w:jc w:val="both"/>
        <w:rPr>
          <w:rFonts w:hint="default"/>
          <w:b w:val="0"/>
          <w:bCs/>
          <w:i w:val="0"/>
          <w:iCs w:val="0"/>
          <w:sz w:val="22"/>
          <w:szCs w:val="22"/>
          <w:vertAlign w:val="baseline"/>
          <w:lang w:val="en-US"/>
        </w:rPr>
      </w:pPr>
    </w:p>
    <w:p w14:paraId="7F3C1918">
      <w:pPr>
        <w:pStyle w:val="21"/>
        <w:spacing w:before="0" w:after="0" w:line="240" w:lineRule="auto"/>
        <w:jc w:val="both"/>
        <w:rPr>
          <w:rFonts w:hint="default"/>
          <w:b/>
          <w:bCs/>
          <w:i w:val="0"/>
          <w:iCs w:val="0"/>
          <w:sz w:val="22"/>
          <w:szCs w:val="22"/>
          <w:vertAlign w:val="baseline"/>
          <w:lang w:val="en-US"/>
        </w:rPr>
      </w:pPr>
      <w:r>
        <w:rPr>
          <w:rFonts w:hint="default"/>
          <w:b/>
          <w:bCs/>
          <w:i w:val="0"/>
          <w:iCs w:val="0"/>
          <w:sz w:val="22"/>
          <w:szCs w:val="22"/>
          <w:vertAlign w:val="baseline"/>
          <w:lang w:val="en-US"/>
        </w:rPr>
        <w:t xml:space="preserve">Pengaruh </w:t>
      </w:r>
      <w:r>
        <w:rPr>
          <w:rFonts w:hint="default"/>
          <w:b/>
          <w:bCs/>
          <w:i/>
          <w:iCs/>
          <w:sz w:val="22"/>
          <w:szCs w:val="22"/>
          <w:vertAlign w:val="baseline"/>
          <w:lang w:val="en-US"/>
        </w:rPr>
        <w:t xml:space="preserve">Cash Holding </w:t>
      </w:r>
      <w:r>
        <w:rPr>
          <w:rFonts w:hint="default"/>
          <w:b/>
          <w:bCs/>
          <w:i w:val="0"/>
          <w:iCs w:val="0"/>
          <w:sz w:val="22"/>
          <w:szCs w:val="22"/>
          <w:vertAlign w:val="baseline"/>
          <w:lang w:val="en-US"/>
        </w:rPr>
        <w:t>Terhadap Nilai Perusahaan.</w:t>
      </w:r>
    </w:p>
    <w:p w14:paraId="75C93DBC">
      <w:pPr>
        <w:pStyle w:val="21"/>
        <w:spacing w:before="0" w:after="0" w:line="240" w:lineRule="auto"/>
        <w:ind w:firstLine="330" w:firstLineChars="150"/>
        <w:jc w:val="both"/>
        <w:rPr>
          <w:rFonts w:ascii="Times New Roman" w:hAnsi="Times New Roman" w:eastAsia="Times New Roman" w:cs="Times New Roman"/>
          <w:b w:val="0"/>
          <w:bCs/>
          <w:sz w:val="22"/>
          <w:szCs w:val="22"/>
        </w:rPr>
      </w:pPr>
      <w:r>
        <w:rPr>
          <w:rFonts w:ascii="Times New Roman" w:hAnsi="Times New Roman" w:eastAsia="Times New Roman" w:cs="Times New Roman"/>
          <w:b w:val="0"/>
          <w:bCs/>
          <w:sz w:val="22"/>
          <w:szCs w:val="22"/>
        </w:rPr>
        <w:t>Berdasarkan hasil uji parsial dalam penelitian ini, variabel</w:t>
      </w:r>
      <w:r>
        <w:rPr>
          <w:rFonts w:ascii="Times New Roman" w:hAnsi="Times New Roman" w:eastAsia="Times New Roman" w:cs="Times New Roman"/>
          <w:b w:val="0"/>
          <w:bCs/>
          <w:i/>
          <w:iCs/>
          <w:sz w:val="22"/>
          <w:szCs w:val="22"/>
        </w:rPr>
        <w:t xml:space="preserve"> cash holding </w:t>
      </w:r>
      <w:r>
        <w:rPr>
          <w:rFonts w:ascii="Times New Roman" w:hAnsi="Times New Roman" w:eastAsia="Times New Roman" w:cs="Times New Roman"/>
          <w:b w:val="0"/>
          <w:bCs/>
          <w:sz w:val="22"/>
          <w:szCs w:val="22"/>
        </w:rPr>
        <w:t xml:space="preserve">tidak berpengaruh signifikan terhadap nilai perusahaan. Hal ini menunjukkan bahwa tingkat </w:t>
      </w:r>
      <w:r>
        <w:rPr>
          <w:rFonts w:ascii="Times New Roman" w:hAnsi="Times New Roman" w:eastAsia="Times New Roman" w:cs="Times New Roman"/>
          <w:b w:val="0"/>
          <w:bCs/>
          <w:i/>
          <w:iCs/>
          <w:sz w:val="22"/>
          <w:szCs w:val="22"/>
        </w:rPr>
        <w:t>cash holding</w:t>
      </w:r>
      <w:r>
        <w:rPr>
          <w:rFonts w:ascii="Times New Roman" w:hAnsi="Times New Roman" w:eastAsia="Times New Roman" w:cs="Times New Roman"/>
          <w:b w:val="0"/>
          <w:bCs/>
          <w:sz w:val="22"/>
          <w:szCs w:val="22"/>
        </w:rPr>
        <w:t xml:space="preserve"> yang dimiliki oleh perusahaan perbankan selama periode pengamatan tidak secara langsung memengaruhi persepsi investor terhadap nilai perusahaan yang tercermin melalui </w:t>
      </w:r>
      <w:r>
        <w:rPr>
          <w:rFonts w:ascii="Times New Roman" w:hAnsi="Times New Roman" w:eastAsia="Times New Roman" w:cs="Times New Roman"/>
          <w:b w:val="0"/>
          <w:bCs/>
          <w:i/>
          <w:iCs/>
          <w:sz w:val="22"/>
          <w:szCs w:val="22"/>
        </w:rPr>
        <w:t xml:space="preserve">Price to Book Value </w:t>
      </w:r>
      <w:r>
        <w:rPr>
          <w:rFonts w:ascii="Times New Roman" w:hAnsi="Times New Roman" w:eastAsia="Times New Roman" w:cs="Times New Roman"/>
          <w:b w:val="0"/>
          <w:bCs/>
          <w:sz w:val="22"/>
          <w:szCs w:val="22"/>
        </w:rPr>
        <w:t xml:space="preserve">(PBV). Dalam konteks sektor perbankan, keputusan perusahaan dalam mempertahankan kas sering kali dipengaruhi oleh regulasi terkait likuiditas minimum dan strategi manajemen risiko. Oleh karena itu, jumlah kas yang tinggi tidak selalu dipandang sebagai sinyal positif maupun negatif oleh investor. </w:t>
      </w:r>
    </w:p>
    <w:p w14:paraId="4611F7BF">
      <w:pPr>
        <w:pStyle w:val="21"/>
        <w:spacing w:before="0" w:after="0" w:line="240" w:lineRule="auto"/>
        <w:ind w:firstLine="330" w:firstLineChars="150"/>
        <w:jc w:val="both"/>
        <w:rPr>
          <w:rFonts w:ascii="Times New Roman" w:hAnsi="Times New Roman" w:eastAsia="Times New Roman" w:cs="Times New Roman"/>
          <w:b w:val="0"/>
          <w:bCs/>
          <w:sz w:val="24"/>
          <w:szCs w:val="24"/>
        </w:rPr>
      </w:pPr>
      <w:r>
        <w:rPr>
          <w:rFonts w:ascii="Times New Roman" w:hAnsi="Times New Roman" w:eastAsia="Times New Roman" w:cs="Times New Roman"/>
          <w:b w:val="0"/>
          <w:bCs/>
          <w:sz w:val="22"/>
          <w:szCs w:val="22"/>
        </w:rPr>
        <w:t xml:space="preserve">Hasil penelitian ini sejalan dengan penelitian yang dilakukan oleh Khoiroh &amp; Subradjo (2020), Lestari dkk., (2020), Phangestu dan Chrisnanti (2022) yang menyatakan bahwa besar atau kecilnya </w:t>
      </w:r>
      <w:r>
        <w:rPr>
          <w:rFonts w:ascii="Times New Roman" w:hAnsi="Times New Roman" w:eastAsia="Times New Roman" w:cs="Times New Roman"/>
          <w:b w:val="0"/>
          <w:bCs/>
          <w:i/>
          <w:iCs/>
          <w:sz w:val="22"/>
          <w:szCs w:val="22"/>
        </w:rPr>
        <w:t>cash holding</w:t>
      </w:r>
      <w:r>
        <w:rPr>
          <w:rFonts w:ascii="Times New Roman" w:hAnsi="Times New Roman" w:eastAsia="Times New Roman" w:cs="Times New Roman"/>
          <w:b w:val="0"/>
          <w:bCs/>
          <w:sz w:val="22"/>
          <w:szCs w:val="22"/>
        </w:rPr>
        <w:t xml:space="preserve"> yang dimiliki perusahaan tidak berpengaruh pada nilai perusahaan. menyatakan bahwa </w:t>
      </w:r>
      <w:r>
        <w:rPr>
          <w:rFonts w:ascii="Times New Roman" w:hAnsi="Times New Roman" w:eastAsia="Times New Roman" w:cs="Times New Roman"/>
          <w:b w:val="0"/>
          <w:bCs/>
          <w:i/>
          <w:iCs/>
          <w:sz w:val="22"/>
          <w:szCs w:val="22"/>
        </w:rPr>
        <w:t>cash holding</w:t>
      </w:r>
      <w:r>
        <w:rPr>
          <w:rFonts w:ascii="Times New Roman" w:hAnsi="Times New Roman" w:eastAsia="Times New Roman" w:cs="Times New Roman"/>
          <w:b w:val="0"/>
          <w:bCs/>
          <w:sz w:val="22"/>
          <w:szCs w:val="22"/>
        </w:rPr>
        <w:t xml:space="preserve"> tidak berpengaruh terhadap nilai peruahaan. </w:t>
      </w:r>
    </w:p>
    <w:p w14:paraId="29417959">
      <w:pPr>
        <w:pStyle w:val="22"/>
        <w:jc w:val="both"/>
        <w:rPr>
          <w:rFonts w:hint="default" w:ascii="Times New Roman" w:hAnsi="Times New Roman" w:cs="Times New Roman"/>
          <w:b w:val="0"/>
          <w:bCs/>
          <w:sz w:val="24"/>
          <w:szCs w:val="24"/>
          <w:lang w:val="en-US"/>
        </w:rPr>
      </w:pPr>
    </w:p>
    <w:p w14:paraId="46D9593C">
      <w:pPr>
        <w:pStyle w:val="21"/>
        <w:numPr>
          <w:ilvl w:val="0"/>
          <w:numId w:val="4"/>
        </w:numPr>
        <w:spacing w:before="0" w:after="0"/>
        <w:ind w:left="426"/>
        <w:jc w:val="both"/>
        <w:rPr>
          <w:sz w:val="22"/>
          <w:szCs w:val="22"/>
        </w:rPr>
      </w:pPr>
      <w:r>
        <w:rPr>
          <w:sz w:val="22"/>
          <w:szCs w:val="22"/>
          <w:lang w:val="en-US"/>
        </w:rPr>
        <w:t>KESIMPULAN</w:t>
      </w:r>
    </w:p>
    <w:p w14:paraId="0FB4D0AE">
      <w:pPr>
        <w:pStyle w:val="21"/>
        <w:numPr>
          <w:ilvl w:val="0"/>
          <w:numId w:val="0"/>
        </w:numPr>
        <w:spacing w:before="0" w:after="0"/>
        <w:ind w:left="66" w:leftChars="0"/>
        <w:jc w:val="both"/>
        <w:rPr>
          <w:sz w:val="22"/>
          <w:szCs w:val="22"/>
        </w:rPr>
      </w:pPr>
    </w:p>
    <w:p w14:paraId="6C9C8200">
      <w:pPr>
        <w:pStyle w:val="12"/>
        <w:spacing w:line="240" w:lineRule="auto"/>
        <w:ind w:firstLine="330" w:firstLineChars="150"/>
        <w:jc w:val="both"/>
        <w:textAlignment w:val="baseline"/>
        <w:rPr>
          <w:rFonts w:ascii="Times New Roman" w:hAnsi="Times New Roman" w:cs="Times New Roman"/>
          <w:bCs/>
          <w:sz w:val="22"/>
          <w:szCs w:val="22"/>
        </w:rPr>
      </w:pPr>
      <w:r>
        <w:rPr>
          <w:rFonts w:ascii="Times New Roman" w:hAnsi="Times New Roman" w:cs="Times New Roman"/>
          <w:bCs/>
          <w:sz w:val="22"/>
          <w:szCs w:val="22"/>
        </w:rPr>
        <w:t xml:space="preserve">Berdasarkan hasil penelitian dan pembahasan, maka dapat ditarik kesimpulan bahwa: </w:t>
      </w:r>
    </w:p>
    <w:p w14:paraId="6DDE2081">
      <w:pPr>
        <w:pStyle w:val="12"/>
        <w:numPr>
          <w:ilvl w:val="0"/>
          <w:numId w:val="5"/>
        </w:numPr>
        <w:spacing w:line="240" w:lineRule="auto"/>
        <w:jc w:val="both"/>
        <w:textAlignment w:val="baseline"/>
        <w:rPr>
          <w:rFonts w:ascii="Times New Roman" w:hAnsi="Times New Roman" w:cs="Times New Roman"/>
          <w:bCs/>
          <w:i/>
          <w:iCs/>
          <w:sz w:val="22"/>
          <w:szCs w:val="22"/>
        </w:rPr>
      </w:pPr>
      <w:r>
        <w:rPr>
          <w:rFonts w:ascii="Times New Roman" w:hAnsi="Times New Roman" w:cs="Times New Roman"/>
          <w:bCs/>
          <w:sz w:val="22"/>
          <w:szCs w:val="22"/>
        </w:rPr>
        <w:t>Perencanaan pajak, keputusan investasi dan</w:t>
      </w:r>
      <w:r>
        <w:rPr>
          <w:rFonts w:ascii="Times New Roman" w:hAnsi="Times New Roman" w:cs="Times New Roman"/>
          <w:bCs/>
          <w:i/>
          <w:iCs/>
          <w:sz w:val="22"/>
          <w:szCs w:val="22"/>
        </w:rPr>
        <w:t xml:space="preserve"> cash holding </w:t>
      </w:r>
      <w:r>
        <w:rPr>
          <w:rFonts w:ascii="Times New Roman" w:hAnsi="Times New Roman" w:cs="Times New Roman"/>
          <w:bCs/>
          <w:sz w:val="22"/>
          <w:szCs w:val="22"/>
        </w:rPr>
        <w:t>secara simultan</w:t>
      </w:r>
      <w:r>
        <w:rPr>
          <w:rFonts w:ascii="Times New Roman" w:hAnsi="Times New Roman" w:cs="Times New Roman"/>
          <w:bCs/>
          <w:i/>
          <w:iCs/>
          <w:sz w:val="22"/>
          <w:szCs w:val="22"/>
        </w:rPr>
        <w:t xml:space="preserve"> </w:t>
      </w:r>
      <w:r>
        <w:rPr>
          <w:rFonts w:ascii="Times New Roman" w:hAnsi="Times New Roman" w:cs="Times New Roman"/>
          <w:bCs/>
          <w:sz w:val="22"/>
          <w:szCs w:val="22"/>
        </w:rPr>
        <w:t>berpengaruh positif dan signifikan terhadap nilai perusahaan pada perusahaan subsektor perbankan yang terdaftar di BEI. Hal ini ditunjukkan dengan nilai Fhitung sebesar 15,133 lebih besar dari Ftabel sebesar 2,769 dan nilai signifikansi sebesar 0,001 &lt; 0,05.</w:t>
      </w:r>
    </w:p>
    <w:p w14:paraId="5C7E7457">
      <w:pPr>
        <w:pStyle w:val="12"/>
        <w:numPr>
          <w:ilvl w:val="0"/>
          <w:numId w:val="5"/>
        </w:numPr>
        <w:spacing w:line="240" w:lineRule="auto"/>
        <w:jc w:val="both"/>
        <w:textAlignment w:val="baseline"/>
        <w:rPr>
          <w:rFonts w:ascii="Times New Roman" w:hAnsi="Times New Roman" w:cs="Times New Roman"/>
          <w:bCs/>
          <w:sz w:val="22"/>
          <w:szCs w:val="22"/>
        </w:rPr>
      </w:pPr>
      <w:r>
        <w:rPr>
          <w:rFonts w:ascii="Times New Roman" w:hAnsi="Times New Roman" w:cs="Times New Roman"/>
          <w:bCs/>
          <w:sz w:val="22"/>
          <w:szCs w:val="22"/>
        </w:rPr>
        <w:t xml:space="preserve">Perencanaan pajak yang diukur menggunakan ETR secara parsial berpengaruh negatif dan signifikan terhadap nilai perusahaan pada perusahaan subsektor perbankan yang terdaftar di BEI. Artinya semakin tinggi nilai </w:t>
      </w:r>
      <w:r>
        <w:rPr>
          <w:rFonts w:ascii="Times New Roman" w:hAnsi="Times New Roman" w:cs="Times New Roman"/>
          <w:bCs/>
          <w:i/>
          <w:iCs/>
          <w:sz w:val="22"/>
          <w:szCs w:val="22"/>
        </w:rPr>
        <w:t>effective  tax rate</w:t>
      </w:r>
      <w:r>
        <w:rPr>
          <w:rFonts w:ascii="Times New Roman" w:hAnsi="Times New Roman" w:cs="Times New Roman"/>
          <w:bCs/>
          <w:sz w:val="22"/>
          <w:szCs w:val="22"/>
        </w:rPr>
        <w:t>, maka nilai akan berpotensi menurunkan nilai perusahaan, karena kemungkinan dipersepsikan sebagai praktik yang beresiko atau tidak transparan oleh investor. Hal ini ditunjukkan dengan nilai koefisien regresi sebesar -19,216, nilai t-hitung sebesar -4,385 lebih besar dari t-tabel sebesar -2,003 dan  nilai signifikansi sebesar 0,001 &lt; 0,05.</w:t>
      </w:r>
    </w:p>
    <w:p w14:paraId="4888D733">
      <w:pPr>
        <w:pStyle w:val="12"/>
        <w:numPr>
          <w:ilvl w:val="0"/>
          <w:numId w:val="5"/>
        </w:numPr>
        <w:spacing w:line="240" w:lineRule="auto"/>
        <w:jc w:val="both"/>
        <w:textAlignment w:val="baseline"/>
        <w:rPr>
          <w:rFonts w:ascii="Times New Roman" w:hAnsi="Times New Roman" w:cs="Times New Roman"/>
          <w:bCs/>
          <w:sz w:val="22"/>
          <w:szCs w:val="22"/>
        </w:rPr>
      </w:pPr>
      <w:r>
        <w:rPr>
          <w:rFonts w:ascii="Times New Roman" w:hAnsi="Times New Roman" w:cs="Times New Roman"/>
          <w:sz w:val="22"/>
          <w:szCs w:val="22"/>
        </w:rPr>
        <w:t>K</w:t>
      </w:r>
      <w:r>
        <w:rPr>
          <w:rFonts w:ascii="Times New Roman" w:hAnsi="Times New Roman" w:cs="Times New Roman"/>
          <w:bCs/>
          <w:sz w:val="22"/>
          <w:szCs w:val="22"/>
        </w:rPr>
        <w:t>eputusan investasi yang diukur menggunakan PER secara parsial berpengaruh positif dan signifikan terhadap nilai perusahaan pada prusahaan sub sektor perbankan yang terdaftar di BEI. Hal tersebut menunjukkan bahwa keputusan investasi yang tepat dan strategis mendorong peningkatan nilai perusahaan karena investor menilai adanya prospek dan efesiensi penggunaan dana. semakin tinggi nilai PER, maka nilai perusahaan akan semangkin meningkat. Hal ini ditunjukkan dengan nilai  koefisien regresi sebesar 0,065, nilai t-hitung sebesar 5,286 lebih besar dari t-tabel sebesar 2,003 dan nilai signifikansi sebesar 0,001 &lt; 0,05.</w:t>
      </w:r>
    </w:p>
    <w:p w14:paraId="7C966740">
      <w:pPr>
        <w:pStyle w:val="12"/>
        <w:numPr>
          <w:ilvl w:val="0"/>
          <w:numId w:val="5"/>
        </w:numPr>
        <w:spacing w:line="240" w:lineRule="auto"/>
        <w:jc w:val="both"/>
        <w:textAlignment w:val="baseline"/>
        <w:rPr>
          <w:rFonts w:ascii="Times New Roman" w:hAnsi="Times New Roman" w:cs="Times New Roman"/>
          <w:bCs/>
          <w:sz w:val="22"/>
          <w:szCs w:val="22"/>
        </w:rPr>
      </w:pPr>
      <w:r>
        <w:rPr>
          <w:rFonts w:ascii="Times New Roman" w:hAnsi="Times New Roman" w:cs="Times New Roman"/>
          <w:bCs/>
          <w:i/>
          <w:iCs/>
          <w:sz w:val="22"/>
          <w:szCs w:val="22"/>
        </w:rPr>
        <w:t xml:space="preserve">Cash holding </w:t>
      </w:r>
      <w:r>
        <w:rPr>
          <w:rFonts w:ascii="Times New Roman" w:hAnsi="Times New Roman" w:cs="Times New Roman"/>
          <w:bCs/>
          <w:sz w:val="22"/>
          <w:szCs w:val="22"/>
        </w:rPr>
        <w:t>yang diukur menggunakan CH secara parsial tidak  berpengaruh terhadap nilai perushaan pada perusahaan sub sektor perbankan yang terdaftar di BEI. Dengan kata lain, besar kecilnya kas yang dimiliki perusahaan tidak memengaruhi persepsi investor secara langsung dalam menilai nilai perusahaan perbankan selama periode penelitian. Hal ini ditunjukkan dengan nilai koefisien regresi sebesar 1,403, nilai t-hitung sebesar 0,900 lebih kecil dari t-tabel sebesar 2,003 dan nilai signifikansi sebesar 0,372 &gt; 0,05.</w:t>
      </w:r>
    </w:p>
    <w:p w14:paraId="1817D856">
      <w:pPr>
        <w:pStyle w:val="21"/>
        <w:numPr>
          <w:ilvl w:val="0"/>
          <w:numId w:val="4"/>
        </w:numPr>
        <w:spacing w:before="0" w:after="0"/>
        <w:ind w:left="284" w:hanging="284"/>
        <w:jc w:val="both"/>
        <w:rPr>
          <w:sz w:val="22"/>
          <w:szCs w:val="22"/>
          <w:lang w:val="en-US"/>
        </w:rPr>
      </w:pPr>
      <w:r>
        <w:rPr>
          <w:sz w:val="22"/>
          <w:szCs w:val="22"/>
          <w:lang w:val="en-US"/>
        </w:rPr>
        <w:t>DAFTAR PUSTAKA</w:t>
      </w:r>
    </w:p>
    <w:p w14:paraId="13BE39BB">
      <w:pPr>
        <w:pStyle w:val="22"/>
        <w:jc w:val="both"/>
        <w:rPr>
          <w:sz w:val="22"/>
          <w:szCs w:val="22"/>
        </w:rPr>
      </w:pPr>
    </w:p>
    <w:p w14:paraId="06B8D7A4">
      <w:pPr>
        <w:spacing w:after="200" w:line="240" w:lineRule="auto"/>
        <w:ind w:left="720" w:hanging="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id-ID"/>
        </w:rPr>
        <w:t xml:space="preserve">Andayani, Wuryan dkk. (2022). </w:t>
      </w:r>
      <w:r>
        <w:rPr>
          <w:rFonts w:ascii="Times New Roman" w:hAnsi="Times New Roman" w:eastAsia="Times New Roman" w:cs="Times New Roman"/>
          <w:i/>
          <w:sz w:val="22"/>
          <w:szCs w:val="22"/>
          <w:lang w:val="id-ID"/>
        </w:rPr>
        <w:t>Inovasi dan Kewirausahaan</w:t>
      </w:r>
      <w:r>
        <w:rPr>
          <w:rFonts w:ascii="Times New Roman" w:hAnsi="Times New Roman" w:eastAsia="Times New Roman" w:cs="Times New Roman"/>
          <w:sz w:val="22"/>
          <w:szCs w:val="22"/>
          <w:lang w:val="id-ID"/>
        </w:rPr>
        <w:t>. Jakarta Selatan: Salemba Empat.</w:t>
      </w:r>
    </w:p>
    <w:p w14:paraId="327BF394">
      <w:pPr>
        <w:spacing w:after="200" w:line="240" w:lineRule="auto"/>
        <w:ind w:left="720" w:hanging="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Ardini, Lilis, &amp; Adhitya, Danny. (2022).  </w:t>
      </w:r>
      <w:r>
        <w:rPr>
          <w:rFonts w:ascii="Times New Roman" w:hAnsi="Times New Roman" w:eastAsia="Times New Roman" w:cs="Times New Roman"/>
          <w:i/>
          <w:iCs/>
          <w:sz w:val="22"/>
          <w:szCs w:val="22"/>
        </w:rPr>
        <w:t xml:space="preserve">The Effect of Investment Decisions, Funding, And Profitability on Company Value With Corporate Governance as Moderating Variables. Quality Access to Success, </w:t>
      </w:r>
      <w:r>
        <w:rPr>
          <w:rFonts w:ascii="Times New Roman" w:hAnsi="Times New Roman" w:eastAsia="Times New Roman" w:cs="Times New Roman"/>
          <w:sz w:val="22"/>
          <w:szCs w:val="22"/>
        </w:rPr>
        <w:t>23 (190), 1-10.</w:t>
      </w:r>
    </w:p>
    <w:p w14:paraId="4EF0ACF2">
      <w:pPr>
        <w:spacing w:after="200" w:line="240" w:lineRule="auto"/>
        <w:ind w:left="720" w:hanging="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Anwar, M. W., Suharto, B ., Zulaikah, &amp; Setiawan, A. E. (2023). </w:t>
      </w:r>
      <w:r>
        <w:rPr>
          <w:rFonts w:ascii="Times New Roman" w:hAnsi="Times New Roman" w:eastAsia="Times New Roman" w:cs="Times New Roman"/>
          <w:i/>
          <w:iCs/>
          <w:sz w:val="22"/>
          <w:szCs w:val="22"/>
        </w:rPr>
        <w:t>Pengaruh Cash Holding dan intelectual Capital Terhadap Nilai Perusahaan Dalam Perspektif Ekonomi Islam. Jurnal Ilmiah Ekonomi Islam,</w:t>
      </w:r>
      <w:r>
        <w:rPr>
          <w:rFonts w:ascii="Times New Roman" w:hAnsi="Times New Roman" w:eastAsia="Times New Roman" w:cs="Times New Roman"/>
          <w:sz w:val="22"/>
          <w:szCs w:val="22"/>
        </w:rPr>
        <w:t xml:space="preserve"> 9(02),3010-3122. </w:t>
      </w:r>
    </w:p>
    <w:p w14:paraId="666C1D73">
      <w:pPr>
        <w:pStyle w:val="12"/>
        <w:spacing w:after="200" w:line="240" w:lineRule="auto"/>
        <w:ind w:left="720" w:hanging="720"/>
        <w:jc w:val="both"/>
        <w:textAlignment w:val="baseline"/>
        <w:rPr>
          <w:rFonts w:ascii="Times New Roman" w:hAnsi="Times New Roman" w:eastAsia="Segoe UI" w:cs="Times New Roman"/>
          <w:sz w:val="22"/>
          <w:szCs w:val="22"/>
          <w:shd w:val="clear" w:color="auto" w:fill="FFFFFF"/>
        </w:rPr>
      </w:pPr>
      <w:r>
        <w:rPr>
          <w:rFonts w:ascii="Times New Roman" w:hAnsi="Times New Roman" w:eastAsia="Segoe UI" w:cs="Times New Roman"/>
          <w:sz w:val="22"/>
          <w:szCs w:val="22"/>
          <w:shd w:val="clear" w:color="auto" w:fill="FFFFFF"/>
        </w:rPr>
        <w:t xml:space="preserve">Apriani, M., &amp; Martini, M. (2023). </w:t>
      </w:r>
      <w:r>
        <w:rPr>
          <w:rFonts w:ascii="Times New Roman" w:hAnsi="Times New Roman" w:eastAsia="Segoe UI" w:cs="Times New Roman"/>
          <w:i/>
          <w:iCs/>
          <w:sz w:val="22"/>
          <w:szCs w:val="22"/>
          <w:shd w:val="clear" w:color="auto" w:fill="FFFFFF"/>
        </w:rPr>
        <w:t xml:space="preserve">Pengaruh Perencanaan Pajak, Penghindaran Pajak, dan Profitabilitas terhadap Nilai Perusahaan (Studi empiris pada perusahaan sektor pertambangan yang terdaftar di Bursa Efek Indonesia Periode 2019-2023). jurnal publikasi Ekonomi dan Akuntansi, </w:t>
      </w:r>
      <w:r>
        <w:rPr>
          <w:rFonts w:ascii="Times New Roman" w:hAnsi="Times New Roman" w:eastAsia="Segoe UI" w:cs="Times New Roman"/>
          <w:sz w:val="22"/>
          <w:szCs w:val="22"/>
          <w:shd w:val="clear" w:color="auto" w:fill="FFFFFF"/>
        </w:rPr>
        <w:t>2(3),374-398.</w:t>
      </w:r>
    </w:p>
    <w:p w14:paraId="2A7914C4">
      <w:pPr>
        <w:spacing w:after="200" w:line="240" w:lineRule="auto"/>
        <w:ind w:left="720" w:hanging="720"/>
        <w:jc w:val="both"/>
        <w:rPr>
          <w:rFonts w:ascii="Times New Roman" w:hAnsi="Times New Roman" w:eastAsia="Times New Roman" w:cs="Times New Roman"/>
          <w:sz w:val="22"/>
          <w:szCs w:val="22"/>
          <w:lang w:val="id-ID"/>
        </w:rPr>
      </w:pPr>
      <w:r>
        <w:rPr>
          <w:rFonts w:ascii="Times New Roman" w:hAnsi="Times New Roman" w:cs="Times New Roman"/>
          <w:sz w:val="22"/>
          <w:szCs w:val="22"/>
        </w:rPr>
        <w:t xml:space="preserve">Chandra, Budi, &amp; Feliana, Christina.(2020). </w:t>
      </w:r>
      <w:r>
        <w:rPr>
          <w:rStyle w:val="6"/>
          <w:rFonts w:ascii="Times New Roman" w:hAnsi="Times New Roman" w:cs="Times New Roman"/>
          <w:sz w:val="22"/>
          <w:szCs w:val="22"/>
        </w:rPr>
        <w:t>Analisis dampak tata kelola perusahaan, struktur kepemilikan dan cash holdings terhadap nilai perusahaan di BEI 2014–2018</w:t>
      </w:r>
      <w:r>
        <w:rPr>
          <w:rFonts w:ascii="Times New Roman" w:hAnsi="Times New Roman" w:cs="Times New Roman"/>
          <w:i/>
          <w:iCs/>
          <w:sz w:val="22"/>
          <w:szCs w:val="22"/>
        </w:rPr>
        <w:t>. Jurnal Ilmiah Akuntansi Indonesia,</w:t>
      </w:r>
      <w:r>
        <w:rPr>
          <w:rFonts w:ascii="Times New Roman" w:hAnsi="Times New Roman" w:cs="Times New Roman"/>
          <w:sz w:val="22"/>
          <w:szCs w:val="22"/>
        </w:rPr>
        <w:t xml:space="preserve"> 5(2), 87–99. </w:t>
      </w:r>
      <w:r>
        <w:rPr>
          <w:sz w:val="22"/>
          <w:szCs w:val="22"/>
        </w:rPr>
        <w:fldChar w:fldCharType="begin"/>
      </w:r>
      <w:r>
        <w:rPr>
          <w:sz w:val="22"/>
          <w:szCs w:val="22"/>
        </w:rPr>
        <w:instrText xml:space="preserve"> HYPERLINK "https://jurnal.unmuhjember.ac.id/index.php/JIAI/article/view/3749" \t "_new" </w:instrText>
      </w:r>
      <w:r>
        <w:rPr>
          <w:sz w:val="22"/>
          <w:szCs w:val="22"/>
        </w:rPr>
        <w:fldChar w:fldCharType="separate"/>
      </w:r>
      <w:r>
        <w:rPr>
          <w:rStyle w:val="11"/>
          <w:rFonts w:ascii="Times New Roman" w:hAnsi="Times New Roman" w:cs="Times New Roman"/>
          <w:color w:val="000000"/>
          <w:sz w:val="22"/>
          <w:szCs w:val="22"/>
          <w:u w:val="none"/>
        </w:rPr>
        <w:t>https://jurnal.unmuhjember.ac.id/index.php/JIAI/article/view/3749</w:t>
      </w:r>
      <w:r>
        <w:rPr>
          <w:rStyle w:val="11"/>
          <w:rFonts w:ascii="Times New Roman" w:hAnsi="Times New Roman" w:cs="Times New Roman"/>
          <w:color w:val="000000"/>
          <w:sz w:val="22"/>
          <w:szCs w:val="22"/>
          <w:u w:val="none"/>
        </w:rPr>
        <w:fldChar w:fldCharType="end"/>
      </w:r>
      <w:r>
        <w:rPr>
          <w:rFonts w:ascii="Times New Roman" w:hAnsi="Times New Roman" w:cs="Times New Roman"/>
          <w:color w:val="000000"/>
          <w:sz w:val="22"/>
          <w:szCs w:val="22"/>
          <w:lang w:val="id-ID"/>
        </w:rPr>
        <w:t xml:space="preserve">. </w:t>
      </w:r>
      <w:r>
        <w:rPr>
          <w:rFonts w:ascii="Times New Roman" w:hAnsi="Times New Roman" w:cs="Times New Roman"/>
          <w:sz w:val="22"/>
          <w:szCs w:val="22"/>
          <w:lang w:val="id-ID"/>
        </w:rPr>
        <w:t>Diakses 25 April 2025.</w:t>
      </w:r>
    </w:p>
    <w:p w14:paraId="1720FAB0">
      <w:pPr>
        <w:spacing w:after="200" w:line="240" w:lineRule="auto"/>
        <w:ind w:left="720" w:hanging="720"/>
        <w:jc w:val="both"/>
        <w:rPr>
          <w:rFonts w:ascii="Times New Roman" w:hAnsi="Times New Roman" w:cs="Times New Roman"/>
          <w:sz w:val="22"/>
          <w:szCs w:val="22"/>
          <w:lang w:val="id-ID"/>
        </w:rPr>
      </w:pPr>
      <w:r>
        <w:rPr>
          <w:rFonts w:ascii="Times New Roman" w:hAnsi="Times New Roman" w:cs="Times New Roman"/>
          <w:sz w:val="22"/>
          <w:szCs w:val="22"/>
          <w:lang w:val="id-ID"/>
        </w:rPr>
        <w:t xml:space="preserve">Fitria, Dina &amp; Aris Dewi Kureaesin. (2022). </w:t>
      </w:r>
      <w:r>
        <w:rPr>
          <w:rFonts w:ascii="Times New Roman" w:hAnsi="Times New Roman" w:cs="Times New Roman"/>
          <w:i/>
          <w:sz w:val="22"/>
          <w:szCs w:val="22"/>
          <w:lang w:val="id-ID"/>
        </w:rPr>
        <w:t>Pengaruh Profitabilitas Nilai Perusahaan (Studi Kasus Perusahaan Manufaktru yang Terdaftar di Bursa Efek Indonesia Periode 2016-2020.</w:t>
      </w:r>
      <w:r>
        <w:rPr>
          <w:rFonts w:ascii="Times New Roman" w:hAnsi="Times New Roman" w:cs="Times New Roman"/>
          <w:iCs/>
          <w:sz w:val="22"/>
          <w:szCs w:val="22"/>
          <w:lang w:val="id-ID"/>
        </w:rPr>
        <w:t xml:space="preserve"> </w:t>
      </w:r>
      <w:r>
        <w:rPr>
          <w:rFonts w:ascii="Times New Roman" w:hAnsi="Times New Roman" w:cs="Times New Roman"/>
          <w:i/>
          <w:iCs/>
          <w:sz w:val="22"/>
          <w:szCs w:val="22"/>
          <w:lang w:val="id-ID"/>
        </w:rPr>
        <w:t>Jurnal Ekonomi dan Bisnis</w:t>
      </w:r>
      <w:r>
        <w:rPr>
          <w:rFonts w:ascii="Times New Roman" w:hAnsi="Times New Roman" w:cs="Times New Roman"/>
          <w:sz w:val="22"/>
          <w:szCs w:val="22"/>
          <w:lang w:val="id-ID"/>
        </w:rPr>
        <w:t xml:space="preserve">. 10(2). 775-782. Doi.org/10.37676/ekombis.v102. Diakses 18 April 2025. </w:t>
      </w:r>
    </w:p>
    <w:p w14:paraId="11B41C42">
      <w:pPr>
        <w:spacing w:after="200" w:line="240" w:lineRule="auto"/>
        <w:ind w:left="720" w:hanging="720"/>
        <w:jc w:val="both"/>
        <w:rPr>
          <w:rFonts w:ascii="Times New Roman" w:hAnsi="Times New Roman" w:cs="Times New Roman"/>
          <w:sz w:val="22"/>
          <w:szCs w:val="22"/>
          <w:lang w:val="id-ID"/>
        </w:rPr>
      </w:pPr>
      <w:r>
        <w:rPr>
          <w:rFonts w:ascii="Times New Roman" w:hAnsi="Times New Roman" w:cs="Times New Roman"/>
          <w:sz w:val="22"/>
          <w:szCs w:val="22"/>
          <w:lang w:val="id-ID"/>
        </w:rPr>
        <w:t xml:space="preserve">Ghozali, Zein dkk. </w:t>
      </w:r>
      <w:r>
        <w:rPr>
          <w:rFonts w:ascii="Times New Roman" w:hAnsi="Times New Roman" w:cs="Times New Roman"/>
          <w:sz w:val="22"/>
          <w:szCs w:val="22"/>
        </w:rPr>
        <w:t>(</w:t>
      </w:r>
      <w:r>
        <w:rPr>
          <w:rFonts w:ascii="Times New Roman" w:hAnsi="Times New Roman" w:cs="Times New Roman"/>
          <w:sz w:val="22"/>
          <w:szCs w:val="22"/>
          <w:lang w:val="id-ID"/>
        </w:rPr>
        <w:t>2024</w:t>
      </w:r>
      <w:r>
        <w:rPr>
          <w:rFonts w:ascii="Times New Roman" w:hAnsi="Times New Roman" w:cs="Times New Roman"/>
          <w:sz w:val="22"/>
          <w:szCs w:val="22"/>
        </w:rPr>
        <w:t>)</w:t>
      </w:r>
      <w:r>
        <w:rPr>
          <w:rFonts w:ascii="Times New Roman" w:hAnsi="Times New Roman" w:cs="Times New Roman"/>
          <w:sz w:val="22"/>
          <w:szCs w:val="22"/>
          <w:lang w:val="id-ID"/>
        </w:rPr>
        <w:t xml:space="preserve">. </w:t>
      </w:r>
      <w:r>
        <w:rPr>
          <w:rFonts w:ascii="Times New Roman" w:hAnsi="Times New Roman" w:cs="Times New Roman"/>
          <w:i/>
          <w:sz w:val="22"/>
          <w:szCs w:val="22"/>
          <w:lang w:val="id-ID"/>
        </w:rPr>
        <w:t>Buku Ajar Metodologi Penelitian Ak</w:t>
      </w:r>
      <w:r>
        <w:rPr>
          <w:rFonts w:ascii="Times New Roman" w:hAnsi="Times New Roman" w:cs="Times New Roman"/>
          <w:sz w:val="22"/>
          <w:szCs w:val="22"/>
          <w:lang w:val="id-ID"/>
        </w:rPr>
        <w:t>utansi. Jambi: PT Sonpedia Publishing Indonesia.</w:t>
      </w:r>
    </w:p>
    <w:p w14:paraId="6916FB3B">
      <w:pPr>
        <w:pStyle w:val="12"/>
        <w:spacing w:after="200" w:line="240" w:lineRule="auto"/>
        <w:ind w:left="720" w:hanging="720"/>
        <w:jc w:val="both"/>
        <w:textAlignment w:val="baseline"/>
        <w:rPr>
          <w:rFonts w:ascii="Times New Roman" w:hAnsi="Times New Roman" w:eastAsia="Segoe UI" w:cs="Times New Roman"/>
          <w:sz w:val="22"/>
          <w:szCs w:val="22"/>
          <w:shd w:val="clear" w:color="auto" w:fill="FFFFFF"/>
        </w:rPr>
      </w:pPr>
      <w:r>
        <w:rPr>
          <w:rFonts w:ascii="Times New Roman" w:hAnsi="Times New Roman" w:eastAsia="Segoe UI" w:cs="Times New Roman"/>
          <w:sz w:val="22"/>
          <w:szCs w:val="22"/>
          <w:shd w:val="clear" w:color="auto" w:fill="FFFFFF"/>
        </w:rPr>
        <w:t xml:space="preserve">Hrp, B. A. P., (2024). </w:t>
      </w:r>
      <w:r>
        <w:rPr>
          <w:rFonts w:ascii="Times New Roman" w:hAnsi="Times New Roman" w:eastAsia="Segoe UI" w:cs="Times New Roman"/>
          <w:i/>
          <w:iCs/>
          <w:sz w:val="22"/>
          <w:szCs w:val="22"/>
          <w:shd w:val="clear" w:color="auto" w:fill="FFFFFF"/>
        </w:rPr>
        <w:t>Pengaruh Keputusan Investasi, Keputusan Pendanaan dan Profit Margin Terhadap Nilai Perusahaan Pada Perusahaan Sektor Perbankan yang Terdaftar di Bursa Efek Indonesia Tahun 2018-2022</w:t>
      </w:r>
      <w:r>
        <w:rPr>
          <w:rFonts w:ascii="Times New Roman" w:hAnsi="Times New Roman" w:eastAsia="Segoe UI" w:cs="Times New Roman"/>
          <w:sz w:val="22"/>
          <w:szCs w:val="22"/>
          <w:shd w:val="clear" w:color="auto" w:fill="FFFFFF"/>
        </w:rPr>
        <w:t>. (Skripsi, Universitas Medan Area). Universitas Medan Area Repository.</w:t>
      </w:r>
    </w:p>
    <w:p w14:paraId="0C976E79">
      <w:pPr>
        <w:spacing w:after="200" w:line="240" w:lineRule="auto"/>
        <w:ind w:left="720" w:hanging="720"/>
        <w:jc w:val="both"/>
        <w:rPr>
          <w:rFonts w:ascii="Times New Roman" w:hAnsi="Times New Roman" w:cs="Times New Roman"/>
          <w:color w:val="000000"/>
          <w:sz w:val="22"/>
          <w:szCs w:val="22"/>
          <w:lang w:val="id-ID"/>
        </w:rPr>
      </w:pPr>
      <w:r>
        <w:rPr>
          <w:rFonts w:ascii="Times New Roman" w:hAnsi="Times New Roman" w:cs="Times New Roman"/>
          <w:sz w:val="22"/>
          <w:szCs w:val="22"/>
        </w:rPr>
        <w:t xml:space="preserve">Khoiroh, Miftahul, &amp; Subradjo, Agung. (2020). </w:t>
      </w:r>
      <w:r>
        <w:rPr>
          <w:rStyle w:val="6"/>
          <w:rFonts w:ascii="Times New Roman" w:hAnsi="Times New Roman" w:cs="Times New Roman"/>
          <w:sz w:val="22"/>
          <w:szCs w:val="22"/>
        </w:rPr>
        <w:t>Pengaruh Struktur Modal, Cash Holdings, dan Investment Opportunity terhadap Nilai Perusahaan Melalui Kebijakan Dividen</w:t>
      </w:r>
      <w:r>
        <w:rPr>
          <w:rFonts w:ascii="Times New Roman" w:hAnsi="Times New Roman" w:cs="Times New Roman"/>
          <w:i/>
          <w:iCs/>
          <w:sz w:val="22"/>
          <w:szCs w:val="22"/>
        </w:rPr>
        <w:t>. Jurnal Ilmu Riset Akuntansi</w:t>
      </w:r>
      <w:r>
        <w:rPr>
          <w:rFonts w:ascii="Times New Roman" w:hAnsi="Times New Roman" w:cs="Times New Roman"/>
          <w:sz w:val="22"/>
          <w:szCs w:val="22"/>
        </w:rPr>
        <w:t>, 9(2), 1–15.</w:t>
      </w:r>
      <w:r>
        <w:rPr>
          <w:rFonts w:hint="default" w:ascii="Times New Roman" w:hAnsi="Times New Roman" w:cs="Times New Roman"/>
          <w:sz w:val="22"/>
          <w:szCs w:val="22"/>
          <w:lang w:val="en-US"/>
        </w:rPr>
        <w:t xml:space="preserve"> </w:t>
      </w:r>
      <w:r>
        <w:rPr>
          <w:sz w:val="22"/>
          <w:szCs w:val="22"/>
        </w:rPr>
        <w:fldChar w:fldCharType="begin"/>
      </w:r>
      <w:r>
        <w:rPr>
          <w:sz w:val="22"/>
          <w:szCs w:val="22"/>
        </w:rPr>
        <w:instrText xml:space="preserve"> HYPERLINK "https://jurnalmahasiswa.stiesia.ac.id/index.php/jira/article/view/2893" \t "_new" </w:instrText>
      </w:r>
      <w:r>
        <w:rPr>
          <w:sz w:val="22"/>
          <w:szCs w:val="22"/>
        </w:rPr>
        <w:fldChar w:fldCharType="separate"/>
      </w:r>
      <w:r>
        <w:rPr>
          <w:rStyle w:val="11"/>
          <w:rFonts w:ascii="Times New Roman" w:hAnsi="Times New Roman" w:cs="Times New Roman"/>
          <w:color w:val="000000"/>
          <w:sz w:val="22"/>
          <w:szCs w:val="22"/>
          <w:u w:val="none"/>
        </w:rPr>
        <w:t>https://jurnalmahasiswa.</w:t>
      </w:r>
      <w:r>
        <w:rPr>
          <w:rStyle w:val="11"/>
          <w:rFonts w:hint="default" w:ascii="Times New Roman" w:hAnsi="Times New Roman" w:cs="Times New Roman"/>
          <w:color w:val="000000"/>
          <w:sz w:val="22"/>
          <w:szCs w:val="22"/>
          <w:u w:val="none"/>
          <w:lang w:val="en-US"/>
        </w:rPr>
        <w:t xml:space="preserve"> </w:t>
      </w:r>
      <w:r>
        <w:rPr>
          <w:rStyle w:val="11"/>
          <w:rFonts w:ascii="Times New Roman" w:hAnsi="Times New Roman" w:cs="Times New Roman"/>
          <w:color w:val="000000"/>
          <w:sz w:val="22"/>
          <w:szCs w:val="22"/>
          <w:u w:val="none"/>
        </w:rPr>
        <w:t>stiesia.ac.id/index.php/jira/article/view/2893</w:t>
      </w:r>
      <w:r>
        <w:rPr>
          <w:rStyle w:val="11"/>
          <w:rFonts w:ascii="Times New Roman" w:hAnsi="Times New Roman" w:cs="Times New Roman"/>
          <w:color w:val="000000"/>
          <w:sz w:val="22"/>
          <w:szCs w:val="22"/>
          <w:u w:val="none"/>
        </w:rPr>
        <w:fldChar w:fldCharType="end"/>
      </w:r>
      <w:r>
        <w:rPr>
          <w:rFonts w:ascii="Times New Roman" w:hAnsi="Times New Roman" w:cs="Times New Roman"/>
          <w:color w:val="000000"/>
          <w:sz w:val="22"/>
          <w:szCs w:val="22"/>
          <w:lang w:val="id-ID"/>
        </w:rPr>
        <w:t>. Diakses 25 April 2025.</w:t>
      </w:r>
    </w:p>
    <w:p w14:paraId="68BD0F29">
      <w:pPr>
        <w:spacing w:after="200" w:line="240" w:lineRule="auto"/>
        <w:ind w:left="567" w:hanging="567"/>
        <w:jc w:val="both"/>
        <w:rPr>
          <w:rFonts w:ascii="Times New Roman" w:hAnsi="Times New Roman"/>
          <w:color w:val="000000"/>
          <w:sz w:val="22"/>
          <w:szCs w:val="22"/>
          <w:lang w:val="id-ID"/>
        </w:rPr>
      </w:pPr>
      <w:r>
        <w:rPr>
          <w:rFonts w:ascii="Times New Roman" w:hAnsi="Times New Roman"/>
          <w:color w:val="000000"/>
          <w:sz w:val="22"/>
          <w:szCs w:val="22"/>
        </w:rPr>
        <w:t xml:space="preserve">Lestari, T., Hanifah, I. A., Sultan, U., Tirtayasa, A., &amp; Serang, K. (2020). </w:t>
      </w:r>
      <w:r>
        <w:rPr>
          <w:rFonts w:ascii="Times New Roman" w:hAnsi="Times New Roman"/>
          <w:i/>
          <w:iCs/>
          <w:color w:val="000000"/>
          <w:sz w:val="22"/>
          <w:szCs w:val="22"/>
        </w:rPr>
        <w:t xml:space="preserve">How Corporate Governance and Cash Holdings Affect Earnings Quality and Firm Value. </w:t>
      </w:r>
      <w:r>
        <w:rPr>
          <w:rFonts w:ascii="Times New Roman" w:hAnsi="Times New Roman"/>
          <w:color w:val="000000"/>
          <w:sz w:val="22"/>
          <w:szCs w:val="22"/>
        </w:rPr>
        <w:t xml:space="preserve">Trikonomika, 19(1), 16–21 </w:t>
      </w:r>
      <w:r>
        <w:rPr>
          <w:rFonts w:ascii="Times New Roman" w:hAnsi="Times New Roman"/>
          <w:color w:val="000000"/>
          <w:sz w:val="22"/>
          <w:szCs w:val="22"/>
        </w:rPr>
        <w:fldChar w:fldCharType="begin"/>
      </w:r>
      <w:r>
        <w:rPr>
          <w:rFonts w:ascii="Times New Roman" w:hAnsi="Times New Roman"/>
          <w:color w:val="000000"/>
          <w:sz w:val="22"/>
          <w:szCs w:val="22"/>
        </w:rPr>
        <w:instrText xml:space="preserve"> HYPERLINK "https://doi.org/10.23969/trikonomika." </w:instrText>
      </w:r>
      <w:r>
        <w:rPr>
          <w:rFonts w:ascii="Times New Roman" w:hAnsi="Times New Roman"/>
          <w:color w:val="000000"/>
          <w:sz w:val="22"/>
          <w:szCs w:val="22"/>
        </w:rPr>
        <w:fldChar w:fldCharType="separate"/>
      </w:r>
      <w:r>
        <w:rPr>
          <w:rStyle w:val="11"/>
          <w:rFonts w:ascii="Times New Roman" w:hAnsi="Times New Roman"/>
          <w:color w:val="auto"/>
          <w:sz w:val="22"/>
          <w:szCs w:val="22"/>
          <w:u w:val="none"/>
        </w:rPr>
        <w:t>https://doi.org/10</w:t>
      </w:r>
      <w:r>
        <w:rPr>
          <w:rStyle w:val="11"/>
          <w:rFonts w:ascii="Times New Roman" w:hAnsi="Times New Roman"/>
          <w:sz w:val="22"/>
          <w:szCs w:val="22"/>
          <w:u w:val="none"/>
        </w:rPr>
        <w:t>.</w:t>
      </w:r>
      <w:r>
        <w:rPr>
          <w:rFonts w:ascii="Times New Roman" w:hAnsi="Times New Roman"/>
          <w:color w:val="000000"/>
          <w:sz w:val="22"/>
          <w:szCs w:val="22"/>
        </w:rPr>
        <w:fldChar w:fldCharType="end"/>
      </w:r>
    </w:p>
    <w:p w14:paraId="677E009D">
      <w:pPr>
        <w:spacing w:after="200" w:line="240" w:lineRule="auto"/>
        <w:ind w:left="720" w:hanging="720"/>
        <w:jc w:val="both"/>
        <w:rPr>
          <w:rFonts w:ascii="Times New Roman" w:hAnsi="Times New Roman" w:cs="Times New Roman"/>
          <w:color w:val="000000"/>
          <w:sz w:val="22"/>
          <w:szCs w:val="22"/>
          <w:lang w:val="id-ID"/>
        </w:rPr>
      </w:pPr>
      <w:r>
        <w:rPr>
          <w:rFonts w:ascii="Times New Roman" w:hAnsi="Times New Roman" w:cs="Times New Roman"/>
          <w:color w:val="000000"/>
          <w:sz w:val="22"/>
          <w:szCs w:val="22"/>
          <w:lang w:val="id-ID"/>
        </w:rPr>
        <w:t xml:space="preserve">Mucthar, Evan Hamza. </w:t>
      </w:r>
      <w:r>
        <w:rPr>
          <w:rFonts w:ascii="Times New Roman" w:hAnsi="Times New Roman" w:cs="Times New Roman"/>
          <w:i/>
          <w:color w:val="000000"/>
          <w:sz w:val="22"/>
          <w:szCs w:val="22"/>
          <w:lang w:val="id-ID"/>
        </w:rPr>
        <w:t>Corporate Governance: Konsep dan Implementasinya pada Emiten Saham Syariah</w:t>
      </w:r>
      <w:r>
        <w:rPr>
          <w:rFonts w:ascii="Times New Roman" w:hAnsi="Times New Roman" w:cs="Times New Roman"/>
          <w:color w:val="000000"/>
          <w:sz w:val="22"/>
          <w:szCs w:val="22"/>
          <w:lang w:val="id-ID"/>
        </w:rPr>
        <w:t>. Indramayu: CV Adanu Abimata.</w:t>
      </w:r>
    </w:p>
    <w:p w14:paraId="75A142C8">
      <w:pPr>
        <w:spacing w:after="200" w:line="240" w:lineRule="auto"/>
        <w:ind w:left="720" w:hanging="720"/>
        <w:jc w:val="both"/>
        <w:rPr>
          <w:rFonts w:ascii="Times New Roman" w:hAnsi="Times New Roman" w:cs="Times New Roman"/>
          <w:sz w:val="22"/>
          <w:szCs w:val="22"/>
        </w:rPr>
      </w:pPr>
      <w:r>
        <w:rPr>
          <w:rFonts w:ascii="Times New Roman" w:hAnsi="Times New Roman" w:eastAsia="Open Sans" w:cs="Times New Roman"/>
          <w:color w:val="000000"/>
          <w:sz w:val="22"/>
          <w:szCs w:val="22"/>
          <w:lang w:bidi="ar"/>
        </w:rPr>
        <w:t>Nadhiyah, Putri. 2021</w:t>
      </w:r>
      <w:r>
        <w:rPr>
          <w:rFonts w:ascii="Times New Roman" w:hAnsi="Times New Roman" w:eastAsia="Open Sans" w:cs="Times New Roman"/>
          <w:i/>
          <w:iCs/>
          <w:color w:val="000000"/>
          <w:sz w:val="22"/>
          <w:szCs w:val="22"/>
          <w:lang w:bidi="ar"/>
        </w:rPr>
        <w:t>. Pengaruh Good Corporate Governance, Profitabilitas dan Leverage tehadap Nilai Perusahaan. Jurnal Ilmu dan Riset Akuntasi,</w:t>
      </w:r>
      <w:r>
        <w:rPr>
          <w:rFonts w:ascii="Times New Roman" w:hAnsi="Times New Roman" w:eastAsia="Open Sans" w:cs="Times New Roman"/>
          <w:color w:val="000000"/>
          <w:sz w:val="22"/>
          <w:szCs w:val="22"/>
          <w:lang w:bidi="ar"/>
        </w:rPr>
        <w:t xml:space="preserve"> 10 (4).</w:t>
      </w:r>
    </w:p>
    <w:p w14:paraId="40BC1605">
      <w:pPr>
        <w:spacing w:after="200" w:line="240" w:lineRule="auto"/>
        <w:ind w:left="720" w:hanging="720"/>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Octavianingrum, Pipit &amp; Aufa, Muhammad. (2023) </w:t>
      </w:r>
      <w:r>
        <w:rPr>
          <w:rFonts w:ascii="Times New Roman" w:hAnsi="Times New Roman" w:cs="Times New Roman"/>
          <w:i/>
          <w:iCs/>
          <w:color w:val="000000"/>
          <w:sz w:val="22"/>
          <w:szCs w:val="22"/>
        </w:rPr>
        <w:t>The Effect of Profitability, Investment Decisions,Funding decisions and Dividend Policy on Firm Value</w:t>
      </w:r>
      <w:r>
        <w:rPr>
          <w:rFonts w:ascii="Times New Roman" w:hAnsi="Times New Roman" w:cs="Times New Roman"/>
          <w:color w:val="000000"/>
          <w:sz w:val="22"/>
          <w:szCs w:val="22"/>
        </w:rPr>
        <w:t xml:space="preserve">. 63-73. </w:t>
      </w:r>
    </w:p>
    <w:p w14:paraId="4CDC37CA">
      <w:pPr>
        <w:spacing w:after="200" w:line="240" w:lineRule="auto"/>
        <w:ind w:left="720" w:hanging="720"/>
        <w:jc w:val="both"/>
        <w:rPr>
          <w:rStyle w:val="6"/>
          <w:rFonts w:ascii="Times New Roman" w:hAnsi="Times New Roman" w:cs="Times New Roman"/>
          <w:i w:val="0"/>
          <w:sz w:val="22"/>
          <w:szCs w:val="22"/>
          <w:lang w:val="id-ID"/>
        </w:rPr>
      </w:pPr>
      <w:r>
        <w:rPr>
          <w:rFonts w:ascii="Times New Roman" w:hAnsi="Times New Roman" w:cs="Times New Roman"/>
          <w:sz w:val="22"/>
          <w:szCs w:val="22"/>
        </w:rPr>
        <w:t xml:space="preserve">Romadhina, Anggun Putri,. &amp; Andhitiyara, Revan. (2021). </w:t>
      </w:r>
      <w:r>
        <w:rPr>
          <w:rStyle w:val="6"/>
          <w:rFonts w:ascii="Times New Roman" w:hAnsi="Times New Roman" w:cs="Times New Roman"/>
          <w:sz w:val="22"/>
          <w:szCs w:val="22"/>
        </w:rPr>
        <w:t>Pengaruh Perencanaan Pajak, Pertumbuhan Penjualan, dan Kebijakan Dividen Terhadap Nilai Perusahaan</w:t>
      </w:r>
      <w:r>
        <w:rPr>
          <w:rStyle w:val="6"/>
          <w:rFonts w:ascii="Times New Roman" w:hAnsi="Times New Roman" w:cs="Times New Roman"/>
          <w:sz w:val="22"/>
          <w:szCs w:val="22"/>
          <w:lang w:val="id-ID"/>
        </w:rPr>
        <w:t>.</w:t>
      </w:r>
      <w:r>
        <w:rPr>
          <w:rStyle w:val="6"/>
          <w:rFonts w:ascii="Times New Roman" w:hAnsi="Times New Roman" w:cs="Times New Roman"/>
          <w:i w:val="0"/>
          <w:sz w:val="22"/>
          <w:szCs w:val="22"/>
          <w:lang w:val="id-ID"/>
        </w:rPr>
        <w:t>Repostitory.bsi.ac.id. Diakses 25 April 2025.</w:t>
      </w:r>
    </w:p>
    <w:p w14:paraId="681E071D">
      <w:pPr>
        <w:spacing w:after="200" w:line="240" w:lineRule="auto"/>
        <w:ind w:left="720" w:hanging="720"/>
        <w:jc w:val="both"/>
        <w:rPr>
          <w:rStyle w:val="6"/>
          <w:rFonts w:ascii="Times New Roman" w:hAnsi="Times New Roman" w:cs="Times New Roman"/>
          <w:i w:val="0"/>
          <w:sz w:val="22"/>
          <w:szCs w:val="22"/>
          <w:lang w:val="id-ID"/>
        </w:rPr>
      </w:pPr>
      <w:r>
        <w:rPr>
          <w:rFonts w:ascii="Times New Roman" w:hAnsi="Times New Roman" w:cs="Times New Roman"/>
          <w:color w:val="000000"/>
          <w:sz w:val="22"/>
          <w:szCs w:val="22"/>
        </w:rPr>
        <w:t xml:space="preserve">Sari, F. N., &amp; Trisnawati, R. (2024). </w:t>
      </w:r>
      <w:r>
        <w:rPr>
          <w:rFonts w:ascii="Times New Roman" w:hAnsi="Times New Roman" w:cs="Times New Roman"/>
          <w:i/>
          <w:iCs/>
          <w:color w:val="000000"/>
          <w:sz w:val="22"/>
          <w:szCs w:val="22"/>
        </w:rPr>
        <w:t xml:space="preserve">Pengaruh Perencanaan Pajak, Keputusan Investasi, Kebijakan Dividen, Cash Holding dan Struktur Modal Terhadap Nilai Perusahaan. YUME: Journal of management, </w:t>
      </w:r>
      <w:r>
        <w:rPr>
          <w:rFonts w:ascii="Times New Roman" w:hAnsi="Times New Roman" w:cs="Times New Roman"/>
          <w:color w:val="000000"/>
          <w:sz w:val="22"/>
          <w:szCs w:val="22"/>
        </w:rPr>
        <w:t>7(2), 190-204. https://journal.stieamkop.ac.id/index.php/yume/article/download/6613/4452</w:t>
      </w:r>
    </w:p>
    <w:p w14:paraId="1E8F1983">
      <w:pPr>
        <w:autoSpaceDE w:val="0"/>
        <w:autoSpaceDN w:val="0"/>
        <w:adjustRightInd w:val="0"/>
        <w:spacing w:after="200" w:line="240" w:lineRule="auto"/>
        <w:ind w:left="720" w:hanging="720"/>
        <w:jc w:val="both"/>
        <w:rPr>
          <w:rFonts w:ascii="Times New Roman" w:hAnsi="Times New Roman" w:eastAsia="SimSun" w:cs="Times New Roman"/>
          <w:color w:val="000000"/>
          <w:sz w:val="22"/>
          <w:szCs w:val="22"/>
          <w:lang w:eastAsia="id-ID"/>
        </w:rPr>
      </w:pPr>
      <w:r>
        <w:rPr>
          <w:rFonts w:ascii="Times New Roman" w:hAnsi="Times New Roman" w:eastAsia="SimSun" w:cs="Times New Roman"/>
          <w:color w:val="000000"/>
          <w:sz w:val="22"/>
          <w:szCs w:val="22"/>
          <w:lang w:eastAsia="id-ID"/>
        </w:rPr>
        <w:t xml:space="preserve">Suhendar, R. P. A., &amp; Paramita, S. (2024). </w:t>
      </w:r>
      <w:r>
        <w:rPr>
          <w:rFonts w:ascii="Times New Roman" w:hAnsi="Times New Roman" w:eastAsia="SimSun" w:cs="Times New Roman"/>
          <w:i/>
          <w:iCs/>
          <w:color w:val="000000"/>
          <w:sz w:val="22"/>
          <w:szCs w:val="22"/>
          <w:lang w:eastAsia="id-ID"/>
        </w:rPr>
        <w:t>Pengaruh Keputusan Investasi, Ukuran Perusahaan, Keputusan Perdanaan Dan Kebijakan Dividen Terhadap Nilai Perusahaan Pada Perusahaan Sub Sektor Perbankan Yang Terdaftar Di BEI Periode 2018-2019. Equilibrium: Jurnal Ilmiah Ekonomi, Manajemen Dan Akuntansi,</w:t>
      </w:r>
      <w:r>
        <w:rPr>
          <w:rFonts w:ascii="Times New Roman" w:hAnsi="Times New Roman" w:eastAsia="SimSun" w:cs="Times New Roman"/>
          <w:color w:val="000000"/>
          <w:sz w:val="22"/>
          <w:szCs w:val="22"/>
          <w:lang w:eastAsia="id-ID"/>
        </w:rPr>
        <w:t xml:space="preserve"> 13(1),99. https: // doi.org/10.35906/ equili. v13i1.1883</w:t>
      </w:r>
    </w:p>
    <w:p w14:paraId="5C91217B">
      <w:pPr>
        <w:autoSpaceDE w:val="0"/>
        <w:autoSpaceDN w:val="0"/>
        <w:adjustRightInd w:val="0"/>
        <w:spacing w:after="200" w:line="240" w:lineRule="auto"/>
        <w:ind w:left="720" w:hanging="7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Tandelilin, E. (2017). </w:t>
      </w:r>
      <w:r>
        <w:rPr>
          <w:rFonts w:ascii="Times New Roman" w:hAnsi="Times New Roman" w:eastAsia="Times New Roman" w:cs="Times New Roman"/>
          <w:i/>
          <w:iCs/>
          <w:sz w:val="22"/>
          <w:szCs w:val="22"/>
        </w:rPr>
        <w:t>Analisis Investasi dan Manajemen Portofolio.</w:t>
      </w:r>
      <w:r>
        <w:rPr>
          <w:rFonts w:ascii="Times New Roman" w:hAnsi="Times New Roman" w:eastAsia="Times New Roman" w:cs="Times New Roman"/>
          <w:sz w:val="22"/>
          <w:szCs w:val="22"/>
        </w:rPr>
        <w:t>Yogyakarta: BPFE.</w:t>
      </w:r>
    </w:p>
    <w:p w14:paraId="6084D4F5">
      <w:pPr>
        <w:spacing w:after="200" w:line="240" w:lineRule="auto"/>
        <w:ind w:left="720" w:hanging="720"/>
        <w:jc w:val="both"/>
        <w:rPr>
          <w:rFonts w:ascii="Times New Roman" w:hAnsi="Times New Roman" w:cs="Times New Roman"/>
          <w:sz w:val="22"/>
          <w:szCs w:val="22"/>
          <w:lang w:val="id-ID"/>
        </w:rPr>
      </w:pPr>
      <w:r>
        <w:rPr>
          <w:rFonts w:ascii="Times New Roman" w:hAnsi="Times New Roman" w:cs="Times New Roman"/>
          <w:sz w:val="22"/>
          <w:szCs w:val="22"/>
          <w:lang w:val="id-ID"/>
        </w:rPr>
        <w:t>Pu</w:t>
      </w:r>
      <w:r>
        <w:rPr>
          <w:rFonts w:ascii="Times New Roman" w:hAnsi="Times New Roman" w:cs="Times New Roman"/>
          <w:sz w:val="22"/>
          <w:szCs w:val="22"/>
        </w:rPr>
        <w:t xml:space="preserve">tri, Anisa Kartika, &amp; Ambarita, Dinar. (2025). </w:t>
      </w:r>
      <w:r>
        <w:rPr>
          <w:rStyle w:val="6"/>
          <w:rFonts w:ascii="Times New Roman" w:hAnsi="Times New Roman" w:cs="Times New Roman"/>
          <w:sz w:val="22"/>
          <w:szCs w:val="22"/>
        </w:rPr>
        <w:t>Pengaruh Perencanaan Pajak, Kebijakan Utang dan Struktur Modal Terhadap Nilai Perusahaan</w:t>
      </w:r>
      <w:r>
        <w:rPr>
          <w:rFonts w:ascii="Times New Roman" w:hAnsi="Times New Roman" w:cs="Times New Roman"/>
          <w:i/>
          <w:iCs/>
          <w:sz w:val="22"/>
          <w:szCs w:val="22"/>
        </w:rPr>
        <w:t>.Jurnal Akuntansi Keuangan dan Perpajakan,</w:t>
      </w:r>
      <w:r>
        <w:rPr>
          <w:rFonts w:ascii="Times New Roman" w:hAnsi="Times New Roman" w:cs="Times New Roman"/>
          <w:sz w:val="22"/>
          <w:szCs w:val="22"/>
        </w:rPr>
        <w:t xml:space="preserve"> 1(3), 377–387</w:t>
      </w:r>
      <w:r>
        <w:rPr>
          <w:rFonts w:ascii="Times New Roman" w:hAnsi="Times New Roman" w:cs="Times New Roman"/>
          <w:sz w:val="22"/>
          <w:szCs w:val="22"/>
          <w:lang w:val="id-ID"/>
        </w:rPr>
        <w:t xml:space="preserve">. </w:t>
      </w:r>
    </w:p>
    <w:p w14:paraId="0061B684">
      <w:pPr>
        <w:pStyle w:val="12"/>
        <w:spacing w:after="200" w:line="240" w:lineRule="auto"/>
        <w:ind w:left="720" w:hanging="720"/>
        <w:jc w:val="both"/>
        <w:textAlignment w:val="baseline"/>
        <w:rPr>
          <w:rFonts w:ascii="Times New Roman" w:hAnsi="Times New Roman" w:eastAsia="Times New Roman" w:cs="Times New Roman"/>
          <w:sz w:val="22"/>
          <w:szCs w:val="22"/>
        </w:rPr>
      </w:pPr>
      <w:r>
        <w:rPr>
          <w:rFonts w:ascii="Times New Roman" w:hAnsi="Times New Roman" w:cs="Times New Roman"/>
          <w:sz w:val="22"/>
          <w:szCs w:val="22"/>
        </w:rPr>
        <w:t xml:space="preserve">Pristina, F. A., &amp; Khairunnisa.(2019). </w:t>
      </w:r>
      <w:r>
        <w:rPr>
          <w:rFonts w:ascii="Times New Roman" w:hAnsi="Times New Roman" w:cs="Times New Roman"/>
          <w:i/>
          <w:iCs/>
          <w:sz w:val="22"/>
          <w:szCs w:val="22"/>
        </w:rPr>
        <w:t>Analisis Pengaruh Kebijakan Dividen, Keputusan Investasi dan Keputusan Pendanaan terhadap Nilai Perusahaan. Jurnal Aset (Akuntansi Riset)</w:t>
      </w:r>
      <w:r>
        <w:rPr>
          <w:rFonts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ascii="Times New Roman" w:hAnsi="Times New Roman" w:cs="Times New Roman"/>
          <w:sz w:val="22"/>
          <w:szCs w:val="22"/>
        </w:rPr>
        <w:t xml:space="preserve">11(1), </w:t>
      </w:r>
      <w:r>
        <w:rPr>
          <w:sz w:val="22"/>
          <w:szCs w:val="22"/>
        </w:rPr>
        <w:fldChar w:fldCharType="begin"/>
      </w:r>
      <w:r>
        <w:rPr>
          <w:sz w:val="22"/>
          <w:szCs w:val="22"/>
        </w:rPr>
        <w:instrText xml:space="preserve"> HYPERLINK "https://doi.org/10.1756" </w:instrText>
      </w:r>
      <w:r>
        <w:rPr>
          <w:sz w:val="22"/>
          <w:szCs w:val="22"/>
        </w:rPr>
        <w:fldChar w:fldCharType="separate"/>
      </w:r>
      <w:r>
        <w:rPr>
          <w:rStyle w:val="11"/>
          <w:rFonts w:ascii="Times New Roman" w:hAnsi="Times New Roman" w:eastAsia="Segoe UI" w:cs="Times New Roman"/>
          <w:color w:val="auto"/>
          <w:sz w:val="22"/>
          <w:szCs w:val="22"/>
          <w:u w:val="none"/>
          <w:shd w:val="clear" w:color="auto" w:fill="FFFFFF"/>
        </w:rPr>
        <w:t>https://doi.org/10.17509</w:t>
      </w:r>
      <w:r>
        <w:rPr>
          <w:rStyle w:val="11"/>
          <w:rFonts w:hint="default" w:ascii="Times New Roman" w:hAnsi="Times New Roman" w:eastAsia="Segoe UI" w:cs="Times New Roman"/>
          <w:color w:val="auto"/>
          <w:sz w:val="22"/>
          <w:szCs w:val="22"/>
          <w:u w:val="none"/>
          <w:shd w:val="clear" w:color="auto" w:fill="FFFFFF"/>
          <w:lang w:val="en-US"/>
        </w:rPr>
        <w:t>/jase.V11i1.88.16620.</w:t>
      </w:r>
      <w:r>
        <w:rPr>
          <w:rStyle w:val="11"/>
          <w:rFonts w:ascii="Times New Roman" w:hAnsi="Times New Roman" w:eastAsia="Segoe UI" w:cs="Times New Roman"/>
          <w:color w:val="auto"/>
          <w:sz w:val="22"/>
          <w:szCs w:val="22"/>
          <w:u w:val="none"/>
          <w:shd w:val="clear" w:color="auto" w:fill="FFFFFF"/>
        </w:rPr>
        <w:t xml:space="preserve"> </w:t>
      </w:r>
      <w:r>
        <w:rPr>
          <w:rStyle w:val="11"/>
          <w:rFonts w:ascii="Times New Roman" w:hAnsi="Times New Roman" w:eastAsia="Segoe UI" w:cs="Times New Roman"/>
          <w:color w:val="auto"/>
          <w:sz w:val="22"/>
          <w:szCs w:val="22"/>
          <w:u w:val="none"/>
          <w:shd w:val="clear" w:color="auto" w:fill="FFFFFF"/>
        </w:rPr>
        <w:fldChar w:fldCharType="end"/>
      </w:r>
    </w:p>
    <w:p w14:paraId="36A4010B">
      <w:pPr>
        <w:pStyle w:val="12"/>
        <w:spacing w:after="200" w:line="240" w:lineRule="auto"/>
        <w:ind w:left="720" w:hanging="720"/>
        <w:jc w:val="both"/>
        <w:textAlignment w:val="baseline"/>
        <w:rPr>
          <w:rFonts w:ascii="Times New Roman" w:hAnsi="Times New Roman" w:eastAsia="Times New Roman" w:cs="Times New Roman"/>
          <w:sz w:val="22"/>
          <w:szCs w:val="22"/>
        </w:rPr>
      </w:pPr>
      <w:r>
        <w:rPr>
          <w:rFonts w:ascii="Times New Roman" w:hAnsi="Times New Roman" w:eastAsia="Segoe UI" w:cs="Times New Roman"/>
          <w:sz w:val="22"/>
          <w:szCs w:val="22"/>
          <w:shd w:val="clear" w:color="auto" w:fill="FFFFFF"/>
        </w:rPr>
        <w:t xml:space="preserve">Phangestu, B. M., &amp; Chrisnanti, F. (2022). </w:t>
      </w:r>
      <w:r>
        <w:rPr>
          <w:rFonts w:ascii="Times New Roman" w:hAnsi="Times New Roman" w:eastAsia="Segoe UI" w:cs="Times New Roman"/>
          <w:i/>
          <w:iCs/>
          <w:sz w:val="22"/>
          <w:szCs w:val="22"/>
          <w:shd w:val="clear" w:color="auto" w:fill="FFFFFF"/>
        </w:rPr>
        <w:t>Pengaruh Filantropi, Cash Holding dan Faktor Lainnya terhadap Nilai Perusahaan. E-Jurnal Akuntansi Tsm,</w:t>
      </w:r>
      <w:r>
        <w:rPr>
          <w:rFonts w:ascii="Times New Roman" w:hAnsi="Times New Roman" w:eastAsia="Segoe UI" w:cs="Times New Roman"/>
          <w:sz w:val="22"/>
          <w:szCs w:val="22"/>
          <w:shd w:val="clear" w:color="auto" w:fill="FFFFFF"/>
        </w:rPr>
        <w:t xml:space="preserve"> 2(2), 745–756. </w:t>
      </w:r>
    </w:p>
    <w:p w14:paraId="3F2492A2">
      <w:pPr>
        <w:pStyle w:val="12"/>
        <w:spacing w:after="200" w:line="240" w:lineRule="auto"/>
        <w:ind w:left="720" w:hanging="720"/>
        <w:jc w:val="both"/>
        <w:textAlignment w:val="baseline"/>
        <w:rPr>
          <w:rFonts w:ascii="Times New Roman" w:hAnsi="Times New Roman" w:eastAsia="Segoe UI" w:cs="Times New Roman"/>
          <w:shd w:val="clear" w:color="auto" w:fill="FFFFFF"/>
        </w:rPr>
      </w:pPr>
      <w:r>
        <w:rPr>
          <w:rFonts w:ascii="Times New Roman" w:hAnsi="Times New Roman" w:eastAsia="Segoe UI" w:cs="Times New Roman"/>
          <w:sz w:val="22"/>
          <w:szCs w:val="22"/>
          <w:shd w:val="clear" w:color="auto" w:fill="FFFFFF"/>
        </w:rPr>
        <w:t xml:space="preserve">Zain, Mohammad. (2017). </w:t>
      </w:r>
      <w:r>
        <w:rPr>
          <w:rFonts w:ascii="Times New Roman" w:hAnsi="Times New Roman" w:eastAsia="Segoe UI" w:cs="Times New Roman"/>
          <w:i/>
          <w:iCs/>
          <w:sz w:val="22"/>
          <w:szCs w:val="22"/>
          <w:shd w:val="clear" w:color="auto" w:fill="FFFFFF"/>
        </w:rPr>
        <w:t>Manajemen Perpajakan</w:t>
      </w:r>
      <w:r>
        <w:rPr>
          <w:rFonts w:ascii="Times New Roman" w:hAnsi="Times New Roman" w:eastAsia="Segoe UI" w:cs="Times New Roman"/>
          <w:sz w:val="22"/>
          <w:szCs w:val="22"/>
          <w:shd w:val="clear" w:color="auto" w:fill="FFFFFF"/>
        </w:rPr>
        <w:t>. Edisi Pertama. Jakarta: Penerbit Salemba Emp</w:t>
      </w:r>
      <w:r>
        <w:rPr>
          <w:rFonts w:ascii="Times New Roman" w:hAnsi="Times New Roman" w:eastAsia="Segoe UI" w:cs="Times New Roman"/>
          <w:shd w:val="clear" w:color="auto" w:fill="FFFFFF"/>
        </w:rPr>
        <w:t>at.</w:t>
      </w:r>
    </w:p>
    <w:p w14:paraId="02DEBD81">
      <w:pPr>
        <w:pStyle w:val="21"/>
        <w:spacing w:before="0" w:after="0"/>
        <w:jc w:val="both"/>
        <w:rPr>
          <w:b w:val="0"/>
          <w:sz w:val="22"/>
          <w:szCs w:val="22"/>
          <w:lang w:val="en-US"/>
        </w:rPr>
      </w:pPr>
    </w:p>
    <w:p w14:paraId="534721CA">
      <w:pPr>
        <w:pStyle w:val="21"/>
        <w:spacing w:before="0" w:after="0"/>
        <w:jc w:val="both"/>
        <w:rPr>
          <w:b w:val="0"/>
          <w:sz w:val="22"/>
          <w:szCs w:val="22"/>
          <w:lang w:val="en-US"/>
        </w:rPr>
      </w:pPr>
    </w:p>
    <w:p w14:paraId="7F430193">
      <w:pPr>
        <w:pStyle w:val="21"/>
        <w:spacing w:before="0" w:after="0"/>
        <w:jc w:val="both"/>
        <w:rPr>
          <w:b w:val="0"/>
          <w:sz w:val="22"/>
          <w:szCs w:val="22"/>
          <w:lang w:val="en-US"/>
        </w:rPr>
      </w:pPr>
    </w:p>
    <w:p w14:paraId="574A56E5">
      <w:pPr>
        <w:pStyle w:val="21"/>
        <w:spacing w:before="0" w:after="0"/>
        <w:jc w:val="both"/>
        <w:rPr>
          <w:b w:val="0"/>
          <w:sz w:val="22"/>
          <w:szCs w:val="22"/>
          <w:lang w:val="en-US"/>
        </w:rPr>
      </w:pPr>
    </w:p>
    <w:p w14:paraId="3E0D9C12">
      <w:pPr>
        <w:pStyle w:val="21"/>
        <w:spacing w:before="0" w:after="0"/>
        <w:jc w:val="both"/>
        <w:rPr>
          <w:b w:val="0"/>
          <w:sz w:val="22"/>
          <w:szCs w:val="22"/>
          <w:lang w:val="en-US"/>
        </w:rPr>
      </w:pPr>
    </w:p>
    <w:p w14:paraId="6B017DC4">
      <w:pPr>
        <w:pStyle w:val="21"/>
        <w:spacing w:before="0" w:after="0"/>
        <w:jc w:val="both"/>
        <w:rPr>
          <w:b w:val="0"/>
          <w:sz w:val="22"/>
          <w:szCs w:val="22"/>
          <w:lang w:val="en-US"/>
        </w:rPr>
      </w:pPr>
    </w:p>
    <w:p w14:paraId="1F5D9C77">
      <w:pPr>
        <w:pStyle w:val="21"/>
        <w:spacing w:before="0" w:after="0"/>
        <w:jc w:val="both"/>
        <w:rPr>
          <w:b w:val="0"/>
          <w:sz w:val="22"/>
          <w:szCs w:val="22"/>
          <w:lang w:val="en-US"/>
        </w:rPr>
      </w:pPr>
    </w:p>
    <w:p w14:paraId="0E830F6C">
      <w:pPr>
        <w:pStyle w:val="21"/>
        <w:spacing w:before="0" w:after="0"/>
        <w:jc w:val="both"/>
        <w:rPr>
          <w:b w:val="0"/>
          <w:sz w:val="22"/>
          <w:szCs w:val="22"/>
          <w:lang w:val="en-US"/>
        </w:rPr>
      </w:pPr>
    </w:p>
    <w:p w14:paraId="4C783C96">
      <w:pPr>
        <w:pStyle w:val="21"/>
        <w:spacing w:before="0" w:after="0"/>
        <w:jc w:val="both"/>
        <w:rPr>
          <w:b w:val="0"/>
          <w:sz w:val="22"/>
          <w:szCs w:val="22"/>
          <w:lang w:val="en-US"/>
        </w:rPr>
      </w:pPr>
    </w:p>
    <w:p w14:paraId="0C3C51D9">
      <w:pPr>
        <w:pStyle w:val="21"/>
        <w:spacing w:before="0" w:after="0"/>
        <w:jc w:val="both"/>
        <w:rPr>
          <w:b w:val="0"/>
          <w:sz w:val="22"/>
          <w:szCs w:val="22"/>
          <w:lang w:val="en-US"/>
        </w:rPr>
      </w:pPr>
    </w:p>
    <w:p w14:paraId="3374F4F0">
      <w:pPr>
        <w:pStyle w:val="21"/>
        <w:spacing w:before="0" w:after="0"/>
        <w:jc w:val="both"/>
        <w:rPr>
          <w:b w:val="0"/>
          <w:sz w:val="22"/>
          <w:szCs w:val="22"/>
          <w:lang w:val="en-US"/>
        </w:rPr>
      </w:pPr>
    </w:p>
    <w:p w14:paraId="78BAA6A8">
      <w:pPr>
        <w:pStyle w:val="21"/>
        <w:spacing w:before="0" w:after="0"/>
        <w:jc w:val="both"/>
        <w:rPr>
          <w:b w:val="0"/>
          <w:sz w:val="22"/>
          <w:szCs w:val="22"/>
          <w:lang w:val="en-US"/>
        </w:rPr>
      </w:pPr>
    </w:p>
    <w:p w14:paraId="3C5AEC90">
      <w:pPr>
        <w:pStyle w:val="21"/>
        <w:spacing w:before="0" w:after="0"/>
        <w:jc w:val="both"/>
        <w:rPr>
          <w:b w:val="0"/>
          <w:sz w:val="22"/>
          <w:szCs w:val="22"/>
          <w:lang w:val="en-US"/>
        </w:rPr>
      </w:pPr>
    </w:p>
    <w:p w14:paraId="64F8D6FF">
      <w:pPr>
        <w:pStyle w:val="21"/>
        <w:spacing w:before="0" w:after="0"/>
        <w:jc w:val="both"/>
        <w:rPr>
          <w:b w:val="0"/>
          <w:sz w:val="22"/>
          <w:szCs w:val="22"/>
          <w:lang w:val="en-US"/>
        </w:rPr>
      </w:pPr>
    </w:p>
    <w:p w14:paraId="6314825D">
      <w:pPr>
        <w:pStyle w:val="21"/>
        <w:spacing w:before="0" w:after="0"/>
        <w:jc w:val="both"/>
        <w:rPr>
          <w:b w:val="0"/>
          <w:sz w:val="22"/>
          <w:szCs w:val="22"/>
          <w:lang w:val="en-US"/>
        </w:rPr>
      </w:pPr>
    </w:p>
    <w:p w14:paraId="28887277">
      <w:pPr>
        <w:pStyle w:val="21"/>
        <w:spacing w:before="0" w:after="0"/>
        <w:jc w:val="both"/>
        <w:rPr>
          <w:b w:val="0"/>
          <w:sz w:val="22"/>
          <w:szCs w:val="22"/>
          <w:lang w:val="en-US"/>
        </w:rPr>
      </w:pPr>
    </w:p>
    <w:p w14:paraId="1C36138D">
      <w:pPr>
        <w:pStyle w:val="21"/>
        <w:spacing w:before="0" w:after="0"/>
        <w:jc w:val="both"/>
        <w:rPr>
          <w:b w:val="0"/>
          <w:sz w:val="22"/>
          <w:szCs w:val="22"/>
          <w:lang w:val="en-US"/>
        </w:rPr>
      </w:pPr>
    </w:p>
    <w:p w14:paraId="1394C919">
      <w:pPr>
        <w:pStyle w:val="21"/>
        <w:spacing w:before="0" w:after="0"/>
        <w:jc w:val="both"/>
        <w:rPr>
          <w:b w:val="0"/>
          <w:sz w:val="22"/>
          <w:szCs w:val="22"/>
          <w:lang w:val="en-US"/>
        </w:rPr>
      </w:pPr>
    </w:p>
    <w:p w14:paraId="45957B27">
      <w:pPr>
        <w:pStyle w:val="21"/>
        <w:spacing w:before="0" w:after="0"/>
        <w:jc w:val="both"/>
        <w:rPr>
          <w:b w:val="0"/>
          <w:sz w:val="22"/>
          <w:szCs w:val="22"/>
          <w:lang w:val="en-US"/>
        </w:rPr>
      </w:pPr>
    </w:p>
    <w:p w14:paraId="5961B8F6">
      <w:pPr>
        <w:pStyle w:val="21"/>
        <w:spacing w:before="0" w:after="0"/>
        <w:jc w:val="both"/>
        <w:rPr>
          <w:b w:val="0"/>
          <w:sz w:val="22"/>
          <w:szCs w:val="22"/>
          <w:lang w:val="en-US"/>
        </w:rPr>
      </w:pPr>
    </w:p>
    <w:p w14:paraId="41C63666">
      <w:pPr>
        <w:pStyle w:val="21"/>
        <w:spacing w:before="0" w:after="0"/>
        <w:jc w:val="both"/>
        <w:rPr>
          <w:b w:val="0"/>
          <w:sz w:val="22"/>
          <w:szCs w:val="22"/>
          <w:lang w:val="en-US"/>
        </w:rPr>
      </w:pPr>
    </w:p>
    <w:p w14:paraId="53A3513D">
      <w:pPr>
        <w:pStyle w:val="21"/>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46BDDFED">
      <w:pPr>
        <w:pStyle w:val="21"/>
        <w:spacing w:before="0" w:after="0"/>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Open Sans">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6412C">
    <w:pPr>
      <w:pStyle w:val="7"/>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27B82">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58727B82">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14:paraId="37C6F176">
    <w:pPr>
      <w:pStyle w:val="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7AC96">
    <w:pPr>
      <w:pStyle w:val="9"/>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(Jurnal Ratri), Vol. xy, No. xz, hal. XX – XX, Juni dan Desember,</w:t>
    </w:r>
  </w:p>
  <w:p w14:paraId="5DB57355">
    <w:pPr>
      <w:pStyle w:val="9"/>
      <w:tabs>
        <w:tab w:val="clear" w:pos="4680"/>
        <w:tab w:val="clear" w:pos="9360"/>
      </w:tabs>
      <w:rPr>
        <w:rFonts w:ascii="Times New Roman" w:hAnsi="Times New Roman"/>
        <w:b/>
        <w:sz w:val="20"/>
        <w:szCs w:val="20"/>
      </w:rPr>
    </w:pPr>
    <w:r>
      <w:rPr>
        <w:rFonts w:ascii="Times New Roman" w:hAnsi="Times New Roman"/>
        <w:b/>
        <w:sz w:val="18"/>
        <w:szCs w:val="18"/>
      </w:rPr>
      <w:t>p-ISSN 2715-0208; e-ISSN 2827-9328</w:t>
    </w:r>
  </w:p>
  <w:p w14:paraId="4ABEBD6E">
    <w:pPr>
      <w:pStyle w:val="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56106C56">
    <w:pPr>
      <w:pStyle w:val="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7"/>
    <w:multiLevelType w:val="singleLevel"/>
    <w:tmpl w:val="00000007"/>
    <w:lvl w:ilvl="0" w:tentative="0">
      <w:start w:val="1"/>
      <w:numFmt w:val="decimal"/>
      <w:lvlText w:val="%1."/>
      <w:lvlJc w:val="left"/>
      <w:pPr>
        <w:tabs>
          <w:tab w:val="left" w:pos="425"/>
        </w:tabs>
        <w:ind w:left="425" w:hanging="425"/>
      </w:pPr>
      <w:rPr>
        <w:rFonts w:hint="default"/>
        <w:i w:val="0"/>
        <w:iCs w:val="0"/>
      </w:rPr>
    </w:lvl>
  </w:abstractNum>
  <w:abstractNum w:abstractNumId="1">
    <w:nsid w:val="0000001C"/>
    <w:multiLevelType w:val="singleLevel"/>
    <w:tmpl w:val="0000001C"/>
    <w:lvl w:ilvl="0" w:tentative="0">
      <w:start w:val="1"/>
      <w:numFmt w:val="decimal"/>
      <w:lvlText w:val="%1."/>
      <w:lvlJc w:val="left"/>
      <w:pPr>
        <w:tabs>
          <w:tab w:val="left" w:pos="425"/>
        </w:tabs>
        <w:ind w:left="425" w:hanging="425"/>
      </w:pPr>
      <w:rPr>
        <w:rFonts w:hint="default"/>
        <w:i w:val="0"/>
        <w:iCs w:val="0"/>
      </w:rPr>
    </w:lvl>
  </w:abstractNum>
  <w:abstractNum w:abstractNumId="2">
    <w:nsid w:val="1B8042E1"/>
    <w:multiLevelType w:val="singleLevel"/>
    <w:tmpl w:val="1B8042E1"/>
    <w:lvl w:ilvl="0" w:tentative="0">
      <w:start w:val="1"/>
      <w:numFmt w:val="decimal"/>
      <w:lvlText w:val="%1."/>
      <w:lvlJc w:val="left"/>
      <w:pPr>
        <w:ind w:left="720" w:hanging="360"/>
      </w:pPr>
      <w:rPr>
        <w:rFonts w:hint="default"/>
        <w:b/>
      </w:rPr>
    </w:lvl>
  </w:abstractNum>
  <w:abstractNum w:abstractNumId="3">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D00C5"/>
    <w:rsid w:val="0093711E"/>
    <w:rsid w:val="009F0E60"/>
    <w:rsid w:val="00A227F4"/>
    <w:rsid w:val="00A933FB"/>
    <w:rsid w:val="00AF538F"/>
    <w:rsid w:val="00BC58A3"/>
    <w:rsid w:val="00BE61F2"/>
    <w:rsid w:val="00C32B1A"/>
    <w:rsid w:val="00C71CCC"/>
    <w:rsid w:val="00C9155F"/>
    <w:rsid w:val="00C962BE"/>
    <w:rsid w:val="00CA3828"/>
    <w:rsid w:val="00D21E7E"/>
    <w:rsid w:val="00DB71F1"/>
    <w:rsid w:val="00E4159C"/>
    <w:rsid w:val="00E54461"/>
    <w:rsid w:val="00E56AEB"/>
    <w:rsid w:val="00E71D81"/>
    <w:rsid w:val="00E73AC2"/>
    <w:rsid w:val="00ED69EC"/>
    <w:rsid w:val="00F25418"/>
    <w:rsid w:val="00F93D4E"/>
    <w:rsid w:val="00FC0411"/>
    <w:rsid w:val="00FF3B1A"/>
    <w:rsid w:val="05125B2E"/>
    <w:rsid w:val="13AA044B"/>
    <w:rsid w:val="13CB5542"/>
    <w:rsid w:val="1D7B63D5"/>
    <w:rsid w:val="232040CE"/>
    <w:rsid w:val="2D01420E"/>
    <w:rsid w:val="32A4739E"/>
    <w:rsid w:val="3D4042EE"/>
    <w:rsid w:val="42D73CDF"/>
    <w:rsid w:val="457A1A0B"/>
    <w:rsid w:val="45B25E8F"/>
    <w:rsid w:val="4B3E1B3B"/>
    <w:rsid w:val="50F41441"/>
    <w:rsid w:val="5438706F"/>
    <w:rsid w:val="5A5D394D"/>
    <w:rsid w:val="5E092723"/>
    <w:rsid w:val="629D316B"/>
    <w:rsid w:val="63423D0A"/>
    <w:rsid w:val="6C7D129C"/>
    <w:rsid w:val="6DE7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semiHidden/>
    <w:unhideWhenUsed/>
    <w:qFormat/>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character" w:styleId="6">
    <w:name w:val="Emphasis"/>
    <w:basedOn w:val="2"/>
    <w:qFormat/>
    <w:uiPriority w:val="20"/>
    <w:rPr>
      <w:i/>
      <w:iCs/>
    </w:rPr>
  </w:style>
  <w:style w:type="paragraph" w:styleId="7">
    <w:name w:val="footer"/>
    <w:basedOn w:val="1"/>
    <w:link w:val="16"/>
    <w:unhideWhenUsed/>
    <w:qFormat/>
    <w:uiPriority w:val="99"/>
    <w:pPr>
      <w:tabs>
        <w:tab w:val="center" w:pos="4680"/>
        <w:tab w:val="right" w:pos="9360"/>
      </w:tabs>
      <w:spacing w:after="0" w:line="240" w:lineRule="auto"/>
    </w:pPr>
  </w:style>
  <w:style w:type="character" w:styleId="8">
    <w:name w:val="footnote reference"/>
    <w:semiHidden/>
    <w:unhideWhenUsed/>
    <w:qFormat/>
    <w:uiPriority w:val="99"/>
    <w:rPr>
      <w:vertAlign w:val="superscript"/>
    </w:rPr>
  </w:style>
  <w:style w:type="paragraph" w:styleId="9">
    <w:name w:val="header"/>
    <w:basedOn w:val="1"/>
    <w:link w:val="15"/>
    <w:unhideWhenUsed/>
    <w:qFormat/>
    <w:uiPriority w:val="99"/>
    <w:pPr>
      <w:tabs>
        <w:tab w:val="center" w:pos="4680"/>
        <w:tab w:val="right" w:pos="9360"/>
      </w:tabs>
      <w:spacing w:after="0" w:line="240" w:lineRule="auto"/>
    </w:p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2"/>
    <w:unhideWhenUsed/>
    <w:uiPriority w:val="99"/>
    <w:rPr>
      <w:color w:val="0000FF" w:themeColor="hyperlink"/>
      <w:u w:val="single"/>
      <w14:textFill>
        <w14:solidFill>
          <w14:schemeClr w14:val="hlink"/>
        </w14:solidFill>
      </w14:textFill>
    </w:rPr>
  </w:style>
  <w:style w:type="paragraph" w:styleId="12">
    <w:name w:val="Normal (Web)"/>
    <w:basedOn w:val="1"/>
    <w:qFormat/>
    <w:uiPriority w:val="0"/>
    <w:rPr>
      <w:sz w:val="24"/>
      <w:szCs w:val="24"/>
    </w:rPr>
  </w:style>
  <w:style w:type="table" w:styleId="13">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4">
    <w:name w:val="Light Shading Accent 4"/>
    <w:basedOn w:val="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5">
    <w:name w:val="Header Char"/>
    <w:basedOn w:val="2"/>
    <w:link w:val="9"/>
    <w:uiPriority w:val="99"/>
  </w:style>
  <w:style w:type="character" w:customStyle="1" w:styleId="16">
    <w:name w:val="Footer Char"/>
    <w:basedOn w:val="2"/>
    <w:link w:val="7"/>
    <w:qFormat/>
    <w:uiPriority w:val="99"/>
  </w:style>
  <w:style w:type="character" w:customStyle="1" w:styleId="17">
    <w:name w:val="Balloon Text Char"/>
    <w:basedOn w:val="2"/>
    <w:link w:val="4"/>
    <w:semiHidden/>
    <w:qFormat/>
    <w:uiPriority w:val="99"/>
    <w:rPr>
      <w:rFonts w:ascii="Tahoma" w:hAnsi="Tahoma" w:cs="Tahoma"/>
      <w:sz w:val="16"/>
      <w:szCs w:val="16"/>
    </w:rPr>
  </w:style>
  <w:style w:type="paragraph" w:styleId="18">
    <w:name w:val="List Paragraph"/>
    <w:basedOn w:val="1"/>
    <w:link w:val="19"/>
    <w:qFormat/>
    <w:uiPriority w:val="34"/>
    <w:pPr>
      <w:ind w:left="720"/>
      <w:contextualSpacing/>
    </w:pPr>
  </w:style>
  <w:style w:type="character" w:customStyle="1" w:styleId="19">
    <w:name w:val="List Paragraph Char"/>
    <w:link w:val="18"/>
    <w:locked/>
    <w:uiPriority w:val="34"/>
  </w:style>
  <w:style w:type="paragraph" w:customStyle="1" w:styleId="20">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1">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2">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3">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4">
    <w:name w:val="icsm_references"/>
    <w:basedOn w:val="1"/>
    <w:uiPriority w:val="0"/>
    <w:pPr>
      <w:spacing w:after="0" w:line="240" w:lineRule="auto"/>
      <w:ind w:left="240" w:hanging="240"/>
    </w:pPr>
    <w:rPr>
      <w:rFonts w:ascii="Times New Roman" w:hAnsi="Times New Roman" w:eastAsia="Times New Roman" w:cs="Times New Roman"/>
      <w:sz w:val="16"/>
      <w:szCs w:val="20"/>
      <w:lang w:val="en-G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207FED-DEAF-4ADF-B591-A3C3B591A647}">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11</Pages>
  <Words>1314</Words>
  <Characters>7492</Characters>
  <Lines>62</Lines>
  <Paragraphs>17</Paragraphs>
  <TotalTime>195</TotalTime>
  <ScaleCrop>false</ScaleCrop>
  <LinksUpToDate>false</LinksUpToDate>
  <CharactersWithSpaces>8789</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2022-06-18T14:06:00Z</dcterms:created>
  <dc:creator>ismail - [2010]</dc:creator>
  <cp:lastModifiedBy>Ika Haryanti</cp:lastModifiedBy>
  <dcterms:modified xsi:type="dcterms:W3CDTF">2025-08-28T11:14:41Z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73F029984AF941FC9961C2EE4978E9BE_13</vt:lpwstr>
  </property>
</Properties>
</file>