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0E0" w:rsidRPr="00B67DBE" w:rsidRDefault="00AF00E0" w:rsidP="00BF43BB">
      <w:pPr>
        <w:pStyle w:val="BodyText3"/>
        <w:tabs>
          <w:tab w:val="left" w:pos="5954"/>
        </w:tabs>
        <w:spacing w:after="0"/>
        <w:ind w:right="-142" w:hanging="142"/>
        <w:jc w:val="center"/>
        <w:rPr>
          <w:rFonts w:ascii="Calibri" w:hAnsi="Calibri" w:cs="Calibri"/>
          <w:b/>
          <w:color w:val="FF0000"/>
          <w:sz w:val="22"/>
          <w:szCs w:val="22"/>
          <w:lang w:val="en-US"/>
        </w:rPr>
      </w:pPr>
    </w:p>
    <w:p w:rsidR="00B67DBE" w:rsidRPr="00B67DBE" w:rsidRDefault="00B67DBE" w:rsidP="00B67DBE">
      <w:pPr>
        <w:jc w:val="center"/>
        <w:rPr>
          <w:b/>
        </w:rPr>
      </w:pPr>
      <w:r w:rsidRPr="00B67DBE">
        <w:rPr>
          <w:b/>
        </w:rPr>
        <w:t>PENGARUH INDEKS HARGA SAHA</w:t>
      </w:r>
      <w:r>
        <w:rPr>
          <w:b/>
        </w:rPr>
        <w:t xml:space="preserve">M GABUNGAN (IHSG), JANGKA WAKTU </w:t>
      </w:r>
      <w:r w:rsidRPr="00B67DBE">
        <w:rPr>
          <w:b/>
        </w:rPr>
        <w:t>PENAWARAN (</w:t>
      </w:r>
      <w:r w:rsidRPr="00B67DBE">
        <w:rPr>
          <w:b/>
          <w:i/>
        </w:rPr>
        <w:t xml:space="preserve">OFFER </w:t>
      </w:r>
      <w:r w:rsidRPr="00B67DBE">
        <w:rPr>
          <w:b/>
        </w:rPr>
        <w:t>TIMING), HARGA PENAWARAN SAHAM (</w:t>
      </w:r>
      <w:r w:rsidRPr="00B67DBE">
        <w:rPr>
          <w:b/>
          <w:i/>
        </w:rPr>
        <w:t xml:space="preserve">OFFERING </w:t>
      </w:r>
      <w:r w:rsidRPr="00B67DBE">
        <w:rPr>
          <w:b/>
        </w:rPr>
        <w:t>PRICE), PERTUMBUHAN PENDAPATAN (</w:t>
      </w:r>
      <w:r w:rsidRPr="00B67DBE">
        <w:rPr>
          <w:b/>
          <w:i/>
        </w:rPr>
        <w:t>REVENUES</w:t>
      </w:r>
      <w:r w:rsidRPr="00B67DBE">
        <w:rPr>
          <w:b/>
        </w:rPr>
        <w:t xml:space="preserve"> </w:t>
      </w:r>
      <w:r w:rsidRPr="00B67DBE">
        <w:rPr>
          <w:b/>
          <w:i/>
        </w:rPr>
        <w:t xml:space="preserve">GROWTH) </w:t>
      </w:r>
      <w:r w:rsidRPr="00B67DBE">
        <w:rPr>
          <w:b/>
        </w:rPr>
        <w:t xml:space="preserve">TERHADAP </w:t>
      </w:r>
      <w:r w:rsidRPr="00B67DBE">
        <w:rPr>
          <w:b/>
          <w:i/>
        </w:rPr>
        <w:t xml:space="preserve">UNDERPRICING </w:t>
      </w:r>
      <w:r w:rsidRPr="00B67DBE">
        <w:rPr>
          <w:b/>
        </w:rPr>
        <w:t>PADA PERUSAHAAN YANG MELAKUKAN IPO DI INDONESIA</w:t>
      </w:r>
    </w:p>
    <w:p w:rsidR="00086409" w:rsidRPr="00B67DBE" w:rsidRDefault="00B67DBE" w:rsidP="00B67DBE">
      <w:pPr>
        <w:pStyle w:val="BodyText3"/>
        <w:tabs>
          <w:tab w:val="left" w:pos="5954"/>
        </w:tabs>
        <w:spacing w:after="0"/>
        <w:ind w:right="-142"/>
        <w:jc w:val="center"/>
        <w:rPr>
          <w:rFonts w:ascii="Calibri" w:hAnsi="Calibri" w:cs="Calibri"/>
          <w:b/>
          <w:color w:val="FF0000"/>
          <w:sz w:val="24"/>
          <w:szCs w:val="22"/>
          <w:lang w:val="en-US"/>
        </w:rPr>
      </w:pPr>
      <w:r w:rsidRPr="00B67DBE">
        <w:rPr>
          <w:b/>
          <w:i/>
          <w:sz w:val="24"/>
          <w:szCs w:val="24"/>
        </w:rPr>
        <w:t xml:space="preserve">STOCK EXCHANGE </w:t>
      </w:r>
      <w:r w:rsidRPr="00B67DBE">
        <w:rPr>
          <w:b/>
          <w:sz w:val="24"/>
          <w:szCs w:val="24"/>
        </w:rPr>
        <w:t>(IDX)</w:t>
      </w:r>
    </w:p>
    <w:p w:rsidR="00917DD7" w:rsidRPr="00B67DBE" w:rsidRDefault="00917DD7" w:rsidP="00F8535C">
      <w:pPr>
        <w:pBdr>
          <w:bottom w:val="single" w:sz="4" w:space="0" w:color="auto"/>
        </w:pBdr>
        <w:rPr>
          <w:rFonts w:ascii="Calibri" w:hAnsi="Calibri" w:cs="Calibri"/>
          <w:b/>
          <w:bCs/>
          <w:color w:val="FF0000"/>
          <w:sz w:val="10"/>
          <w:szCs w:val="22"/>
          <w:lang w:val="id-ID"/>
        </w:rPr>
      </w:pPr>
    </w:p>
    <w:p w:rsidR="00EC6E03" w:rsidRPr="00B67DBE" w:rsidRDefault="00EC6E03" w:rsidP="00FC43D9">
      <w:pPr>
        <w:jc w:val="center"/>
        <w:rPr>
          <w:rFonts w:ascii="Calibri" w:hAnsi="Calibri" w:cs="Calibri"/>
          <w:b/>
          <w:color w:val="FF0000"/>
          <w:sz w:val="18"/>
          <w:szCs w:val="18"/>
          <w:lang w:val="id-ID"/>
        </w:rPr>
      </w:pPr>
    </w:p>
    <w:p w:rsidR="003958BE" w:rsidRPr="00B67DBE" w:rsidRDefault="003958BE" w:rsidP="003958BE">
      <w:pPr>
        <w:tabs>
          <w:tab w:val="left" w:pos="900"/>
        </w:tabs>
        <w:jc w:val="center"/>
        <w:rPr>
          <w:rFonts w:ascii="Calibri" w:hAnsi="Calibri" w:cs="Calibri"/>
          <w:color w:val="FF0000"/>
        </w:rPr>
      </w:pPr>
      <w:r w:rsidRPr="00B67DBE">
        <w:rPr>
          <w:rFonts w:asciiTheme="minorHAnsi" w:hAnsiTheme="minorHAnsi" w:cstheme="minorHAnsi"/>
          <w:color w:val="FF0000"/>
          <w:vertAlign w:val="superscript"/>
          <w:lang w:val="id-ID"/>
        </w:rPr>
        <w:t>1</w:t>
      </w:r>
      <w:r w:rsidR="00BC0A08" w:rsidRPr="00B67DBE">
        <w:rPr>
          <w:rFonts w:asciiTheme="minorHAnsi" w:hAnsiTheme="minorHAnsi" w:cstheme="minorHAnsi"/>
          <w:color w:val="FF0000"/>
          <w:vertAlign w:val="superscript"/>
        </w:rPr>
        <w:t>*</w:t>
      </w:r>
      <w:r w:rsidRPr="00B67DBE">
        <w:rPr>
          <w:rFonts w:asciiTheme="minorHAnsi" w:hAnsiTheme="minorHAnsi" w:cstheme="minorHAnsi"/>
          <w:color w:val="FF0000"/>
          <w:vertAlign w:val="superscript"/>
        </w:rPr>
        <w:t>)</w:t>
      </w:r>
      <w:r w:rsidRPr="00B67DBE">
        <w:rPr>
          <w:rFonts w:asciiTheme="minorHAnsi" w:hAnsiTheme="minorHAnsi" w:cstheme="minorHAnsi"/>
          <w:color w:val="FF0000"/>
          <w:lang w:val="id-ID"/>
        </w:rPr>
        <w:t xml:space="preserve"> </w:t>
      </w:r>
      <w:r w:rsidR="008546E3">
        <w:rPr>
          <w:rFonts w:asciiTheme="minorHAnsi" w:hAnsiTheme="minorHAnsi" w:cstheme="minorHAnsi"/>
          <w:color w:val="FF0000"/>
        </w:rPr>
        <w:t>Shelly Farida Tobing</w:t>
      </w:r>
      <w:r w:rsidR="00BC0A08" w:rsidRPr="00B67DBE">
        <w:rPr>
          <w:rFonts w:asciiTheme="minorHAnsi" w:hAnsiTheme="minorHAnsi" w:cstheme="minorHAnsi"/>
          <w:color w:val="FF0000"/>
        </w:rPr>
        <w:t xml:space="preserve">, </w:t>
      </w:r>
      <w:r w:rsidR="00BC0A08" w:rsidRPr="00B67DBE">
        <w:rPr>
          <w:rFonts w:ascii="Calibri" w:hAnsi="Calibri" w:cs="Calibri"/>
          <w:color w:val="FF0000"/>
          <w:vertAlign w:val="superscript"/>
          <w:lang w:val="id-ID"/>
        </w:rPr>
        <w:t>2</w:t>
      </w:r>
      <w:r w:rsidR="00BC0A08" w:rsidRPr="00B67DBE">
        <w:rPr>
          <w:rFonts w:ascii="Calibri" w:hAnsi="Calibri" w:cs="Calibri"/>
          <w:color w:val="FF0000"/>
          <w:vertAlign w:val="superscript"/>
        </w:rPr>
        <w:t xml:space="preserve">) </w:t>
      </w:r>
      <w:r w:rsidR="008546E3">
        <w:rPr>
          <w:rFonts w:asciiTheme="minorHAnsi" w:hAnsiTheme="minorHAnsi" w:cstheme="minorHAnsi"/>
          <w:color w:val="FF0000"/>
        </w:rPr>
        <w:t>Sonang Pestaria Pangaribuan</w:t>
      </w:r>
      <w:r w:rsidR="00BC0A08" w:rsidRPr="00B67DBE">
        <w:rPr>
          <w:rFonts w:asciiTheme="minorHAnsi" w:hAnsiTheme="minorHAnsi" w:cstheme="minorHAnsi"/>
          <w:color w:val="FF0000"/>
        </w:rPr>
        <w:t xml:space="preserve">, </w:t>
      </w:r>
      <w:r w:rsidR="00BC0A08" w:rsidRPr="00B67DBE">
        <w:rPr>
          <w:rFonts w:ascii="Calibri" w:hAnsi="Calibri" w:cs="Calibri"/>
          <w:color w:val="FF0000"/>
          <w:vertAlign w:val="superscript"/>
        </w:rPr>
        <w:t xml:space="preserve">3) </w:t>
      </w:r>
      <w:r w:rsidR="008546E3">
        <w:rPr>
          <w:rFonts w:asciiTheme="minorHAnsi" w:hAnsiTheme="minorHAnsi" w:cstheme="minorHAnsi"/>
          <w:color w:val="FF0000"/>
        </w:rPr>
        <w:t>Muhammad Ridwan</w:t>
      </w:r>
    </w:p>
    <w:p w:rsidR="003958BE" w:rsidRPr="00B67DBE" w:rsidRDefault="00E45E16" w:rsidP="003958BE">
      <w:pPr>
        <w:tabs>
          <w:tab w:val="center" w:leader="dot" w:pos="8505"/>
        </w:tabs>
        <w:jc w:val="center"/>
        <w:rPr>
          <w:rFonts w:ascii="Calibri" w:hAnsi="Calibri" w:cs="Calibri"/>
          <w:color w:val="FF0000"/>
        </w:rPr>
      </w:pPr>
      <w:r w:rsidRPr="00B67DBE">
        <w:rPr>
          <w:rFonts w:ascii="Calibri" w:hAnsi="Calibri" w:cs="Calibri"/>
          <w:color w:val="FF0000"/>
        </w:rPr>
        <w:t xml:space="preserve">Fakultas Ekonomi dan Bisnis, </w:t>
      </w:r>
      <w:r w:rsidR="003958BE" w:rsidRPr="00B67DBE">
        <w:rPr>
          <w:rFonts w:ascii="Calibri" w:hAnsi="Calibri" w:cs="Calibri"/>
          <w:color w:val="FF0000"/>
        </w:rPr>
        <w:t xml:space="preserve">Universitas </w:t>
      </w:r>
      <w:r w:rsidR="008546E3">
        <w:rPr>
          <w:rFonts w:ascii="Calibri" w:hAnsi="Calibri" w:cs="Calibri"/>
          <w:color w:val="FF0000"/>
        </w:rPr>
        <w:t>Tridinanti</w:t>
      </w:r>
      <w:r w:rsidR="003958BE" w:rsidRPr="00B67DBE">
        <w:rPr>
          <w:rFonts w:ascii="Calibri" w:hAnsi="Calibri" w:cs="Calibri"/>
          <w:color w:val="FF0000"/>
        </w:rPr>
        <w:t>,</w:t>
      </w:r>
      <w:r w:rsidR="008546E3">
        <w:rPr>
          <w:rFonts w:ascii="Calibri" w:hAnsi="Calibri" w:cs="Calibri"/>
          <w:color w:val="FF0000"/>
        </w:rPr>
        <w:t xml:space="preserve"> Palembang, Sumatera Selatan</w:t>
      </w:r>
      <w:r w:rsidR="003958BE" w:rsidRPr="00B67DBE">
        <w:rPr>
          <w:rFonts w:ascii="Calibri" w:hAnsi="Calibri" w:cs="Calibri"/>
          <w:color w:val="FF0000"/>
        </w:rPr>
        <w:t xml:space="preserve"> </w:t>
      </w:r>
      <w:r w:rsidR="003958BE" w:rsidRPr="00B67DBE">
        <w:rPr>
          <w:rFonts w:ascii="Calibri" w:hAnsi="Calibri" w:cs="Calibri"/>
          <w:color w:val="FF0000"/>
          <w:vertAlign w:val="superscript"/>
          <w:lang w:val="id-ID"/>
        </w:rPr>
        <w:t>1)</w:t>
      </w:r>
      <w:r w:rsidR="003958BE" w:rsidRPr="00B67DBE">
        <w:rPr>
          <w:rFonts w:ascii="Calibri" w:hAnsi="Calibri" w:cs="Calibri"/>
          <w:color w:val="FF0000"/>
          <w:vertAlign w:val="superscript"/>
        </w:rPr>
        <w:t>2)3)</w:t>
      </w:r>
    </w:p>
    <w:p w:rsidR="003958BE" w:rsidRPr="00B67DBE" w:rsidRDefault="003958BE" w:rsidP="003958BE">
      <w:pPr>
        <w:pStyle w:val="BodyText"/>
        <w:tabs>
          <w:tab w:val="left" w:pos="3686"/>
        </w:tabs>
        <w:spacing w:after="0"/>
        <w:jc w:val="center"/>
        <w:rPr>
          <w:rFonts w:ascii="Calibri" w:hAnsi="Calibri" w:cs="Calibri"/>
          <w:color w:val="FF0000"/>
          <w:lang w:val="en-US"/>
        </w:rPr>
      </w:pPr>
    </w:p>
    <w:p w:rsidR="003958BE" w:rsidRPr="008546E3" w:rsidRDefault="003958BE" w:rsidP="00E45E16">
      <w:pPr>
        <w:pStyle w:val="BodyText"/>
        <w:tabs>
          <w:tab w:val="left" w:pos="3686"/>
        </w:tabs>
        <w:spacing w:after="0"/>
        <w:jc w:val="center"/>
        <w:rPr>
          <w:rFonts w:ascii="Calibri" w:hAnsi="Calibri" w:cs="Calibri"/>
          <w:color w:val="FF0000"/>
          <w:sz w:val="14"/>
          <w:szCs w:val="16"/>
          <w:lang w:val="en-US"/>
        </w:rPr>
      </w:pPr>
      <w:r w:rsidRPr="00B67DBE">
        <w:rPr>
          <w:rFonts w:ascii="Calibri" w:hAnsi="Calibri" w:cs="Calibri"/>
          <w:color w:val="FF0000"/>
          <w:lang w:val="id-ID"/>
        </w:rPr>
        <w:t>E-mail</w:t>
      </w:r>
      <w:r w:rsidRPr="00B67DBE">
        <w:rPr>
          <w:rFonts w:ascii="Calibri" w:hAnsi="Calibri" w:cs="Calibri"/>
          <w:color w:val="FF0000"/>
          <w:lang w:val="en-US"/>
        </w:rPr>
        <w:t xml:space="preserve"> </w:t>
      </w:r>
      <w:r w:rsidRPr="00B67DBE">
        <w:rPr>
          <w:rFonts w:ascii="Calibri" w:hAnsi="Calibri" w:cs="Calibri"/>
          <w:color w:val="FF0000"/>
          <w:lang w:val="id-ID"/>
        </w:rPr>
        <w:t>:</w:t>
      </w:r>
      <w:r w:rsidRPr="00B67DBE">
        <w:rPr>
          <w:rFonts w:ascii="Calibri" w:hAnsi="Calibri" w:cs="Calibri"/>
          <w:color w:val="FF0000"/>
          <w:lang w:val="en-US"/>
        </w:rPr>
        <w:t xml:space="preserve"> </w:t>
      </w:r>
      <w:r w:rsidR="00BC0A08" w:rsidRPr="00B67DBE">
        <w:rPr>
          <w:b/>
          <w:color w:val="FF0000"/>
          <w:sz w:val="22"/>
          <w:szCs w:val="22"/>
          <w:vertAlign w:val="superscript"/>
          <w:lang w:val="en-US"/>
        </w:rPr>
        <w:t xml:space="preserve">1* </w:t>
      </w:r>
      <w:r w:rsidR="008546E3">
        <w:rPr>
          <w:color w:val="FF0000"/>
          <w:sz w:val="22"/>
          <w:szCs w:val="22"/>
          <w:lang w:val="en-US"/>
        </w:rPr>
        <w:t>shelly_farida_tobing@univ-tridinanti.ac.id</w:t>
      </w:r>
      <w:r w:rsidR="00BC0A08" w:rsidRPr="00B67DBE">
        <w:rPr>
          <w:color w:val="FF0000"/>
          <w:sz w:val="22"/>
          <w:szCs w:val="22"/>
          <w:lang w:val="id-ID"/>
        </w:rPr>
        <w:t xml:space="preserve">, </w:t>
      </w:r>
      <w:r w:rsidR="00BC0A08" w:rsidRPr="00B67DBE">
        <w:rPr>
          <w:b/>
          <w:color w:val="FF0000"/>
          <w:sz w:val="22"/>
          <w:szCs w:val="22"/>
          <w:vertAlign w:val="superscript"/>
          <w:lang w:val="en-US"/>
        </w:rPr>
        <w:t>2</w:t>
      </w:r>
      <w:r w:rsidR="00BC0A08" w:rsidRPr="00B67DBE">
        <w:rPr>
          <w:color w:val="FF0000"/>
          <w:sz w:val="22"/>
          <w:szCs w:val="22"/>
          <w:lang w:val="en-US"/>
        </w:rPr>
        <w:t>s</w:t>
      </w:r>
      <w:r w:rsidR="008546E3">
        <w:rPr>
          <w:color w:val="FF0000"/>
          <w:sz w:val="22"/>
          <w:szCs w:val="22"/>
          <w:lang w:val="en-US"/>
        </w:rPr>
        <w:t>onang_pestaria_pangaribuan@univ-tridinanti.ac.id</w:t>
      </w:r>
      <w:bookmarkStart w:id="0" w:name="_GoBack"/>
      <w:bookmarkEnd w:id="0"/>
    </w:p>
    <w:p w:rsidR="00BF418E" w:rsidRPr="00B67DBE" w:rsidRDefault="003958BE" w:rsidP="003958BE">
      <w:pPr>
        <w:jc w:val="center"/>
        <w:rPr>
          <w:rFonts w:ascii="Calibri" w:hAnsi="Calibri" w:cs="Calibri"/>
          <w:b/>
          <w:color w:val="FF0000"/>
          <w:sz w:val="18"/>
          <w:szCs w:val="18"/>
          <w:lang w:val="id-ID"/>
        </w:rPr>
      </w:pPr>
      <w:proofErr w:type="gramStart"/>
      <w:r w:rsidRPr="00B67DBE">
        <w:rPr>
          <w:rFonts w:ascii="Calibri" w:hAnsi="Calibri" w:cs="Calibri"/>
          <w:i/>
          <w:color w:val="FF0000"/>
          <w:sz w:val="20"/>
          <w:szCs w:val="20"/>
        </w:rPr>
        <w:t xml:space="preserve">Submitted </w:t>
      </w:r>
      <w:r w:rsidR="00E45E16" w:rsidRPr="00B67DBE">
        <w:rPr>
          <w:rFonts w:ascii="Calibri" w:hAnsi="Calibri" w:cs="Calibri"/>
          <w:color w:val="FF0000"/>
          <w:sz w:val="20"/>
          <w:szCs w:val="20"/>
        </w:rPr>
        <w:t>:</w:t>
      </w:r>
      <w:proofErr w:type="gramEnd"/>
      <w:r w:rsidR="00E45E16" w:rsidRPr="00B67DBE">
        <w:rPr>
          <w:rFonts w:ascii="Calibri" w:hAnsi="Calibri" w:cs="Calibri"/>
          <w:color w:val="FF0000"/>
          <w:sz w:val="20"/>
          <w:szCs w:val="20"/>
        </w:rPr>
        <w:t xml:space="preserve"> </w:t>
      </w:r>
      <w:r w:rsidR="002279CD" w:rsidRPr="00B67DBE">
        <w:rPr>
          <w:rFonts w:ascii="Calibri" w:hAnsi="Calibri" w:cs="Calibri"/>
          <w:color w:val="FF0000"/>
          <w:sz w:val="20"/>
          <w:szCs w:val="20"/>
        </w:rPr>
        <w:t>02 Agustus</w:t>
      </w:r>
      <w:r w:rsidRPr="00B67DBE">
        <w:rPr>
          <w:rFonts w:ascii="Calibri" w:hAnsi="Calibri" w:cs="Calibri"/>
          <w:color w:val="FF0000"/>
          <w:sz w:val="20"/>
          <w:szCs w:val="20"/>
        </w:rPr>
        <w:t xml:space="preserve"> 2023</w:t>
      </w:r>
      <w:r w:rsidRPr="00B67DBE">
        <w:rPr>
          <w:rFonts w:ascii="Calibri" w:hAnsi="Calibri" w:cs="Calibri"/>
          <w:i/>
          <w:color w:val="FF0000"/>
          <w:sz w:val="20"/>
          <w:szCs w:val="20"/>
        </w:rPr>
        <w:t>, Review accepted</w:t>
      </w:r>
      <w:r w:rsidR="002279CD" w:rsidRPr="00B67DBE">
        <w:rPr>
          <w:rFonts w:ascii="Calibri" w:hAnsi="Calibri" w:cs="Calibri"/>
          <w:color w:val="FF0000"/>
          <w:sz w:val="20"/>
          <w:szCs w:val="20"/>
        </w:rPr>
        <w:t xml:space="preserve"> : 18</w:t>
      </w:r>
      <w:r w:rsidRPr="00B67DBE">
        <w:rPr>
          <w:rFonts w:ascii="Calibri" w:hAnsi="Calibri" w:cs="Calibri"/>
          <w:color w:val="FF0000"/>
          <w:sz w:val="20"/>
          <w:szCs w:val="20"/>
        </w:rPr>
        <w:t xml:space="preserve"> </w:t>
      </w:r>
      <w:r w:rsidR="002279CD" w:rsidRPr="00B67DBE">
        <w:rPr>
          <w:rFonts w:ascii="Calibri" w:hAnsi="Calibri" w:cs="Calibri"/>
          <w:color w:val="FF0000"/>
          <w:sz w:val="20"/>
          <w:szCs w:val="20"/>
        </w:rPr>
        <w:t>September</w:t>
      </w:r>
      <w:r w:rsidRPr="00B67DBE">
        <w:rPr>
          <w:rFonts w:ascii="Calibri" w:hAnsi="Calibri" w:cs="Calibri"/>
          <w:color w:val="FF0000"/>
          <w:sz w:val="20"/>
          <w:szCs w:val="20"/>
        </w:rPr>
        <w:t xml:space="preserve"> 2023, </w:t>
      </w:r>
      <w:r w:rsidRPr="00B67DBE">
        <w:rPr>
          <w:rFonts w:ascii="Calibri" w:hAnsi="Calibri" w:cs="Calibri"/>
          <w:i/>
          <w:color w:val="FF0000"/>
          <w:sz w:val="20"/>
          <w:szCs w:val="20"/>
        </w:rPr>
        <w:t>Publish</w:t>
      </w:r>
      <w:r w:rsidR="002279CD" w:rsidRPr="00B67DBE">
        <w:rPr>
          <w:rFonts w:ascii="Calibri" w:hAnsi="Calibri" w:cs="Calibri"/>
          <w:color w:val="FF0000"/>
          <w:sz w:val="20"/>
          <w:szCs w:val="20"/>
        </w:rPr>
        <w:t xml:space="preserve"> : 14</w:t>
      </w:r>
      <w:r w:rsidRPr="00B67DBE">
        <w:rPr>
          <w:rFonts w:ascii="Calibri" w:hAnsi="Calibri" w:cs="Calibri"/>
          <w:color w:val="FF0000"/>
          <w:sz w:val="20"/>
          <w:szCs w:val="20"/>
        </w:rPr>
        <w:t xml:space="preserve"> </w:t>
      </w:r>
      <w:r w:rsidR="002279CD" w:rsidRPr="00B67DBE">
        <w:rPr>
          <w:rFonts w:ascii="Calibri" w:hAnsi="Calibri" w:cs="Calibri"/>
          <w:color w:val="FF0000"/>
          <w:sz w:val="20"/>
          <w:szCs w:val="20"/>
        </w:rPr>
        <w:t>Oktober</w:t>
      </w:r>
      <w:r w:rsidRPr="00B67DBE">
        <w:rPr>
          <w:rFonts w:ascii="Calibri" w:hAnsi="Calibri" w:cs="Calibri"/>
          <w:color w:val="FF0000"/>
          <w:sz w:val="20"/>
          <w:szCs w:val="20"/>
        </w:rPr>
        <w:t xml:space="preserve"> 2023</w:t>
      </w:r>
    </w:p>
    <w:p w:rsidR="00677F5B" w:rsidRPr="00B67DBE" w:rsidRDefault="00677F5B" w:rsidP="00677F5B">
      <w:pPr>
        <w:tabs>
          <w:tab w:val="center" w:leader="dot" w:pos="8505"/>
        </w:tabs>
        <w:jc w:val="center"/>
        <w:rPr>
          <w:color w:val="FF0000"/>
          <w:sz w:val="14"/>
          <w:szCs w:val="16"/>
          <w:lang w:val="id-ID"/>
        </w:rPr>
      </w:pPr>
    </w:p>
    <w:p w:rsidR="00BF418E" w:rsidRPr="00B67DBE" w:rsidRDefault="00BF418E" w:rsidP="003958BE">
      <w:pPr>
        <w:tabs>
          <w:tab w:val="center" w:leader="dot" w:pos="8505"/>
        </w:tabs>
        <w:rPr>
          <w:rFonts w:ascii="Calibri" w:hAnsi="Calibri" w:cs="Calibri"/>
          <w:b/>
          <w:color w:val="FF0000"/>
          <w:sz w:val="18"/>
          <w:szCs w:val="20"/>
        </w:rPr>
      </w:pPr>
    </w:p>
    <w:p w:rsidR="00580A74" w:rsidRPr="00B67DBE" w:rsidRDefault="00580A74" w:rsidP="002279CD">
      <w:pPr>
        <w:jc w:val="center"/>
        <w:rPr>
          <w:rFonts w:ascii="Calibri" w:hAnsi="Calibri" w:cs="Calibri"/>
          <w:b/>
          <w:bCs/>
          <w:color w:val="FF0000"/>
          <w:kern w:val="36"/>
          <w:sz w:val="22"/>
          <w:szCs w:val="22"/>
          <w:lang w:eastAsia="id-ID"/>
        </w:rPr>
      </w:pPr>
      <w:r w:rsidRPr="00B67DBE">
        <w:rPr>
          <w:rFonts w:ascii="Calibri" w:hAnsi="Calibri" w:cs="Calibri"/>
          <w:b/>
          <w:color w:val="FF0000"/>
          <w:sz w:val="22"/>
          <w:szCs w:val="22"/>
        </w:rPr>
        <w:t>ABSTRA</w:t>
      </w:r>
      <w:r w:rsidRPr="00B67DBE">
        <w:rPr>
          <w:rFonts w:ascii="Calibri" w:hAnsi="Calibri" w:cs="Calibri"/>
          <w:b/>
          <w:color w:val="FF0000"/>
          <w:sz w:val="22"/>
          <w:szCs w:val="22"/>
          <w:lang w:val="id-ID"/>
        </w:rPr>
        <w:t>CT</w:t>
      </w:r>
    </w:p>
    <w:p w:rsidR="00ED3FD4" w:rsidRDefault="00ED3FD4" w:rsidP="00ED3FD4">
      <w:pPr>
        <w:jc w:val="both"/>
        <w:rPr>
          <w:rFonts w:ascii="Calibri" w:hAnsi="Calibri" w:cs="Calibri"/>
          <w:i/>
          <w:color w:val="FF0000"/>
          <w:sz w:val="20"/>
          <w:szCs w:val="20"/>
        </w:rPr>
      </w:pPr>
    </w:p>
    <w:p w:rsidR="00ED3FD4" w:rsidRPr="008546E3" w:rsidRDefault="00ED3FD4" w:rsidP="00ED3FD4">
      <w:pPr>
        <w:jc w:val="both"/>
        <w:rPr>
          <w:i/>
          <w:color w:val="FF0000"/>
          <w:sz w:val="22"/>
          <w:szCs w:val="22"/>
        </w:rPr>
      </w:pPr>
      <w:r w:rsidRPr="008546E3">
        <w:rPr>
          <w:i/>
          <w:color w:val="FF0000"/>
          <w:sz w:val="22"/>
          <w:szCs w:val="22"/>
        </w:rPr>
        <w:t xml:space="preserve">The aim of this research is to find out how much influence the Composite Stock Price Index (IHSG), Offer Timing, Offering Price, Revenue Growth have on Underpricing in Companies conducting an IPO on the Indonesia Stock Exchange (IDX) either simultaneously or partially. The technique used in this research is using the Qualitative Analysis method which analyzes data that are not numbers or numbers in the form of explanations that cannot be expressed in numerical form and secondly the Quantitative Analysis method is a method that analyzes data in the form of numbers to apply </w:t>
      </w:r>
      <w:proofErr w:type="gramStart"/>
      <w:r w:rsidRPr="008546E3">
        <w:rPr>
          <w:i/>
          <w:color w:val="FF0000"/>
          <w:sz w:val="22"/>
          <w:szCs w:val="22"/>
        </w:rPr>
        <w:t>a</w:t>
      </w:r>
      <w:proofErr w:type="gramEnd"/>
      <w:r w:rsidRPr="008546E3">
        <w:rPr>
          <w:i/>
          <w:color w:val="FF0000"/>
          <w:sz w:val="22"/>
          <w:szCs w:val="22"/>
        </w:rPr>
        <w:t xml:space="preserve"> explanation of these figures.</w:t>
      </w:r>
    </w:p>
    <w:p w:rsidR="004A1688" w:rsidRPr="008546E3" w:rsidRDefault="00ED3FD4" w:rsidP="00ED3FD4">
      <w:pPr>
        <w:jc w:val="both"/>
        <w:rPr>
          <w:i/>
          <w:color w:val="FF0000"/>
          <w:sz w:val="22"/>
          <w:szCs w:val="22"/>
        </w:rPr>
      </w:pPr>
      <w:r w:rsidRPr="008546E3">
        <w:rPr>
          <w:i/>
          <w:color w:val="FF0000"/>
          <w:sz w:val="22"/>
          <w:szCs w:val="22"/>
        </w:rPr>
        <w:t>Based on the results of the F test, this research shows that the Composite Stock Price Index (IHSG), offer timing, offering price, revenue growth simultaneously have no effect on underpricing, while the results The t test, this research shows that the Composite Stock Price Index variable has no significant effect on underpricing, the offering period variable has no significant effect on underpricing, the stock offering price variable has no significant effect on underpricing, the income growth variable has no significant effect on underpricing.</w:t>
      </w:r>
    </w:p>
    <w:p w:rsidR="00ED3FD4" w:rsidRDefault="00ED3FD4" w:rsidP="002279CD">
      <w:pPr>
        <w:pStyle w:val="BodyText"/>
        <w:spacing w:after="0"/>
        <w:jc w:val="both"/>
        <w:rPr>
          <w:i/>
          <w:color w:val="FF0000"/>
          <w:sz w:val="22"/>
          <w:szCs w:val="22"/>
          <w:lang w:val="en-US"/>
        </w:rPr>
      </w:pPr>
    </w:p>
    <w:p w:rsidR="003958BE" w:rsidRDefault="003958BE" w:rsidP="008546E3">
      <w:pPr>
        <w:pStyle w:val="BodyText"/>
        <w:spacing w:after="0"/>
        <w:rPr>
          <w:bCs/>
          <w:i/>
          <w:iCs/>
          <w:sz w:val="22"/>
          <w:szCs w:val="22"/>
          <w:lang w:val="en-US"/>
        </w:rPr>
      </w:pPr>
      <w:r w:rsidRPr="008546E3">
        <w:rPr>
          <w:i/>
          <w:iCs/>
          <w:color w:val="FF0000"/>
          <w:sz w:val="22"/>
          <w:szCs w:val="22"/>
        </w:rPr>
        <w:t xml:space="preserve">Keywords: </w:t>
      </w:r>
      <w:r w:rsidR="008546E3" w:rsidRPr="008546E3">
        <w:rPr>
          <w:bCs/>
          <w:sz w:val="22"/>
          <w:szCs w:val="22"/>
          <w:lang w:val="en-US"/>
        </w:rPr>
        <w:t xml:space="preserve">IHSG, </w:t>
      </w:r>
      <w:r w:rsidR="008546E3" w:rsidRPr="008546E3">
        <w:rPr>
          <w:bCs/>
          <w:i/>
          <w:iCs/>
          <w:sz w:val="22"/>
          <w:szCs w:val="22"/>
          <w:lang w:val="en-US"/>
        </w:rPr>
        <w:t>Offer Timing, Offering Price, Revenues Grow</w:t>
      </w:r>
      <w:r w:rsidR="008546E3">
        <w:rPr>
          <w:bCs/>
          <w:i/>
          <w:iCs/>
          <w:sz w:val="22"/>
          <w:szCs w:val="22"/>
          <w:lang w:val="en-US"/>
        </w:rPr>
        <w:t>t</w:t>
      </w:r>
    </w:p>
    <w:p w:rsidR="008546E3" w:rsidRPr="008546E3" w:rsidRDefault="008546E3" w:rsidP="008546E3">
      <w:pPr>
        <w:pStyle w:val="BodyText"/>
        <w:spacing w:after="0"/>
        <w:rPr>
          <w:b/>
          <w:color w:val="FF0000"/>
          <w:sz w:val="22"/>
          <w:szCs w:val="22"/>
          <w:lang w:val="en-US"/>
        </w:rPr>
      </w:pPr>
    </w:p>
    <w:p w:rsidR="003958BE" w:rsidRPr="00B67DBE" w:rsidRDefault="003958BE" w:rsidP="002279CD">
      <w:pPr>
        <w:jc w:val="center"/>
        <w:rPr>
          <w:b/>
          <w:color w:val="FF0000"/>
          <w:szCs w:val="22"/>
        </w:rPr>
      </w:pPr>
      <w:r w:rsidRPr="00B67DBE">
        <w:rPr>
          <w:b/>
          <w:color w:val="FF0000"/>
          <w:szCs w:val="22"/>
        </w:rPr>
        <w:t>ABSTRAK</w:t>
      </w:r>
    </w:p>
    <w:p w:rsidR="00A83ED5" w:rsidRPr="00B67DBE" w:rsidRDefault="00A83ED5" w:rsidP="002279CD">
      <w:pPr>
        <w:jc w:val="center"/>
        <w:rPr>
          <w:b/>
          <w:bCs/>
          <w:color w:val="FF0000"/>
          <w:kern w:val="36"/>
          <w:szCs w:val="22"/>
          <w:lang w:eastAsia="id-ID"/>
        </w:rPr>
      </w:pPr>
    </w:p>
    <w:p w:rsidR="00B67DBE" w:rsidRPr="00B67DBE" w:rsidRDefault="00B67DBE" w:rsidP="00B67DBE">
      <w:pPr>
        <w:jc w:val="both"/>
        <w:rPr>
          <w:bCs/>
          <w:sz w:val="22"/>
          <w:szCs w:val="22"/>
        </w:rPr>
      </w:pPr>
      <w:r w:rsidRPr="00B67DBE">
        <w:rPr>
          <w:sz w:val="22"/>
          <w:szCs w:val="22"/>
        </w:rPr>
        <w:t>Tujuan penelitian ini yaitu ingin mengetahui berapa besar pengaruh Indeks Harga Saham Gabungan (IHSG), Jangka Waktu Penawaran (</w:t>
      </w:r>
      <w:r w:rsidRPr="00B67DBE">
        <w:rPr>
          <w:i/>
          <w:iCs/>
          <w:sz w:val="22"/>
          <w:szCs w:val="22"/>
        </w:rPr>
        <w:t>Offer Timing</w:t>
      </w:r>
      <w:r w:rsidRPr="00B67DBE">
        <w:rPr>
          <w:sz w:val="22"/>
          <w:szCs w:val="22"/>
        </w:rPr>
        <w:t>), Harga penawaran Saham (</w:t>
      </w:r>
      <w:r w:rsidRPr="00B67DBE">
        <w:rPr>
          <w:i/>
          <w:iCs/>
          <w:sz w:val="22"/>
          <w:szCs w:val="22"/>
        </w:rPr>
        <w:t>Offering Price</w:t>
      </w:r>
      <w:r w:rsidRPr="00B67DBE">
        <w:rPr>
          <w:sz w:val="22"/>
          <w:szCs w:val="22"/>
        </w:rPr>
        <w:t>), Pertumbuhan Pendapat (</w:t>
      </w:r>
      <w:r w:rsidRPr="00B67DBE">
        <w:rPr>
          <w:i/>
          <w:iCs/>
          <w:sz w:val="22"/>
          <w:szCs w:val="22"/>
        </w:rPr>
        <w:t>Revenues Growth</w:t>
      </w:r>
      <w:r w:rsidRPr="00B67DBE">
        <w:rPr>
          <w:sz w:val="22"/>
          <w:szCs w:val="22"/>
        </w:rPr>
        <w:t xml:space="preserve">) terhadap </w:t>
      </w:r>
      <w:r w:rsidRPr="00B67DBE">
        <w:rPr>
          <w:i/>
          <w:iCs/>
          <w:sz w:val="22"/>
          <w:szCs w:val="22"/>
        </w:rPr>
        <w:t>Underpricing</w:t>
      </w:r>
      <w:r w:rsidRPr="00B67DBE">
        <w:rPr>
          <w:sz w:val="22"/>
          <w:szCs w:val="22"/>
        </w:rPr>
        <w:t xml:space="preserve"> pada Perusahaan yang melakukan IPO di Indonesia </w:t>
      </w:r>
      <w:r w:rsidRPr="00B67DBE">
        <w:rPr>
          <w:i/>
          <w:iCs/>
          <w:sz w:val="22"/>
          <w:szCs w:val="22"/>
        </w:rPr>
        <w:t>Stock Exchange</w:t>
      </w:r>
      <w:r w:rsidRPr="00B67DBE">
        <w:rPr>
          <w:b/>
          <w:sz w:val="22"/>
          <w:szCs w:val="22"/>
        </w:rPr>
        <w:t xml:space="preserve"> </w:t>
      </w:r>
      <w:r w:rsidRPr="00B67DBE">
        <w:rPr>
          <w:bCs/>
          <w:sz w:val="22"/>
          <w:szCs w:val="22"/>
        </w:rPr>
        <w:t>(IDX) baik secara simultan maupun parsial. Teknik yang digunakan dalam penelitian ini yaitu dengan menggunakan metode Analisis Kualitatif yang menganalisis data yang bukan angka atau angka yang berbentuk penjelasan yang tidak dapat dinyatakan dalan bentuk angka dan yang kedua metode Analisis Kuantitatif yaitu metode yang menganalisis yang dilakukan terhadap data dalam bentuk angka untuk menerapkan suatu penjelasan dari angka-angka tersebut.</w:t>
      </w:r>
    </w:p>
    <w:p w:rsidR="00B67DBE" w:rsidRPr="00B67DBE" w:rsidRDefault="00B67DBE" w:rsidP="00B67DBE">
      <w:pPr>
        <w:jc w:val="both"/>
        <w:rPr>
          <w:i/>
          <w:sz w:val="22"/>
          <w:szCs w:val="22"/>
        </w:rPr>
      </w:pPr>
      <w:r w:rsidRPr="00B67DBE">
        <w:rPr>
          <w:bCs/>
          <w:sz w:val="22"/>
          <w:szCs w:val="22"/>
        </w:rPr>
        <w:t xml:space="preserve">Berdasarkan hasil uji F, penelitian ini menunjukkan  bahwa secara simultan </w:t>
      </w:r>
      <w:r w:rsidRPr="00B67DBE">
        <w:rPr>
          <w:sz w:val="22"/>
          <w:szCs w:val="22"/>
        </w:rPr>
        <w:t xml:space="preserve"> Indeks Harga Saham Gabungan (IHSG), jangka waktu penawaran (</w:t>
      </w:r>
      <w:r w:rsidRPr="00B67DBE">
        <w:rPr>
          <w:i/>
          <w:sz w:val="22"/>
          <w:szCs w:val="22"/>
        </w:rPr>
        <w:t>Offer Timing),</w:t>
      </w:r>
      <w:r w:rsidRPr="00B67DBE">
        <w:rPr>
          <w:sz w:val="22"/>
          <w:szCs w:val="22"/>
        </w:rPr>
        <w:t xml:space="preserve"> harga penawaran saham (</w:t>
      </w:r>
      <w:r w:rsidRPr="00B67DBE">
        <w:rPr>
          <w:i/>
          <w:sz w:val="22"/>
          <w:szCs w:val="22"/>
        </w:rPr>
        <w:t>offering price</w:t>
      </w:r>
      <w:r w:rsidRPr="00B67DBE">
        <w:rPr>
          <w:sz w:val="22"/>
          <w:szCs w:val="22"/>
        </w:rPr>
        <w:t>), pertumbuhan pendapatan (</w:t>
      </w:r>
      <w:r w:rsidRPr="00B67DBE">
        <w:rPr>
          <w:i/>
          <w:sz w:val="22"/>
          <w:szCs w:val="22"/>
        </w:rPr>
        <w:t>revenues growth</w:t>
      </w:r>
      <w:r w:rsidRPr="00B67DBE">
        <w:rPr>
          <w:sz w:val="22"/>
          <w:szCs w:val="22"/>
        </w:rPr>
        <w:t xml:space="preserve">) secara simultan tidak berpengaruh terhadap </w:t>
      </w:r>
      <w:r w:rsidRPr="00B67DBE">
        <w:rPr>
          <w:i/>
          <w:sz w:val="22"/>
          <w:szCs w:val="22"/>
        </w:rPr>
        <w:t>underpricing</w:t>
      </w:r>
      <w:r w:rsidRPr="00B67DBE">
        <w:rPr>
          <w:sz w:val="22"/>
          <w:szCs w:val="22"/>
        </w:rPr>
        <w:t xml:space="preserve">, sedangkan hasil Uji t, penelitian ini menunjukkan bahwa Variabel Indeks Harga Saham Gabungan tidak berpengaruh signifikan terhadap </w:t>
      </w:r>
      <w:r w:rsidRPr="00B67DBE">
        <w:rPr>
          <w:i/>
          <w:sz w:val="22"/>
          <w:szCs w:val="22"/>
        </w:rPr>
        <w:t xml:space="preserve">underpricing, </w:t>
      </w:r>
      <w:r w:rsidRPr="00B67DBE">
        <w:rPr>
          <w:sz w:val="22"/>
          <w:szCs w:val="22"/>
        </w:rPr>
        <w:t xml:space="preserve">Variabel jangka waktu penawaran tidak berpengaruh signifikan terhadap </w:t>
      </w:r>
      <w:r w:rsidRPr="00B67DBE">
        <w:rPr>
          <w:i/>
          <w:sz w:val="22"/>
          <w:szCs w:val="22"/>
        </w:rPr>
        <w:t xml:space="preserve">underpricing, </w:t>
      </w:r>
      <w:r w:rsidRPr="00B67DBE">
        <w:rPr>
          <w:sz w:val="22"/>
          <w:szCs w:val="22"/>
        </w:rPr>
        <w:t xml:space="preserve">Variabel harga penawaran saham tidak berpengaruh signifikan terhadap </w:t>
      </w:r>
      <w:r w:rsidRPr="00B67DBE">
        <w:rPr>
          <w:i/>
          <w:sz w:val="22"/>
          <w:szCs w:val="22"/>
        </w:rPr>
        <w:t>underpricing,</w:t>
      </w:r>
      <w:r w:rsidRPr="00B67DBE">
        <w:rPr>
          <w:sz w:val="22"/>
          <w:szCs w:val="22"/>
        </w:rPr>
        <w:t xml:space="preserve"> Variabel pertumbuhan pendapatan tidak berpengaruh signifikan terhadap </w:t>
      </w:r>
      <w:r w:rsidRPr="00B67DBE">
        <w:rPr>
          <w:i/>
          <w:sz w:val="22"/>
          <w:szCs w:val="22"/>
        </w:rPr>
        <w:t>underpricing</w:t>
      </w:r>
      <w:r w:rsidRPr="00B67DBE">
        <w:rPr>
          <w:i/>
          <w:sz w:val="22"/>
          <w:szCs w:val="22"/>
        </w:rPr>
        <w:t>.</w:t>
      </w:r>
    </w:p>
    <w:p w:rsidR="0040339F" w:rsidRPr="00B67DBE" w:rsidRDefault="0040339F" w:rsidP="002279CD">
      <w:pPr>
        <w:jc w:val="both"/>
        <w:rPr>
          <w:color w:val="FF0000"/>
          <w:sz w:val="20"/>
          <w:lang w:val="es-ES"/>
        </w:rPr>
      </w:pPr>
    </w:p>
    <w:p w:rsidR="002279CD" w:rsidRPr="00B67DBE" w:rsidRDefault="003958BE" w:rsidP="002279CD">
      <w:pPr>
        <w:jc w:val="both"/>
        <w:rPr>
          <w:color w:val="FF0000"/>
          <w:sz w:val="22"/>
          <w:szCs w:val="22"/>
        </w:rPr>
      </w:pPr>
      <w:r w:rsidRPr="00B67DBE">
        <w:rPr>
          <w:color w:val="FF0000"/>
          <w:sz w:val="22"/>
          <w:szCs w:val="22"/>
        </w:rPr>
        <w:t>Kata</w:t>
      </w:r>
      <w:r w:rsidRPr="00B67DBE">
        <w:rPr>
          <w:color w:val="FF0000"/>
          <w:spacing w:val="-1"/>
          <w:sz w:val="22"/>
          <w:szCs w:val="22"/>
        </w:rPr>
        <w:t xml:space="preserve"> </w:t>
      </w:r>
      <w:proofErr w:type="gramStart"/>
      <w:r w:rsidRPr="00B67DBE">
        <w:rPr>
          <w:color w:val="FF0000"/>
          <w:sz w:val="22"/>
          <w:szCs w:val="22"/>
        </w:rPr>
        <w:t>kunci</w:t>
      </w:r>
      <w:r w:rsidRPr="00B67DBE">
        <w:rPr>
          <w:color w:val="FF0000"/>
          <w:spacing w:val="-2"/>
          <w:sz w:val="22"/>
          <w:szCs w:val="22"/>
        </w:rPr>
        <w:t xml:space="preserve"> </w:t>
      </w:r>
      <w:r w:rsidRPr="00B67DBE">
        <w:rPr>
          <w:color w:val="FF0000"/>
          <w:sz w:val="22"/>
          <w:szCs w:val="22"/>
        </w:rPr>
        <w:t>:</w:t>
      </w:r>
      <w:proofErr w:type="gramEnd"/>
      <w:r w:rsidRPr="00B67DBE">
        <w:rPr>
          <w:color w:val="FF0000"/>
          <w:spacing w:val="-9"/>
          <w:sz w:val="22"/>
          <w:szCs w:val="22"/>
        </w:rPr>
        <w:t xml:space="preserve"> </w:t>
      </w:r>
      <w:r w:rsidR="008546E3">
        <w:rPr>
          <w:bCs/>
        </w:rPr>
        <w:t xml:space="preserve">JCI, Offer Timing, Offering Price , </w:t>
      </w:r>
      <w:r w:rsidR="008546E3">
        <w:rPr>
          <w:bCs/>
          <w:i/>
          <w:iCs/>
        </w:rPr>
        <w:t>Revenues Grow</w:t>
      </w:r>
    </w:p>
    <w:p w:rsidR="00FA50E0" w:rsidRPr="00B67DBE" w:rsidRDefault="00FA50E0" w:rsidP="002279CD">
      <w:pPr>
        <w:pStyle w:val="BodyText"/>
        <w:spacing w:before="5"/>
        <w:jc w:val="both"/>
        <w:rPr>
          <w:rFonts w:ascii="Calibri" w:hAnsi="Calibri" w:cs="Calibri"/>
          <w:color w:val="FF0000"/>
          <w:sz w:val="20"/>
          <w:szCs w:val="20"/>
        </w:rPr>
      </w:pPr>
    </w:p>
    <w:p w:rsidR="00591C72" w:rsidRPr="00B67DBE" w:rsidRDefault="00591C72" w:rsidP="00A952D8">
      <w:pPr>
        <w:tabs>
          <w:tab w:val="left" w:pos="426"/>
        </w:tabs>
        <w:ind w:left="426" w:hanging="426"/>
        <w:jc w:val="both"/>
        <w:rPr>
          <w:rFonts w:ascii="Calibri" w:hAnsi="Calibri" w:cs="Calibri"/>
          <w:b/>
          <w:color w:val="FF0000"/>
          <w:sz w:val="22"/>
          <w:szCs w:val="22"/>
        </w:rPr>
        <w:sectPr w:rsidR="00591C72" w:rsidRPr="00B67DBE" w:rsidSect="00AC7641">
          <w:headerReference w:type="default" r:id="rId9"/>
          <w:footerReference w:type="default" r:id="rId10"/>
          <w:type w:val="continuous"/>
          <w:pgSz w:w="11906" w:h="16838"/>
          <w:pgMar w:top="1440" w:right="1440" w:bottom="1440" w:left="1440" w:header="708" w:footer="708" w:gutter="0"/>
          <w:pgNumType w:start="1"/>
          <w:cols w:space="708"/>
          <w:docGrid w:linePitch="360"/>
        </w:sectPr>
      </w:pPr>
    </w:p>
    <w:p w:rsidR="00A952D8" w:rsidRPr="00B67DBE" w:rsidRDefault="00FA7F3A" w:rsidP="002279CD">
      <w:pPr>
        <w:tabs>
          <w:tab w:val="left" w:pos="426"/>
        </w:tabs>
        <w:spacing w:line="276" w:lineRule="auto"/>
        <w:ind w:left="426" w:hanging="426"/>
        <w:jc w:val="center"/>
        <w:rPr>
          <w:b/>
          <w:color w:val="FF0000"/>
          <w:szCs w:val="22"/>
        </w:rPr>
      </w:pPr>
      <w:r w:rsidRPr="00B67DBE">
        <w:rPr>
          <w:b/>
          <w:color w:val="FF0000"/>
          <w:szCs w:val="22"/>
        </w:rPr>
        <w:lastRenderedPageBreak/>
        <w:t>PENDAHULUAN</w:t>
      </w:r>
    </w:p>
    <w:p w:rsidR="00B20B62" w:rsidRPr="00B67DBE" w:rsidRDefault="00B20B62" w:rsidP="005D77D4">
      <w:pPr>
        <w:spacing w:line="276" w:lineRule="auto"/>
        <w:jc w:val="both"/>
        <w:rPr>
          <w:b/>
          <w:color w:val="FF0000"/>
        </w:rPr>
      </w:pPr>
      <w:r w:rsidRPr="00B67DBE">
        <w:rPr>
          <w:b/>
          <w:color w:val="FF0000"/>
        </w:rPr>
        <w:t>Latar Belakang</w:t>
      </w:r>
    </w:p>
    <w:p w:rsidR="00B67DBE" w:rsidRPr="001421AD" w:rsidRDefault="00B67DBE" w:rsidP="00B67DBE">
      <w:pPr>
        <w:pStyle w:val="NoSpacing"/>
        <w:spacing w:line="276" w:lineRule="auto"/>
        <w:ind w:firstLine="720"/>
        <w:jc w:val="both"/>
        <w:rPr>
          <w:rFonts w:ascii="Times New Roman" w:hAnsi="Times New Roman"/>
          <w:sz w:val="24"/>
          <w:szCs w:val="24"/>
        </w:rPr>
      </w:pPr>
      <w:r w:rsidRPr="001421AD">
        <w:rPr>
          <w:rFonts w:ascii="Times New Roman" w:hAnsi="Times New Roman"/>
          <w:sz w:val="24"/>
          <w:szCs w:val="24"/>
        </w:rPr>
        <w:t>Pasar modal berperan penting bagi pembangunan ekonomi sebagai salah satu sumber pembiayaan eksternal bagi dunia usaha dan wahana investasi bagi masyarakat. Pasar modal merupakan salah satu sarana guna memenuhi permintaan dan penawaran modal. Ditempat inilah para investor dapat melakukan investasi dengan cara pemilikan surat berharga bagi perusahaan. Pasar modal pada hakikatnya adalah suatu kegiatan yang mempertemukan penjual dan pembeli dana. Dana yang diperjualbelikan tersebut digunakan untuk jangka waktu yang lama dalam tujuan menunjang pengembangan suatu organisasi atau perusahaan. Kegiatan jual-beli dana tersebut dilakukan dalam suatu lembaga resmi yang disebut bursa efek.</w:t>
      </w:r>
    </w:p>
    <w:p w:rsidR="00B67DBE" w:rsidRPr="001421AD" w:rsidRDefault="00B67DBE" w:rsidP="00B67DBE">
      <w:pPr>
        <w:pStyle w:val="NoSpacing"/>
        <w:spacing w:line="276" w:lineRule="auto"/>
        <w:jc w:val="both"/>
        <w:rPr>
          <w:rFonts w:ascii="Times New Roman" w:hAnsi="Times New Roman"/>
          <w:sz w:val="24"/>
          <w:szCs w:val="24"/>
        </w:rPr>
      </w:pPr>
      <w:r w:rsidRPr="001421AD">
        <w:rPr>
          <w:rFonts w:ascii="Times New Roman" w:hAnsi="Times New Roman"/>
          <w:sz w:val="24"/>
          <w:szCs w:val="24"/>
        </w:rPr>
        <w:tab/>
        <w:t xml:space="preserve">Menurut Widoatmodjo (2012:15) “pasar modal dapat dikatakan pasar abstrak, dimana yang diperjualbelikan adalah dana-dana jangka panjang, yaitu dana yang keterikatannya dalam investasi lebih dari satu tahun”. </w:t>
      </w:r>
    </w:p>
    <w:p w:rsidR="00B67DBE" w:rsidRPr="001421AD" w:rsidRDefault="00B67DBE" w:rsidP="00B67DBE">
      <w:pPr>
        <w:pStyle w:val="NoSpacing"/>
        <w:spacing w:line="276" w:lineRule="auto"/>
        <w:jc w:val="both"/>
        <w:rPr>
          <w:rFonts w:ascii="Times New Roman" w:hAnsi="Times New Roman"/>
          <w:sz w:val="24"/>
          <w:szCs w:val="24"/>
        </w:rPr>
      </w:pPr>
      <w:r w:rsidRPr="001421AD">
        <w:rPr>
          <w:rFonts w:ascii="Times New Roman" w:hAnsi="Times New Roman"/>
          <w:sz w:val="24"/>
          <w:szCs w:val="24"/>
        </w:rPr>
        <w:t>Menurut Fahmi (2015:48) “pasar modal adalah tempat dimana berbagai pihak khususnya perusahaan menjual saham (</w:t>
      </w:r>
      <w:r w:rsidRPr="001421AD">
        <w:rPr>
          <w:rFonts w:ascii="Times New Roman" w:hAnsi="Times New Roman"/>
          <w:i/>
          <w:sz w:val="24"/>
          <w:szCs w:val="24"/>
        </w:rPr>
        <w:t xml:space="preserve">stock) </w:t>
      </w:r>
      <w:r w:rsidRPr="001421AD">
        <w:rPr>
          <w:rFonts w:ascii="Times New Roman" w:hAnsi="Times New Roman"/>
          <w:sz w:val="24"/>
          <w:szCs w:val="24"/>
        </w:rPr>
        <w:t>dan obligasi (</w:t>
      </w:r>
      <w:r w:rsidRPr="001421AD">
        <w:rPr>
          <w:rFonts w:ascii="Times New Roman" w:hAnsi="Times New Roman"/>
          <w:i/>
          <w:sz w:val="24"/>
          <w:szCs w:val="24"/>
        </w:rPr>
        <w:t>bond</w:t>
      </w:r>
      <w:r w:rsidRPr="001421AD">
        <w:rPr>
          <w:rFonts w:ascii="Times New Roman" w:hAnsi="Times New Roman"/>
          <w:sz w:val="24"/>
          <w:szCs w:val="24"/>
        </w:rPr>
        <w:t xml:space="preserve">) dengan tujuan dari hasil penjualan tersebut nantinya akan dipergunakan sebagai tambahan dana atau untuk memperkuat modal perusahaan”. </w:t>
      </w:r>
    </w:p>
    <w:p w:rsidR="00B67DBE" w:rsidRPr="001421AD" w:rsidRDefault="00B67DBE" w:rsidP="00B67DBE">
      <w:pPr>
        <w:pStyle w:val="NoSpacing"/>
        <w:spacing w:line="276" w:lineRule="auto"/>
        <w:jc w:val="both"/>
        <w:rPr>
          <w:rFonts w:ascii="Times New Roman" w:hAnsi="Times New Roman"/>
          <w:sz w:val="24"/>
          <w:szCs w:val="24"/>
        </w:rPr>
      </w:pPr>
      <w:r w:rsidRPr="001421AD">
        <w:rPr>
          <w:rFonts w:ascii="Times New Roman" w:hAnsi="Times New Roman"/>
          <w:sz w:val="24"/>
          <w:szCs w:val="24"/>
        </w:rPr>
        <w:t xml:space="preserve">Berdasarkan beberapa definisi dari para ahli tersebut maka dapat diambil kesimpulan bahwa pasar modal merupakan mekanisme transaksi jual beli instrument pasar modal jangka panjang antara penjual dan pembeli baik itu individu, koperasi maupun pemerintah. Pasar modal memiliki </w:t>
      </w:r>
      <w:r w:rsidRPr="001421AD">
        <w:rPr>
          <w:rFonts w:ascii="Times New Roman" w:hAnsi="Times New Roman"/>
          <w:sz w:val="24"/>
          <w:szCs w:val="24"/>
        </w:rPr>
        <w:lastRenderedPageBreak/>
        <w:t>peran besar bagi perekonomian suatu negara.</w:t>
      </w:r>
    </w:p>
    <w:p w:rsidR="00B67DBE" w:rsidRPr="001421AD" w:rsidRDefault="00B67DBE" w:rsidP="00B67DBE">
      <w:pPr>
        <w:pStyle w:val="NoSpacing"/>
        <w:spacing w:line="276" w:lineRule="auto"/>
        <w:jc w:val="both"/>
        <w:rPr>
          <w:rFonts w:ascii="Times New Roman" w:hAnsi="Times New Roman"/>
          <w:sz w:val="24"/>
          <w:szCs w:val="24"/>
        </w:rPr>
      </w:pPr>
      <w:r w:rsidRPr="001421AD">
        <w:rPr>
          <w:rFonts w:ascii="Times New Roman" w:hAnsi="Times New Roman"/>
          <w:sz w:val="24"/>
          <w:szCs w:val="24"/>
        </w:rPr>
        <w:tab/>
        <w:t xml:space="preserve">Melalui pasar modal, suatu perusahaan dapat menjual sahamnya kepada publik guna memperoleh sumber dana untuk kegiatan ekspansi atau operasi perusahaan. Dan melalui pasar modal pula, para investor dapat menanamkan modalnya (berinvestasi) dengan membeli sejumlah efek dengan harapan akan memperoleh keuntungan dari hasil kegiatan tersebut. Sehingga investasi dapat diartikan sebagai suatu kegiatan menempatkan dana pada satu aset atau lebih selama periode tertentu dengan harapan akan memperoleh keuntungan. Namun dalam beberapa waktu terakhir pasar modal Indonesia telah menunjukkan perkembangan yang cukup menggairahkan, menjadikan semakin banyaknya saham yang terdaftar di Indonesia </w:t>
      </w:r>
      <w:r w:rsidRPr="001421AD">
        <w:rPr>
          <w:rFonts w:ascii="Times New Roman" w:hAnsi="Times New Roman"/>
          <w:i/>
          <w:sz w:val="24"/>
          <w:szCs w:val="24"/>
        </w:rPr>
        <w:t xml:space="preserve">Stock Exchange </w:t>
      </w:r>
      <w:r w:rsidRPr="001421AD">
        <w:rPr>
          <w:rFonts w:ascii="Times New Roman" w:hAnsi="Times New Roman"/>
          <w:sz w:val="24"/>
          <w:szCs w:val="24"/>
        </w:rPr>
        <w:t xml:space="preserve">(IDX), hal ini tentunya memerlukan strategi tertentu untuk membeli saham yang kiranya akan menguntungkan, dimana saham-saham yang dijual pada pasar perdana dapat menjadi pilihan untuk berinvestasi. Kegiatan perusahaan untuk menjual sahamnya kepada publik melalui pasar modal untuk pertama kalinya disebut sebagai penawaran umum perdana atau yang dikenal sebagai </w:t>
      </w:r>
      <w:r w:rsidRPr="001421AD">
        <w:rPr>
          <w:rFonts w:ascii="Times New Roman" w:hAnsi="Times New Roman"/>
          <w:i/>
          <w:sz w:val="24"/>
          <w:szCs w:val="24"/>
        </w:rPr>
        <w:t>Initial Public Offering.</w:t>
      </w:r>
      <w:r w:rsidRPr="001421AD">
        <w:rPr>
          <w:rFonts w:ascii="Times New Roman" w:hAnsi="Times New Roman"/>
          <w:i/>
          <w:sz w:val="24"/>
          <w:szCs w:val="24"/>
        </w:rPr>
        <w:tab/>
      </w:r>
    </w:p>
    <w:p w:rsidR="00B67DBE" w:rsidRPr="001421AD" w:rsidRDefault="00B67DBE" w:rsidP="00B67DBE">
      <w:pPr>
        <w:pStyle w:val="NoSpacing"/>
        <w:spacing w:line="276" w:lineRule="auto"/>
        <w:jc w:val="both"/>
        <w:rPr>
          <w:rFonts w:ascii="Times New Roman" w:hAnsi="Times New Roman"/>
          <w:i/>
          <w:sz w:val="24"/>
          <w:szCs w:val="24"/>
        </w:rPr>
      </w:pPr>
      <w:r w:rsidRPr="001421AD">
        <w:rPr>
          <w:rFonts w:ascii="Times New Roman" w:hAnsi="Times New Roman"/>
          <w:sz w:val="24"/>
          <w:szCs w:val="24"/>
        </w:rPr>
        <w:tab/>
        <w:t xml:space="preserve">Ketika perusahaan memutuskan untuk melakukan IPO maka tahap pertama yang harus dilakukan emiten bersama dengan </w:t>
      </w:r>
      <w:r w:rsidRPr="001421AD">
        <w:rPr>
          <w:rFonts w:ascii="Times New Roman" w:hAnsi="Times New Roman"/>
          <w:i/>
          <w:sz w:val="24"/>
          <w:szCs w:val="24"/>
        </w:rPr>
        <w:t>underwriter</w:t>
      </w:r>
      <w:r w:rsidRPr="001421AD">
        <w:rPr>
          <w:rFonts w:ascii="Times New Roman" w:hAnsi="Times New Roman"/>
          <w:sz w:val="24"/>
          <w:szCs w:val="24"/>
        </w:rPr>
        <w:t xml:space="preserve"> ( penjamin emisi ) adalah menetapkan harga penawaran saham perdana perusahaan dan membuat prospektus perusahaan, karena prospektus merupakan salah satu kunci dari berhasil tidaknya suatu IPO.  Penentuan harga </w:t>
      </w:r>
      <w:r w:rsidRPr="001421AD">
        <w:rPr>
          <w:rFonts w:ascii="Times New Roman" w:hAnsi="Times New Roman"/>
          <w:sz w:val="24"/>
          <w:szCs w:val="24"/>
        </w:rPr>
        <w:lastRenderedPageBreak/>
        <w:t>saham yang akan ditawarkan pada saat IPO merupakan faktor penting, baik bagi emiten maupun</w:t>
      </w:r>
      <w:r w:rsidRPr="001421AD">
        <w:rPr>
          <w:rFonts w:ascii="Times New Roman" w:hAnsi="Times New Roman"/>
          <w:i/>
          <w:sz w:val="24"/>
          <w:szCs w:val="24"/>
        </w:rPr>
        <w:t xml:space="preserve"> underwriter </w:t>
      </w:r>
      <w:r w:rsidRPr="001421AD">
        <w:rPr>
          <w:rFonts w:ascii="Times New Roman" w:hAnsi="Times New Roman"/>
          <w:sz w:val="24"/>
          <w:szCs w:val="24"/>
        </w:rPr>
        <w:t xml:space="preserve">karena berkaitan dengan jumlah dana yang akan diperoleh emiten dengan risiko yang akan ditanggung oleh </w:t>
      </w:r>
      <w:r w:rsidRPr="001421AD">
        <w:rPr>
          <w:rFonts w:ascii="Times New Roman" w:hAnsi="Times New Roman"/>
          <w:i/>
          <w:sz w:val="24"/>
          <w:szCs w:val="24"/>
        </w:rPr>
        <w:t xml:space="preserve">underwriter. </w:t>
      </w:r>
    </w:p>
    <w:p w:rsidR="00B67DBE" w:rsidRPr="001421AD" w:rsidRDefault="00B67DBE" w:rsidP="00B67DBE">
      <w:pPr>
        <w:pStyle w:val="NoSpacing"/>
        <w:spacing w:line="276" w:lineRule="auto"/>
        <w:jc w:val="both"/>
        <w:rPr>
          <w:rFonts w:ascii="Times New Roman" w:hAnsi="Times New Roman"/>
          <w:sz w:val="24"/>
          <w:szCs w:val="24"/>
        </w:rPr>
      </w:pPr>
      <w:r w:rsidRPr="001421AD">
        <w:rPr>
          <w:rFonts w:ascii="Times New Roman" w:hAnsi="Times New Roman"/>
          <w:sz w:val="24"/>
          <w:szCs w:val="24"/>
        </w:rPr>
        <w:t xml:space="preserve">Emiten adalah perusahaan yang mengeluarkan / menerbitkan saham atau biasanya juga disebut pihak yang melakukan penawaran umum, yang selanjutnya saham tersebut akan diperjualbelikan melalui bursa efek (pasar sekunder). </w:t>
      </w:r>
      <w:r w:rsidRPr="001421AD">
        <w:rPr>
          <w:rFonts w:ascii="Times New Roman" w:hAnsi="Times New Roman"/>
          <w:i/>
          <w:sz w:val="24"/>
          <w:szCs w:val="24"/>
        </w:rPr>
        <w:t xml:space="preserve">Underwriter </w:t>
      </w:r>
      <w:r w:rsidRPr="001421AD">
        <w:rPr>
          <w:rFonts w:ascii="Times New Roman" w:hAnsi="Times New Roman"/>
          <w:sz w:val="24"/>
          <w:szCs w:val="24"/>
        </w:rPr>
        <w:t xml:space="preserve"> adalah pihak yang membuat kontrak dengan emiten untuk melakukan penawaran umum bagi kepentingan emiten dengan atau tanpa kewajiban untuk membeli sisa efek yang tidak terjual.</w:t>
      </w:r>
    </w:p>
    <w:p w:rsidR="00B67DBE" w:rsidRPr="001421AD" w:rsidRDefault="00B67DBE" w:rsidP="00B67DBE">
      <w:pPr>
        <w:pStyle w:val="NoSpacing"/>
        <w:spacing w:line="276" w:lineRule="auto"/>
        <w:jc w:val="both"/>
        <w:rPr>
          <w:rFonts w:ascii="Times New Roman" w:hAnsi="Times New Roman"/>
          <w:sz w:val="24"/>
          <w:szCs w:val="24"/>
        </w:rPr>
      </w:pPr>
      <w:r w:rsidRPr="001421AD">
        <w:rPr>
          <w:rFonts w:ascii="Times New Roman" w:hAnsi="Times New Roman"/>
          <w:sz w:val="24"/>
          <w:szCs w:val="24"/>
        </w:rPr>
        <w:tab/>
      </w:r>
      <w:r w:rsidRPr="001421AD">
        <w:rPr>
          <w:rFonts w:ascii="Times New Roman" w:hAnsi="Times New Roman"/>
          <w:i/>
          <w:sz w:val="24"/>
          <w:szCs w:val="24"/>
        </w:rPr>
        <w:t xml:space="preserve">Underwriter </w:t>
      </w:r>
      <w:r w:rsidRPr="001421AD">
        <w:rPr>
          <w:rFonts w:ascii="Times New Roman" w:hAnsi="Times New Roman"/>
          <w:sz w:val="24"/>
          <w:szCs w:val="24"/>
        </w:rPr>
        <w:t xml:space="preserve">dalam hal ini memperoleh informasi lebih baik mengenai permintaan saham-saham emiten, dibandingkan emiten itu sendiri. Oleh karena itu, </w:t>
      </w:r>
      <w:r w:rsidRPr="001421AD">
        <w:rPr>
          <w:rFonts w:ascii="Times New Roman" w:hAnsi="Times New Roman"/>
          <w:i/>
          <w:sz w:val="24"/>
          <w:szCs w:val="24"/>
        </w:rPr>
        <w:t xml:space="preserve">underwriter </w:t>
      </w:r>
      <w:r w:rsidRPr="001421AD">
        <w:rPr>
          <w:rFonts w:ascii="Times New Roman" w:hAnsi="Times New Roman"/>
          <w:sz w:val="24"/>
          <w:szCs w:val="24"/>
        </w:rPr>
        <w:t xml:space="preserve">akan memanfaatkan informasi yang dimiliki untuk memperoleh kesepakatan optimal dengan emiten, yaitu dengan memperkecil resiko keharusan membeli saham yang tidak laku terjual dengan harga murah. Sehingga emiten harus menerima harga yang murah bagi saham perdananya. Dengan demikian akan terjadi </w:t>
      </w:r>
      <w:r w:rsidRPr="001421AD">
        <w:rPr>
          <w:rFonts w:ascii="Times New Roman" w:hAnsi="Times New Roman"/>
          <w:i/>
          <w:sz w:val="24"/>
          <w:szCs w:val="24"/>
        </w:rPr>
        <w:t xml:space="preserve">underpricing </w:t>
      </w:r>
      <w:r w:rsidRPr="001421AD">
        <w:rPr>
          <w:rFonts w:ascii="Times New Roman" w:hAnsi="Times New Roman"/>
          <w:sz w:val="24"/>
          <w:szCs w:val="24"/>
        </w:rPr>
        <w:t>yang berarti bahwa penentuan harga saham di pasar sekunder pada saat yang sama. Dan pihak investor mempunyai kesempatan untuk memperoleh keuntungan dari kelebihan antara harga saham di pasar sekunder dengan harga perdana.</w:t>
      </w:r>
      <w:r w:rsidRPr="001421AD">
        <w:rPr>
          <w:rFonts w:ascii="Times New Roman" w:hAnsi="Times New Roman"/>
          <w:i/>
          <w:sz w:val="24"/>
          <w:szCs w:val="24"/>
        </w:rPr>
        <w:t xml:space="preserve"> </w:t>
      </w:r>
      <w:r w:rsidRPr="001421AD">
        <w:rPr>
          <w:rFonts w:ascii="Times New Roman" w:hAnsi="Times New Roman"/>
          <w:sz w:val="24"/>
          <w:szCs w:val="24"/>
        </w:rPr>
        <w:t xml:space="preserve">Sebaliknya bila saham perdana lebih tinggi dibanding harga saham di pasar sekunder pada saat yang sama makan akan terjadi </w:t>
      </w:r>
      <w:r w:rsidRPr="001421AD">
        <w:rPr>
          <w:rFonts w:ascii="Times New Roman" w:hAnsi="Times New Roman"/>
          <w:i/>
          <w:sz w:val="24"/>
          <w:szCs w:val="24"/>
        </w:rPr>
        <w:t xml:space="preserve">overpricing. </w:t>
      </w:r>
      <w:r w:rsidRPr="001421AD">
        <w:rPr>
          <w:rFonts w:ascii="Times New Roman" w:hAnsi="Times New Roman"/>
          <w:sz w:val="24"/>
          <w:szCs w:val="24"/>
        </w:rPr>
        <w:t xml:space="preserve">Kondisi ini merugikan investor karena tidak menerima </w:t>
      </w:r>
      <w:r w:rsidRPr="001421AD">
        <w:rPr>
          <w:rFonts w:ascii="Times New Roman" w:hAnsi="Times New Roman"/>
          <w:i/>
          <w:sz w:val="24"/>
          <w:szCs w:val="24"/>
        </w:rPr>
        <w:t>initial return (</w:t>
      </w:r>
      <w:r w:rsidRPr="001421AD">
        <w:rPr>
          <w:rFonts w:ascii="Times New Roman" w:hAnsi="Times New Roman"/>
          <w:sz w:val="24"/>
          <w:szCs w:val="24"/>
        </w:rPr>
        <w:t xml:space="preserve">keuntungan </w:t>
      </w:r>
      <w:r w:rsidRPr="001421AD">
        <w:rPr>
          <w:rFonts w:ascii="Times New Roman" w:hAnsi="Times New Roman"/>
          <w:sz w:val="24"/>
          <w:szCs w:val="24"/>
        </w:rPr>
        <w:lastRenderedPageBreak/>
        <w:t>yang diperoleh pemegang saham saat IPO dengan penjualan saham hari pertama).</w:t>
      </w:r>
    </w:p>
    <w:p w:rsidR="00B67DBE" w:rsidRPr="001421AD" w:rsidRDefault="00B67DBE" w:rsidP="00B67DBE">
      <w:pPr>
        <w:pStyle w:val="NoSpacing"/>
        <w:spacing w:line="276" w:lineRule="auto"/>
        <w:jc w:val="both"/>
        <w:rPr>
          <w:rFonts w:ascii="Times New Roman" w:hAnsi="Times New Roman"/>
          <w:sz w:val="24"/>
          <w:szCs w:val="24"/>
        </w:rPr>
      </w:pPr>
      <w:r w:rsidRPr="001421AD">
        <w:rPr>
          <w:rFonts w:ascii="Times New Roman" w:hAnsi="Times New Roman"/>
          <w:i/>
          <w:sz w:val="24"/>
          <w:szCs w:val="24"/>
        </w:rPr>
        <w:tab/>
        <w:t xml:space="preserve">Underpricing </w:t>
      </w:r>
      <w:r w:rsidRPr="001421AD">
        <w:rPr>
          <w:rFonts w:ascii="Times New Roman" w:hAnsi="Times New Roman"/>
          <w:sz w:val="24"/>
          <w:szCs w:val="24"/>
        </w:rPr>
        <w:t xml:space="preserve">adalah keadaan dimana saham pada saat IPO lebih rendah dibanding ketika diperdagangkan di pasar sekunder. </w:t>
      </w:r>
      <w:r w:rsidRPr="001421AD">
        <w:rPr>
          <w:rFonts w:ascii="Times New Roman" w:hAnsi="Times New Roman"/>
          <w:i/>
          <w:sz w:val="24"/>
          <w:szCs w:val="24"/>
        </w:rPr>
        <w:t xml:space="preserve">Underpricing </w:t>
      </w:r>
      <w:r w:rsidRPr="001421AD">
        <w:rPr>
          <w:rFonts w:ascii="Times New Roman" w:hAnsi="Times New Roman"/>
          <w:sz w:val="24"/>
          <w:szCs w:val="24"/>
        </w:rPr>
        <w:t xml:space="preserve">merupakan suatu fenomena di mana penentuan harga saham di pasar perdana lebih rendah dibanding harga saham di pasar sekunder pada saham yang sama. Masalah inilah yang sering muncul ketika IPO. Pada dasarnya penentuan harga saham pada saat penawaran perdana ke publik dilakukan berdasar kesepakatan antara emiten dengan </w:t>
      </w:r>
      <w:r w:rsidRPr="001421AD">
        <w:rPr>
          <w:rFonts w:ascii="Times New Roman" w:hAnsi="Times New Roman"/>
          <w:i/>
          <w:sz w:val="24"/>
          <w:szCs w:val="24"/>
        </w:rPr>
        <w:t xml:space="preserve">underwriter, </w:t>
      </w:r>
      <w:r w:rsidRPr="001421AD">
        <w:rPr>
          <w:rFonts w:ascii="Times New Roman" w:hAnsi="Times New Roman"/>
          <w:sz w:val="24"/>
          <w:szCs w:val="24"/>
        </w:rPr>
        <w:t>sedangkan harga saham di pasar sekunder ditentukan oleh mekanisme pasar , yaitu berdasar pada  kekuatan permintaan dan penawaran.</w:t>
      </w:r>
      <w:r w:rsidRPr="001421AD">
        <w:rPr>
          <w:rFonts w:ascii="Times New Roman" w:hAnsi="Times New Roman"/>
          <w:i/>
          <w:sz w:val="24"/>
          <w:szCs w:val="24"/>
        </w:rPr>
        <w:t xml:space="preserve"> </w:t>
      </w:r>
      <w:r w:rsidRPr="001421AD">
        <w:rPr>
          <w:rFonts w:ascii="Times New Roman" w:hAnsi="Times New Roman"/>
          <w:sz w:val="24"/>
          <w:szCs w:val="24"/>
        </w:rPr>
        <w:t xml:space="preserve">Kondisi ini tentu saja merugikan pihak emiten karena ketika fenomena ini terjadi maka berarti perusahaan belum secara optimal memperoleh dana dari publik dan juga secara tidak langsung menambah biaya yang dikeluarkan emiten dengan melakukan IPO.  </w:t>
      </w:r>
    </w:p>
    <w:p w:rsidR="00B67DBE" w:rsidRPr="001421AD" w:rsidRDefault="00B67DBE" w:rsidP="00B67DBE">
      <w:pPr>
        <w:pStyle w:val="NoSpacing"/>
        <w:spacing w:line="276" w:lineRule="auto"/>
        <w:jc w:val="both"/>
        <w:rPr>
          <w:rFonts w:ascii="Times New Roman" w:hAnsi="Times New Roman"/>
          <w:i/>
          <w:sz w:val="24"/>
          <w:szCs w:val="24"/>
        </w:rPr>
      </w:pPr>
      <w:r w:rsidRPr="001421AD">
        <w:rPr>
          <w:rFonts w:ascii="Times New Roman" w:hAnsi="Times New Roman"/>
          <w:b/>
          <w:sz w:val="24"/>
          <w:szCs w:val="24"/>
        </w:rPr>
        <w:tab/>
      </w:r>
    </w:p>
    <w:p w:rsidR="00B67DBE" w:rsidRPr="001421AD" w:rsidRDefault="00B67DBE" w:rsidP="00B67DBE">
      <w:pPr>
        <w:pStyle w:val="NoSpacing"/>
        <w:spacing w:line="276" w:lineRule="auto"/>
        <w:jc w:val="both"/>
        <w:rPr>
          <w:rFonts w:ascii="Times New Roman" w:hAnsi="Times New Roman"/>
          <w:i/>
          <w:sz w:val="24"/>
          <w:szCs w:val="24"/>
        </w:rPr>
      </w:pPr>
      <w:r w:rsidRPr="001421AD">
        <w:rPr>
          <w:rFonts w:ascii="Times New Roman" w:hAnsi="Times New Roman"/>
          <w:sz w:val="24"/>
          <w:szCs w:val="24"/>
        </w:rPr>
        <w:t xml:space="preserve">Para pemilik perusahaan menginginkan agar dapat meminimalisasi </w:t>
      </w:r>
      <w:r w:rsidRPr="001421AD">
        <w:rPr>
          <w:rFonts w:ascii="Times New Roman" w:hAnsi="Times New Roman"/>
          <w:i/>
          <w:sz w:val="24"/>
          <w:szCs w:val="24"/>
        </w:rPr>
        <w:t xml:space="preserve">underpricing </w:t>
      </w:r>
      <w:r w:rsidRPr="001421AD">
        <w:rPr>
          <w:rFonts w:ascii="Times New Roman" w:hAnsi="Times New Roman"/>
          <w:sz w:val="24"/>
          <w:szCs w:val="24"/>
        </w:rPr>
        <w:t xml:space="preserve">karena terjadinya </w:t>
      </w:r>
      <w:r w:rsidRPr="001421AD">
        <w:rPr>
          <w:rFonts w:ascii="Times New Roman" w:hAnsi="Times New Roman"/>
          <w:i/>
          <w:sz w:val="24"/>
          <w:szCs w:val="24"/>
        </w:rPr>
        <w:t xml:space="preserve">underpricing </w:t>
      </w:r>
      <w:r w:rsidRPr="001421AD">
        <w:rPr>
          <w:rFonts w:ascii="Times New Roman" w:hAnsi="Times New Roman"/>
          <w:sz w:val="24"/>
          <w:szCs w:val="24"/>
        </w:rPr>
        <w:t>akan menyebabkan transfer kemakmuran (</w:t>
      </w:r>
      <w:r w:rsidRPr="001421AD">
        <w:rPr>
          <w:rFonts w:ascii="Times New Roman" w:hAnsi="Times New Roman"/>
          <w:i/>
          <w:sz w:val="24"/>
          <w:szCs w:val="24"/>
        </w:rPr>
        <w:t xml:space="preserve">wealth) </w:t>
      </w:r>
      <w:r w:rsidRPr="001421AD">
        <w:rPr>
          <w:rFonts w:ascii="Times New Roman" w:hAnsi="Times New Roman"/>
          <w:sz w:val="24"/>
          <w:szCs w:val="24"/>
        </w:rPr>
        <w:t xml:space="preserve">dari pemilik kepada para investor. </w:t>
      </w:r>
      <w:r w:rsidRPr="001421AD">
        <w:rPr>
          <w:rFonts w:ascii="Times New Roman" w:hAnsi="Times New Roman"/>
          <w:i/>
          <w:sz w:val="24"/>
          <w:szCs w:val="24"/>
        </w:rPr>
        <w:t xml:space="preserve"> </w:t>
      </w:r>
      <w:r w:rsidRPr="001421AD">
        <w:rPr>
          <w:rFonts w:ascii="Times New Roman" w:hAnsi="Times New Roman"/>
          <w:sz w:val="24"/>
          <w:szCs w:val="24"/>
        </w:rPr>
        <w:t xml:space="preserve">Apabila terjadi </w:t>
      </w:r>
      <w:r w:rsidRPr="001421AD">
        <w:rPr>
          <w:rFonts w:ascii="Times New Roman" w:hAnsi="Times New Roman"/>
          <w:i/>
          <w:sz w:val="24"/>
          <w:szCs w:val="24"/>
        </w:rPr>
        <w:t>underpricing</w:t>
      </w:r>
      <w:r w:rsidRPr="001421AD">
        <w:rPr>
          <w:rFonts w:ascii="Times New Roman" w:hAnsi="Times New Roman"/>
          <w:sz w:val="24"/>
          <w:szCs w:val="24"/>
        </w:rPr>
        <w:t xml:space="preserve">, dana yang diperoleh perusahaan </w:t>
      </w:r>
      <w:r w:rsidRPr="001421AD">
        <w:rPr>
          <w:rFonts w:ascii="Times New Roman" w:hAnsi="Times New Roman"/>
          <w:i/>
          <w:sz w:val="24"/>
          <w:szCs w:val="24"/>
        </w:rPr>
        <w:t>go public</w:t>
      </w:r>
      <w:r w:rsidRPr="001421AD">
        <w:rPr>
          <w:rFonts w:ascii="Times New Roman" w:hAnsi="Times New Roman"/>
          <w:sz w:val="24"/>
          <w:szCs w:val="24"/>
        </w:rPr>
        <w:t xml:space="preserve"> tidak maksimum. Pihak investor lebih mengharapkan tingginya </w:t>
      </w:r>
      <w:r w:rsidRPr="001421AD">
        <w:rPr>
          <w:rFonts w:ascii="Times New Roman" w:hAnsi="Times New Roman"/>
          <w:i/>
          <w:sz w:val="24"/>
          <w:szCs w:val="24"/>
        </w:rPr>
        <w:t>underpricing</w:t>
      </w:r>
      <w:r w:rsidRPr="001421AD">
        <w:rPr>
          <w:rFonts w:ascii="Times New Roman" w:hAnsi="Times New Roman"/>
          <w:sz w:val="24"/>
          <w:szCs w:val="24"/>
        </w:rPr>
        <w:t xml:space="preserve"> karena dengan demikian para investor dapat menerima </w:t>
      </w:r>
      <w:r w:rsidRPr="001421AD">
        <w:rPr>
          <w:rFonts w:ascii="Times New Roman" w:hAnsi="Times New Roman"/>
          <w:i/>
          <w:sz w:val="24"/>
          <w:szCs w:val="24"/>
        </w:rPr>
        <w:t>initial return.</w:t>
      </w:r>
    </w:p>
    <w:p w:rsidR="00B67DBE" w:rsidRPr="00FE6DFA" w:rsidRDefault="00B67DBE" w:rsidP="00B67DBE">
      <w:pPr>
        <w:pStyle w:val="NoSpacing"/>
        <w:spacing w:line="276" w:lineRule="auto"/>
        <w:jc w:val="both"/>
      </w:pPr>
      <w:r w:rsidRPr="001421AD">
        <w:rPr>
          <w:rFonts w:ascii="Times New Roman" w:hAnsi="Times New Roman"/>
          <w:i/>
          <w:sz w:val="24"/>
          <w:szCs w:val="24"/>
        </w:rPr>
        <w:t xml:space="preserve"> Initial return </w:t>
      </w:r>
      <w:r w:rsidRPr="001421AD">
        <w:rPr>
          <w:rFonts w:ascii="Times New Roman" w:hAnsi="Times New Roman"/>
          <w:sz w:val="24"/>
          <w:szCs w:val="24"/>
        </w:rPr>
        <w:t>adalah keuntungan yang diperoleh pemegang saham karena perbedaan harga saham yang dibeli di pasar perdana (IPO) dengan harga jual saham</w:t>
      </w:r>
      <w:r w:rsidRPr="00FE6DFA">
        <w:t xml:space="preserve"> bersangkutan di hari pertama di pasar sekunder (Ismiyanti dan Armansyah, 2010: 11).</w:t>
      </w:r>
    </w:p>
    <w:p w:rsidR="00B67DBE" w:rsidRPr="00FE6DFA" w:rsidRDefault="00B67DBE" w:rsidP="00B67DBE">
      <w:pPr>
        <w:pStyle w:val="NoSpacing"/>
        <w:spacing w:line="276" w:lineRule="auto"/>
        <w:jc w:val="both"/>
        <w:rPr>
          <w:rFonts w:ascii="Times New Roman" w:hAnsi="Times New Roman"/>
          <w:sz w:val="24"/>
          <w:szCs w:val="24"/>
        </w:rPr>
      </w:pPr>
      <w:r w:rsidRPr="00FE6DFA">
        <w:rPr>
          <w:rFonts w:ascii="Times New Roman" w:hAnsi="Times New Roman"/>
          <w:b/>
          <w:sz w:val="24"/>
          <w:szCs w:val="24"/>
        </w:rPr>
        <w:lastRenderedPageBreak/>
        <w:tab/>
      </w:r>
      <w:r w:rsidRPr="00FE6DFA">
        <w:rPr>
          <w:rFonts w:ascii="Times New Roman" w:hAnsi="Times New Roman"/>
          <w:i/>
          <w:sz w:val="24"/>
          <w:szCs w:val="24"/>
        </w:rPr>
        <w:t xml:space="preserve">Underpricing </w:t>
      </w:r>
      <w:r w:rsidRPr="00FE6DFA">
        <w:rPr>
          <w:rFonts w:ascii="Times New Roman" w:hAnsi="Times New Roman"/>
          <w:sz w:val="24"/>
          <w:szCs w:val="24"/>
        </w:rPr>
        <w:t xml:space="preserve">disebabkan oleh adanya asimetri informasi. Asimetri informasi dapat terjadi antara emiten dan </w:t>
      </w:r>
      <w:r w:rsidRPr="00FE6DFA">
        <w:rPr>
          <w:rFonts w:ascii="Times New Roman" w:hAnsi="Times New Roman"/>
          <w:i/>
          <w:sz w:val="24"/>
          <w:szCs w:val="24"/>
        </w:rPr>
        <w:t>underwriter</w:t>
      </w:r>
      <w:r w:rsidRPr="00FE6DFA">
        <w:rPr>
          <w:rFonts w:ascii="Times New Roman" w:hAnsi="Times New Roman"/>
          <w:sz w:val="24"/>
          <w:szCs w:val="24"/>
        </w:rPr>
        <w:t xml:space="preserve"> maupun antar investor. Di dalam menentukan harga, pihak penentu harga sangat memperhatikan informasi perusahaan. Apabila di antara mereka tidak memiliki informasi yang lengkap tentang perusahaan, maka akan terjadi perbedaan harga. Asimetri informasi merupakan suatu keadaan dimana manajer memiliki akses informasi atas prospek perusahaan yang tidak dimiliki oleh pihak luar perusahaan.</w:t>
      </w:r>
    </w:p>
    <w:p w:rsidR="00B67DBE" w:rsidRPr="00FE6DFA" w:rsidRDefault="00B67DBE" w:rsidP="00B67DBE">
      <w:pPr>
        <w:pStyle w:val="NoSpacing"/>
        <w:spacing w:line="276" w:lineRule="auto"/>
        <w:jc w:val="both"/>
        <w:rPr>
          <w:rFonts w:ascii="Times New Roman" w:hAnsi="Times New Roman"/>
          <w:i/>
          <w:sz w:val="24"/>
          <w:szCs w:val="24"/>
        </w:rPr>
      </w:pPr>
      <w:r w:rsidRPr="00FE6DFA">
        <w:rPr>
          <w:rFonts w:ascii="Times New Roman" w:hAnsi="Times New Roman"/>
          <w:sz w:val="24"/>
          <w:szCs w:val="24"/>
        </w:rPr>
        <w:tab/>
        <w:t>Selain itu</w:t>
      </w:r>
      <w:r w:rsidRPr="00FE6DFA">
        <w:rPr>
          <w:rFonts w:ascii="Times New Roman" w:hAnsi="Times New Roman"/>
          <w:i/>
          <w:sz w:val="24"/>
          <w:szCs w:val="24"/>
        </w:rPr>
        <w:t xml:space="preserve"> underpricing</w:t>
      </w:r>
      <w:r w:rsidRPr="00FE6DFA">
        <w:rPr>
          <w:rFonts w:ascii="Times New Roman" w:hAnsi="Times New Roman"/>
          <w:sz w:val="24"/>
          <w:szCs w:val="24"/>
        </w:rPr>
        <w:t xml:space="preserve"> dapat disebabkan adanya sinyal dari dalam perusahaan yang menarik bagi investor sehingga investor berani membeli saham perdana perusahaan di atas harga penawaran. Sinyal tersebut berupa segala informasi baik yang bersifat </w:t>
      </w:r>
      <w:r w:rsidRPr="00FE6DFA">
        <w:rPr>
          <w:rFonts w:ascii="Times New Roman" w:hAnsi="Times New Roman"/>
          <w:i/>
          <w:sz w:val="24"/>
          <w:szCs w:val="24"/>
        </w:rPr>
        <w:t xml:space="preserve">financial </w:t>
      </w:r>
      <w:r w:rsidRPr="00FE6DFA">
        <w:rPr>
          <w:rFonts w:ascii="Times New Roman" w:hAnsi="Times New Roman"/>
          <w:sz w:val="24"/>
          <w:szCs w:val="24"/>
        </w:rPr>
        <w:t xml:space="preserve">maupun </w:t>
      </w:r>
      <w:r w:rsidRPr="00FE6DFA">
        <w:rPr>
          <w:rFonts w:ascii="Times New Roman" w:hAnsi="Times New Roman"/>
          <w:i/>
          <w:sz w:val="24"/>
          <w:szCs w:val="24"/>
        </w:rPr>
        <w:t>non-financial.</w:t>
      </w:r>
    </w:p>
    <w:p w:rsidR="00B67DBE" w:rsidRPr="00FE6DFA" w:rsidRDefault="00B67DBE" w:rsidP="00B67DBE">
      <w:pPr>
        <w:pStyle w:val="NoSpacing"/>
        <w:spacing w:line="276" w:lineRule="auto"/>
        <w:jc w:val="both"/>
        <w:rPr>
          <w:rFonts w:ascii="Times New Roman" w:hAnsi="Times New Roman"/>
          <w:sz w:val="24"/>
          <w:szCs w:val="24"/>
        </w:rPr>
      </w:pPr>
      <w:r w:rsidRPr="00FE6DFA">
        <w:rPr>
          <w:rFonts w:ascii="Times New Roman" w:hAnsi="Times New Roman"/>
          <w:sz w:val="24"/>
          <w:szCs w:val="24"/>
        </w:rPr>
        <w:tab/>
        <w:t xml:space="preserve">Fenomena </w:t>
      </w:r>
      <w:r w:rsidRPr="00FE6DFA">
        <w:rPr>
          <w:rFonts w:ascii="Times New Roman" w:hAnsi="Times New Roman"/>
          <w:i/>
          <w:sz w:val="24"/>
          <w:szCs w:val="24"/>
        </w:rPr>
        <w:t xml:space="preserve">underpricing </w:t>
      </w:r>
      <w:r w:rsidRPr="00FE6DFA">
        <w:rPr>
          <w:rFonts w:ascii="Times New Roman" w:hAnsi="Times New Roman"/>
          <w:sz w:val="24"/>
          <w:szCs w:val="24"/>
        </w:rPr>
        <w:t xml:space="preserve">terjadi hampir di semua negara di dunia, meskipun tingkat </w:t>
      </w:r>
      <w:r w:rsidRPr="00FE6DFA">
        <w:rPr>
          <w:rFonts w:ascii="Times New Roman" w:hAnsi="Times New Roman"/>
          <w:i/>
          <w:sz w:val="24"/>
          <w:szCs w:val="24"/>
        </w:rPr>
        <w:t xml:space="preserve">underpricing </w:t>
      </w:r>
      <w:r w:rsidRPr="00FE6DFA">
        <w:rPr>
          <w:rFonts w:ascii="Times New Roman" w:hAnsi="Times New Roman"/>
          <w:sz w:val="24"/>
          <w:szCs w:val="24"/>
        </w:rPr>
        <w:t xml:space="preserve">itu berbeda antara satu negara dengan negara lainnya. Secara umum tingkat </w:t>
      </w:r>
      <w:r w:rsidRPr="00FE6DFA">
        <w:rPr>
          <w:rFonts w:ascii="Times New Roman" w:hAnsi="Times New Roman"/>
          <w:i/>
          <w:sz w:val="24"/>
          <w:szCs w:val="24"/>
        </w:rPr>
        <w:t xml:space="preserve">underpricing </w:t>
      </w:r>
      <w:r w:rsidRPr="00FE6DFA">
        <w:rPr>
          <w:rFonts w:ascii="Times New Roman" w:hAnsi="Times New Roman"/>
          <w:sz w:val="24"/>
          <w:szCs w:val="24"/>
        </w:rPr>
        <w:t>bagi penawaran umum perdana lebih tinggi di pasar saham negara berkembang dibandingkan dengan di pasar saham negara maju.</w:t>
      </w:r>
    </w:p>
    <w:p w:rsidR="00B67DBE" w:rsidRPr="00FE6DFA" w:rsidRDefault="00B67DBE" w:rsidP="00B67DBE">
      <w:pPr>
        <w:pStyle w:val="NoSpacing"/>
        <w:spacing w:line="276" w:lineRule="auto"/>
        <w:jc w:val="both"/>
        <w:rPr>
          <w:rFonts w:ascii="Times New Roman" w:hAnsi="Times New Roman"/>
          <w:sz w:val="24"/>
          <w:szCs w:val="24"/>
        </w:rPr>
      </w:pPr>
      <w:r w:rsidRPr="00FE6DFA">
        <w:rPr>
          <w:rFonts w:ascii="Times New Roman" w:hAnsi="Times New Roman"/>
          <w:sz w:val="24"/>
          <w:szCs w:val="24"/>
        </w:rPr>
        <w:tab/>
        <w:t xml:space="preserve">I Dewa Ayu Kristiantari (2013) menyatakan bahwa </w:t>
      </w:r>
      <w:r w:rsidRPr="00FE6DFA">
        <w:rPr>
          <w:rFonts w:ascii="Times New Roman" w:hAnsi="Times New Roman"/>
          <w:i/>
          <w:sz w:val="24"/>
          <w:szCs w:val="24"/>
        </w:rPr>
        <w:t xml:space="preserve"> </w:t>
      </w:r>
      <w:r w:rsidRPr="00FE6DFA">
        <w:rPr>
          <w:rFonts w:ascii="Times New Roman" w:hAnsi="Times New Roman"/>
          <w:sz w:val="24"/>
          <w:szCs w:val="24"/>
        </w:rPr>
        <w:t xml:space="preserve">fenomena </w:t>
      </w:r>
      <w:r w:rsidRPr="00FE6DFA">
        <w:rPr>
          <w:rFonts w:ascii="Times New Roman" w:hAnsi="Times New Roman"/>
          <w:i/>
          <w:sz w:val="24"/>
          <w:szCs w:val="24"/>
        </w:rPr>
        <w:t xml:space="preserve">underpricing </w:t>
      </w:r>
      <w:r w:rsidRPr="00FE6DFA">
        <w:rPr>
          <w:rFonts w:ascii="Times New Roman" w:hAnsi="Times New Roman"/>
          <w:sz w:val="24"/>
          <w:szCs w:val="24"/>
        </w:rPr>
        <w:t xml:space="preserve">terjadi di pasar modal berbagai negara di antaranya Amerika Serikat, Inggris, Australia, Afrika Selatan, China, Malaysia dan Indonesia. </w:t>
      </w:r>
    </w:p>
    <w:p w:rsidR="00B67DBE" w:rsidRPr="00FE6DFA" w:rsidRDefault="00B67DBE" w:rsidP="00B67DBE">
      <w:pPr>
        <w:pStyle w:val="NoSpacing"/>
        <w:spacing w:line="276" w:lineRule="auto"/>
        <w:jc w:val="both"/>
        <w:rPr>
          <w:rFonts w:ascii="Times New Roman" w:hAnsi="Times New Roman"/>
          <w:sz w:val="24"/>
          <w:szCs w:val="24"/>
        </w:rPr>
      </w:pPr>
      <w:r w:rsidRPr="00FE6DFA">
        <w:rPr>
          <w:rFonts w:ascii="Times New Roman" w:hAnsi="Times New Roman"/>
          <w:sz w:val="24"/>
          <w:szCs w:val="24"/>
        </w:rPr>
        <w:t xml:space="preserve"> Fenomena </w:t>
      </w:r>
      <w:r w:rsidRPr="00FE6DFA">
        <w:rPr>
          <w:rFonts w:ascii="Times New Roman" w:hAnsi="Times New Roman"/>
          <w:i/>
          <w:sz w:val="24"/>
          <w:szCs w:val="24"/>
        </w:rPr>
        <w:t>underpricing</w:t>
      </w:r>
      <w:r w:rsidRPr="00FE6DFA">
        <w:rPr>
          <w:rFonts w:ascii="Times New Roman" w:hAnsi="Times New Roman"/>
          <w:sz w:val="24"/>
          <w:szCs w:val="24"/>
        </w:rPr>
        <w:t xml:space="preserve"> dilatarbelakangi oleh beberapa teori yang mendasari salah satunya adalah teori agensi. Adanya konflik kepentingan antara manajer sebagai agen dengan pemilik perusahaan sebagai </w:t>
      </w:r>
      <w:r w:rsidRPr="00FE6DFA">
        <w:rPr>
          <w:rFonts w:ascii="Times New Roman" w:hAnsi="Times New Roman"/>
          <w:i/>
          <w:sz w:val="24"/>
          <w:szCs w:val="24"/>
        </w:rPr>
        <w:t xml:space="preserve">principal </w:t>
      </w:r>
      <w:r w:rsidRPr="00FE6DFA">
        <w:rPr>
          <w:rFonts w:ascii="Times New Roman" w:hAnsi="Times New Roman"/>
          <w:sz w:val="24"/>
          <w:szCs w:val="24"/>
        </w:rPr>
        <w:t xml:space="preserve">dapat mengarah pada kondisi asimetri informasi. Asimetri </w:t>
      </w:r>
      <w:r w:rsidRPr="00FE6DFA">
        <w:rPr>
          <w:rFonts w:ascii="Times New Roman" w:hAnsi="Times New Roman"/>
          <w:sz w:val="24"/>
          <w:szCs w:val="24"/>
        </w:rPr>
        <w:lastRenderedPageBreak/>
        <w:t xml:space="preserve">informasi merupakan penjelasan tentang fenomenaa terjadinya </w:t>
      </w:r>
      <w:r w:rsidRPr="00FE6DFA">
        <w:rPr>
          <w:rFonts w:ascii="Times New Roman" w:hAnsi="Times New Roman"/>
          <w:i/>
          <w:sz w:val="24"/>
          <w:szCs w:val="24"/>
        </w:rPr>
        <w:t xml:space="preserve">underpricing. </w:t>
      </w:r>
      <w:r w:rsidRPr="00FE6DFA">
        <w:rPr>
          <w:rFonts w:ascii="Times New Roman" w:hAnsi="Times New Roman"/>
          <w:sz w:val="24"/>
          <w:szCs w:val="24"/>
        </w:rPr>
        <w:t xml:space="preserve">Apabila semua informasi yang dimiliki emiten dan investor sama maka tidak terjadi asimetri informasi. Dengan tidak ada asimetri informasi maka fenomena </w:t>
      </w:r>
      <w:r w:rsidRPr="00FE6DFA">
        <w:rPr>
          <w:rFonts w:ascii="Times New Roman" w:hAnsi="Times New Roman"/>
          <w:i/>
          <w:sz w:val="24"/>
          <w:szCs w:val="24"/>
        </w:rPr>
        <w:t xml:space="preserve">underpricing </w:t>
      </w:r>
      <w:r w:rsidRPr="00FE6DFA">
        <w:rPr>
          <w:rFonts w:ascii="Times New Roman" w:hAnsi="Times New Roman"/>
          <w:sz w:val="24"/>
          <w:szCs w:val="24"/>
        </w:rPr>
        <w:t xml:space="preserve">tidak terjadi. </w:t>
      </w:r>
    </w:p>
    <w:p w:rsidR="00B67DBE" w:rsidRPr="001421AD" w:rsidRDefault="00B67DBE" w:rsidP="00B67DBE">
      <w:pPr>
        <w:pStyle w:val="NoSpacing"/>
        <w:spacing w:line="276" w:lineRule="auto"/>
        <w:jc w:val="both"/>
        <w:rPr>
          <w:rFonts w:ascii="Times New Roman" w:hAnsi="Times New Roman"/>
          <w:sz w:val="24"/>
          <w:szCs w:val="24"/>
        </w:rPr>
      </w:pPr>
      <w:r w:rsidRPr="00FE6DFA">
        <w:tab/>
      </w:r>
      <w:r w:rsidRPr="008263CE">
        <w:rPr>
          <w:rFonts w:ascii="Times New Roman" w:hAnsi="Times New Roman"/>
          <w:sz w:val="24"/>
          <w:szCs w:val="24"/>
        </w:rPr>
        <w:t>Asimetri informasi juga terjadi antara penjamin emisi (</w:t>
      </w:r>
      <w:r w:rsidRPr="008263CE">
        <w:rPr>
          <w:rFonts w:ascii="Times New Roman" w:hAnsi="Times New Roman"/>
          <w:i/>
          <w:sz w:val="24"/>
          <w:szCs w:val="24"/>
        </w:rPr>
        <w:t xml:space="preserve">underwriter) </w:t>
      </w:r>
      <w:r w:rsidRPr="008263CE">
        <w:rPr>
          <w:rFonts w:ascii="Times New Roman" w:hAnsi="Times New Roman"/>
          <w:sz w:val="24"/>
          <w:szCs w:val="24"/>
        </w:rPr>
        <w:t xml:space="preserve">dan emiten, dimana </w:t>
      </w:r>
      <w:r w:rsidRPr="008263CE">
        <w:rPr>
          <w:rFonts w:ascii="Times New Roman" w:hAnsi="Times New Roman"/>
          <w:i/>
          <w:sz w:val="24"/>
          <w:szCs w:val="24"/>
        </w:rPr>
        <w:t>underwriter</w:t>
      </w:r>
      <w:r w:rsidRPr="008263CE">
        <w:rPr>
          <w:rFonts w:ascii="Times New Roman" w:hAnsi="Times New Roman"/>
          <w:sz w:val="24"/>
          <w:szCs w:val="24"/>
        </w:rPr>
        <w:t xml:space="preserve"> memiliki informasi yang lebih memadai mengenai kondisi pasar daripada emiten maka dari itu, dapat disimpulkan bahwa semakin tinggi asimetri informasi maka semakin tinggi peluang terjadinya </w:t>
      </w:r>
      <w:r w:rsidRPr="008263CE">
        <w:rPr>
          <w:rFonts w:ascii="Times New Roman" w:hAnsi="Times New Roman"/>
          <w:i/>
          <w:sz w:val="24"/>
          <w:szCs w:val="24"/>
        </w:rPr>
        <w:t>underpricing.</w:t>
      </w:r>
      <w:r w:rsidRPr="008263CE">
        <w:rPr>
          <w:rFonts w:ascii="Times New Roman" w:hAnsi="Times New Roman"/>
          <w:i/>
          <w:sz w:val="24"/>
          <w:szCs w:val="24"/>
          <w:u w:val="single"/>
        </w:rPr>
        <w:t xml:space="preserve"> </w:t>
      </w:r>
      <w:r w:rsidRPr="008263CE">
        <w:rPr>
          <w:rFonts w:ascii="Times New Roman" w:hAnsi="Times New Roman"/>
          <w:sz w:val="24"/>
          <w:szCs w:val="24"/>
        </w:rPr>
        <w:t xml:space="preserve">Untuk memperkecil informasi yang tidak simetris ini maka pemilik lama harus menyampaikan sinyal tentang prospek perusahaan yang ditawarkan kepada investor. Sinyal-sinyal tersebut dituangkan dalam sebuah </w:t>
      </w:r>
      <w:r w:rsidRPr="008263CE">
        <w:rPr>
          <w:rFonts w:ascii="Times New Roman" w:hAnsi="Times New Roman"/>
          <w:i/>
          <w:sz w:val="24"/>
          <w:szCs w:val="24"/>
        </w:rPr>
        <w:t xml:space="preserve">prospektus. </w:t>
      </w:r>
      <w:r w:rsidRPr="008263CE">
        <w:rPr>
          <w:rFonts w:ascii="Times New Roman" w:hAnsi="Times New Roman"/>
          <w:sz w:val="24"/>
          <w:szCs w:val="24"/>
        </w:rPr>
        <w:t>Dengan menganalisis sinyal yang</w:t>
      </w:r>
      <w:r w:rsidRPr="001421AD">
        <w:rPr>
          <w:rFonts w:ascii="Times New Roman" w:hAnsi="Times New Roman"/>
          <w:sz w:val="24"/>
          <w:szCs w:val="24"/>
        </w:rPr>
        <w:t xml:space="preserve"> disampaikan oleh pemilik lama maka investor dapat mengetahui prospek perusahaan di masa depan. </w:t>
      </w:r>
    </w:p>
    <w:p w:rsidR="00B67DBE" w:rsidRPr="001421AD" w:rsidRDefault="00B67DBE" w:rsidP="00B67DBE">
      <w:pPr>
        <w:pStyle w:val="NoSpacing"/>
        <w:spacing w:line="276" w:lineRule="auto"/>
        <w:jc w:val="both"/>
        <w:rPr>
          <w:rFonts w:ascii="Times New Roman" w:hAnsi="Times New Roman"/>
          <w:sz w:val="24"/>
          <w:szCs w:val="24"/>
        </w:rPr>
      </w:pPr>
      <w:r w:rsidRPr="001421AD">
        <w:rPr>
          <w:rFonts w:ascii="Times New Roman" w:hAnsi="Times New Roman"/>
          <w:sz w:val="24"/>
          <w:szCs w:val="24"/>
        </w:rPr>
        <w:tab/>
        <w:t>Sebelum menetapkan harga penawaran saham (</w:t>
      </w:r>
      <w:r w:rsidRPr="001421AD">
        <w:rPr>
          <w:rFonts w:ascii="Times New Roman" w:hAnsi="Times New Roman"/>
          <w:i/>
          <w:sz w:val="24"/>
          <w:szCs w:val="24"/>
        </w:rPr>
        <w:t xml:space="preserve">offering price), </w:t>
      </w:r>
      <w:r w:rsidRPr="001421AD">
        <w:rPr>
          <w:rFonts w:ascii="Times New Roman" w:hAnsi="Times New Roman"/>
          <w:sz w:val="24"/>
          <w:szCs w:val="24"/>
        </w:rPr>
        <w:t>emiten dan penjamin emisi (</w:t>
      </w:r>
      <w:r w:rsidRPr="001421AD">
        <w:rPr>
          <w:rFonts w:ascii="Times New Roman" w:hAnsi="Times New Roman"/>
          <w:i/>
          <w:sz w:val="24"/>
          <w:szCs w:val="24"/>
        </w:rPr>
        <w:t xml:space="preserve">underwriter) </w:t>
      </w:r>
      <w:r w:rsidRPr="001421AD">
        <w:rPr>
          <w:rFonts w:ascii="Times New Roman" w:hAnsi="Times New Roman"/>
          <w:sz w:val="24"/>
          <w:szCs w:val="24"/>
        </w:rPr>
        <w:t>akan memperhatikan kondisi pasar melalui IHSG (Indeks Harga Saham Gabungan) guna melihat pergerakkan harga saham pada saat sebelum perusahaan melakukan IPO. Harga saham yang akan dijual di pasar (</w:t>
      </w:r>
      <w:r w:rsidRPr="001421AD">
        <w:rPr>
          <w:rFonts w:ascii="Times New Roman" w:hAnsi="Times New Roman"/>
          <w:i/>
          <w:sz w:val="24"/>
          <w:szCs w:val="24"/>
        </w:rPr>
        <w:t xml:space="preserve">offering price) </w:t>
      </w:r>
      <w:r w:rsidRPr="001421AD">
        <w:rPr>
          <w:rFonts w:ascii="Times New Roman" w:hAnsi="Times New Roman"/>
          <w:sz w:val="24"/>
          <w:szCs w:val="24"/>
        </w:rPr>
        <w:t xml:space="preserve">ditentukan terlebih dahulu oleh emiten (perusahaan yang akan </w:t>
      </w:r>
      <w:r w:rsidRPr="001421AD">
        <w:rPr>
          <w:rFonts w:ascii="Times New Roman" w:hAnsi="Times New Roman"/>
          <w:i/>
          <w:sz w:val="24"/>
          <w:szCs w:val="24"/>
        </w:rPr>
        <w:t>go public</w:t>
      </w:r>
      <w:r w:rsidRPr="001421AD">
        <w:rPr>
          <w:rFonts w:ascii="Times New Roman" w:hAnsi="Times New Roman"/>
          <w:sz w:val="24"/>
          <w:szCs w:val="24"/>
        </w:rPr>
        <w:t>)</w:t>
      </w:r>
      <w:r w:rsidRPr="001421AD">
        <w:rPr>
          <w:rFonts w:ascii="Times New Roman" w:hAnsi="Times New Roman"/>
          <w:i/>
          <w:sz w:val="24"/>
          <w:szCs w:val="24"/>
        </w:rPr>
        <w:t xml:space="preserve"> </w:t>
      </w:r>
      <w:r w:rsidRPr="001421AD">
        <w:rPr>
          <w:rFonts w:ascii="Times New Roman" w:hAnsi="Times New Roman"/>
          <w:sz w:val="24"/>
          <w:szCs w:val="24"/>
        </w:rPr>
        <w:t>dengan penjamin emisi (</w:t>
      </w:r>
      <w:r w:rsidRPr="001421AD">
        <w:rPr>
          <w:rFonts w:ascii="Times New Roman" w:hAnsi="Times New Roman"/>
          <w:i/>
          <w:sz w:val="24"/>
          <w:szCs w:val="24"/>
        </w:rPr>
        <w:t>underwriter</w:t>
      </w:r>
      <w:r w:rsidRPr="001421AD">
        <w:rPr>
          <w:rFonts w:ascii="Times New Roman" w:hAnsi="Times New Roman"/>
          <w:sz w:val="24"/>
          <w:szCs w:val="24"/>
        </w:rPr>
        <w:t>).</w:t>
      </w:r>
    </w:p>
    <w:p w:rsidR="00B67DBE" w:rsidRPr="00B67DBE" w:rsidRDefault="00B67DBE" w:rsidP="00B67DBE">
      <w:pPr>
        <w:spacing w:line="276" w:lineRule="auto"/>
        <w:jc w:val="both"/>
        <w:rPr>
          <w:color w:val="FF0000"/>
        </w:rPr>
      </w:pPr>
      <w:r w:rsidRPr="001421AD">
        <w:tab/>
      </w:r>
      <w:proofErr w:type="gramStart"/>
      <w:r w:rsidRPr="001421AD">
        <w:t xml:space="preserve">Dalam menentukan </w:t>
      </w:r>
      <w:r w:rsidRPr="001421AD">
        <w:rPr>
          <w:i/>
        </w:rPr>
        <w:t xml:space="preserve">offering price, </w:t>
      </w:r>
      <w:r w:rsidRPr="001421AD">
        <w:t xml:space="preserve">emiten dan </w:t>
      </w:r>
      <w:r w:rsidRPr="001421AD">
        <w:rPr>
          <w:i/>
        </w:rPr>
        <w:t xml:space="preserve">underwriter </w:t>
      </w:r>
      <w:r w:rsidRPr="001421AD">
        <w:t>sering kali menghadapi kesulitan untuk menentukan harga wajar.</w:t>
      </w:r>
      <w:proofErr w:type="gramEnd"/>
      <w:r w:rsidRPr="001421AD">
        <w:t xml:space="preserve"> Dalam tipe penjaminan </w:t>
      </w:r>
      <w:r w:rsidRPr="001421AD">
        <w:rPr>
          <w:i/>
        </w:rPr>
        <w:t xml:space="preserve">full commitment, underwriter </w:t>
      </w:r>
      <w:r w:rsidRPr="001421AD">
        <w:t xml:space="preserve">cenderung menetapkan </w:t>
      </w:r>
      <w:r w:rsidRPr="001421AD">
        <w:rPr>
          <w:i/>
        </w:rPr>
        <w:t xml:space="preserve">offering price </w:t>
      </w:r>
      <w:r w:rsidRPr="001421AD">
        <w:t xml:space="preserve">lebih rendah dari yang diharapkan oleh emiten dengan </w:t>
      </w:r>
      <w:r w:rsidRPr="001421AD">
        <w:lastRenderedPageBreak/>
        <w:t xml:space="preserve">tujuan menekan risiko yang ditanggungnya, bila saham yang ditawarkan pada saat penawaran umum tidak habis terjual. Setelah penawaran umum tersebut selanjutnya harga saham di pasar sekunder akan ditentukan oleh mekanisme pasar (kekuatan tarik-menarik permintaan dan penawaran </w:t>
      </w:r>
      <w:proofErr w:type="gramStart"/>
      <w:r w:rsidRPr="001421AD">
        <w:t>pasar )</w:t>
      </w:r>
      <w:proofErr w:type="gramEnd"/>
      <w:r w:rsidRPr="001421AD">
        <w:t xml:space="preserve"> di Indonesia </w:t>
      </w:r>
      <w:r w:rsidRPr="001421AD">
        <w:rPr>
          <w:i/>
        </w:rPr>
        <w:t xml:space="preserve">Stock Exchange </w:t>
      </w:r>
      <w:r w:rsidRPr="001421AD">
        <w:t>(IDX)</w:t>
      </w:r>
    </w:p>
    <w:p w:rsidR="00B67DBE" w:rsidRPr="00B67DBE" w:rsidRDefault="00B67DBE" w:rsidP="00B67DBE">
      <w:pPr>
        <w:pStyle w:val="NoSpacing"/>
        <w:spacing w:line="276" w:lineRule="auto"/>
        <w:jc w:val="both"/>
        <w:rPr>
          <w:rFonts w:ascii="Times New Roman" w:eastAsia="Times New Roman" w:hAnsi="Times New Roman"/>
          <w:b/>
          <w:bCs/>
          <w:sz w:val="24"/>
          <w:szCs w:val="24"/>
          <w:lang w:val="en-US"/>
        </w:rPr>
      </w:pPr>
      <w:r w:rsidRPr="00B67DBE">
        <w:rPr>
          <w:rFonts w:ascii="Times New Roman" w:eastAsia="Times New Roman" w:hAnsi="Times New Roman"/>
          <w:b/>
          <w:bCs/>
          <w:sz w:val="24"/>
          <w:szCs w:val="24"/>
          <w:lang w:val="en-US"/>
        </w:rPr>
        <w:t>Rumusan Masalah</w:t>
      </w:r>
    </w:p>
    <w:p w:rsidR="00B67DBE" w:rsidRPr="00B67DBE" w:rsidRDefault="00B67DBE" w:rsidP="00B67DBE">
      <w:pPr>
        <w:pStyle w:val="NoSpacing"/>
        <w:spacing w:line="276" w:lineRule="auto"/>
        <w:jc w:val="both"/>
        <w:rPr>
          <w:rFonts w:ascii="Times New Roman" w:eastAsia="Times New Roman" w:hAnsi="Times New Roman"/>
          <w:sz w:val="24"/>
          <w:szCs w:val="24"/>
          <w:lang w:val="en-US"/>
        </w:rPr>
      </w:pPr>
      <w:r w:rsidRPr="00B67DBE">
        <w:rPr>
          <w:rFonts w:ascii="Times New Roman" w:eastAsia="Times New Roman" w:hAnsi="Times New Roman"/>
          <w:sz w:val="24"/>
          <w:szCs w:val="24"/>
        </w:rPr>
        <w:tab/>
        <w:t xml:space="preserve">Berdasarkan latar belakang </w:t>
      </w:r>
      <w:r w:rsidRPr="00B67DBE">
        <w:rPr>
          <w:rFonts w:ascii="Times New Roman" w:eastAsia="Times New Roman" w:hAnsi="Times New Roman"/>
          <w:sz w:val="24"/>
          <w:szCs w:val="24"/>
          <w:lang w:val="en-US"/>
        </w:rPr>
        <w:t xml:space="preserve">yang telah diuraikanmaka permasalahan yang dapat dirumuskan pada penelitian ini adalah  : </w:t>
      </w:r>
    </w:p>
    <w:p w:rsidR="00B67DBE" w:rsidRPr="00B67DBE" w:rsidRDefault="00B67DBE" w:rsidP="00B67DBE">
      <w:pPr>
        <w:pStyle w:val="NoSpacing"/>
        <w:spacing w:line="276" w:lineRule="auto"/>
        <w:jc w:val="both"/>
        <w:rPr>
          <w:rFonts w:ascii="Times New Roman" w:hAnsi="Times New Roman"/>
          <w:sz w:val="24"/>
          <w:szCs w:val="24"/>
        </w:rPr>
      </w:pPr>
      <w:r w:rsidRPr="00B67DBE">
        <w:rPr>
          <w:rFonts w:ascii="Times New Roman" w:eastAsia="Times New Roman" w:hAnsi="Times New Roman"/>
          <w:sz w:val="24"/>
          <w:szCs w:val="24"/>
        </w:rPr>
        <w:t xml:space="preserve">1. Berapa besar pengaruh </w:t>
      </w:r>
      <w:r w:rsidRPr="00B67DBE">
        <w:rPr>
          <w:rFonts w:ascii="Times New Roman" w:hAnsi="Times New Roman"/>
          <w:sz w:val="24"/>
          <w:szCs w:val="24"/>
        </w:rPr>
        <w:t>IHSG (Indeks Harga Saham Gabungan), harga penawaran saham (</w:t>
      </w:r>
      <w:r w:rsidRPr="00B67DBE">
        <w:rPr>
          <w:rFonts w:ascii="Times New Roman" w:hAnsi="Times New Roman"/>
          <w:i/>
          <w:sz w:val="24"/>
          <w:szCs w:val="24"/>
        </w:rPr>
        <w:t>offering price</w:t>
      </w:r>
      <w:r w:rsidRPr="00B67DBE">
        <w:rPr>
          <w:rFonts w:ascii="Times New Roman" w:hAnsi="Times New Roman"/>
          <w:sz w:val="24"/>
          <w:szCs w:val="24"/>
        </w:rPr>
        <w:t>), jangka waktu penawaran (</w:t>
      </w:r>
      <w:r w:rsidRPr="00B67DBE">
        <w:rPr>
          <w:rFonts w:ascii="Times New Roman" w:hAnsi="Times New Roman"/>
          <w:i/>
          <w:sz w:val="24"/>
          <w:szCs w:val="24"/>
        </w:rPr>
        <w:t>offer timing)</w:t>
      </w:r>
      <w:r w:rsidRPr="00B67DBE">
        <w:rPr>
          <w:rFonts w:ascii="Times New Roman" w:hAnsi="Times New Roman"/>
          <w:sz w:val="24"/>
          <w:szCs w:val="24"/>
        </w:rPr>
        <w:t>, dan pertumbuhan pendapatan (</w:t>
      </w:r>
      <w:r w:rsidRPr="00B67DBE">
        <w:rPr>
          <w:rFonts w:ascii="Times New Roman" w:hAnsi="Times New Roman"/>
          <w:i/>
          <w:sz w:val="24"/>
          <w:szCs w:val="24"/>
        </w:rPr>
        <w:t xml:space="preserve">revenues growth) </w:t>
      </w:r>
      <w:r w:rsidRPr="00B67DBE">
        <w:rPr>
          <w:rFonts w:ascii="Times New Roman" w:eastAsia="Times New Roman" w:hAnsi="Times New Roman"/>
          <w:sz w:val="24"/>
          <w:szCs w:val="24"/>
        </w:rPr>
        <w:t xml:space="preserve">secara parsial </w:t>
      </w:r>
      <w:r w:rsidRPr="00B67DBE">
        <w:rPr>
          <w:rFonts w:ascii="Times New Roman" w:hAnsi="Times New Roman"/>
          <w:sz w:val="24"/>
          <w:szCs w:val="24"/>
        </w:rPr>
        <w:t xml:space="preserve">terhadap </w:t>
      </w:r>
      <w:r w:rsidRPr="00B67DBE">
        <w:rPr>
          <w:rFonts w:ascii="Times New Roman" w:hAnsi="Times New Roman"/>
          <w:i/>
          <w:sz w:val="24"/>
          <w:szCs w:val="24"/>
        </w:rPr>
        <w:t xml:space="preserve">underpricing </w:t>
      </w:r>
      <w:r w:rsidRPr="00B67DBE">
        <w:rPr>
          <w:rFonts w:ascii="Times New Roman" w:hAnsi="Times New Roman"/>
          <w:sz w:val="24"/>
          <w:szCs w:val="24"/>
        </w:rPr>
        <w:t xml:space="preserve">pada perusahaan yang melakukan IPO di Indonesia </w:t>
      </w:r>
      <w:r w:rsidRPr="00B67DBE">
        <w:rPr>
          <w:rFonts w:ascii="Times New Roman" w:hAnsi="Times New Roman"/>
          <w:i/>
          <w:sz w:val="24"/>
          <w:szCs w:val="24"/>
        </w:rPr>
        <w:t xml:space="preserve">Stock Exchange </w:t>
      </w:r>
      <w:r w:rsidRPr="00B67DBE">
        <w:rPr>
          <w:rFonts w:ascii="Times New Roman" w:hAnsi="Times New Roman"/>
          <w:sz w:val="24"/>
          <w:szCs w:val="24"/>
        </w:rPr>
        <w:t>(IDX) ?</w:t>
      </w:r>
    </w:p>
    <w:p w:rsidR="00B67DBE" w:rsidRPr="00B67DBE" w:rsidRDefault="00B67DBE" w:rsidP="00B67DBE">
      <w:pPr>
        <w:pStyle w:val="NoSpacing"/>
        <w:spacing w:line="276" w:lineRule="auto"/>
        <w:jc w:val="both"/>
        <w:rPr>
          <w:rFonts w:ascii="Times New Roman" w:hAnsi="Times New Roman"/>
          <w:sz w:val="24"/>
          <w:szCs w:val="24"/>
        </w:rPr>
      </w:pPr>
      <w:r w:rsidRPr="00B67DBE">
        <w:rPr>
          <w:rFonts w:ascii="Times New Roman" w:hAnsi="Times New Roman"/>
          <w:sz w:val="24"/>
          <w:szCs w:val="24"/>
        </w:rPr>
        <w:t xml:space="preserve">2. </w:t>
      </w:r>
      <w:r w:rsidRPr="00B67DBE">
        <w:rPr>
          <w:rFonts w:ascii="Times New Roman" w:eastAsia="Times New Roman" w:hAnsi="Times New Roman"/>
          <w:sz w:val="24"/>
          <w:szCs w:val="24"/>
        </w:rPr>
        <w:t xml:space="preserve">Berapa besar pengaruh </w:t>
      </w:r>
      <w:r w:rsidRPr="00B67DBE">
        <w:rPr>
          <w:rFonts w:ascii="Times New Roman" w:hAnsi="Times New Roman"/>
          <w:sz w:val="24"/>
          <w:szCs w:val="24"/>
        </w:rPr>
        <w:t>IHSG (Indeks Harga Saham Gabungan) , harga penawaran saham (</w:t>
      </w:r>
      <w:r w:rsidRPr="00B67DBE">
        <w:rPr>
          <w:rFonts w:ascii="Times New Roman" w:hAnsi="Times New Roman"/>
          <w:i/>
          <w:sz w:val="24"/>
          <w:szCs w:val="24"/>
        </w:rPr>
        <w:t>offering price</w:t>
      </w:r>
      <w:r w:rsidRPr="00B67DBE">
        <w:rPr>
          <w:rFonts w:ascii="Times New Roman" w:hAnsi="Times New Roman"/>
          <w:sz w:val="24"/>
          <w:szCs w:val="24"/>
        </w:rPr>
        <w:t>), jangka waktu penawaran (</w:t>
      </w:r>
      <w:r w:rsidRPr="00B67DBE">
        <w:rPr>
          <w:rFonts w:ascii="Times New Roman" w:hAnsi="Times New Roman"/>
          <w:i/>
          <w:sz w:val="24"/>
          <w:szCs w:val="24"/>
        </w:rPr>
        <w:t>offer timing)</w:t>
      </w:r>
      <w:r w:rsidRPr="00B67DBE">
        <w:rPr>
          <w:rFonts w:ascii="Times New Roman" w:hAnsi="Times New Roman"/>
          <w:sz w:val="24"/>
          <w:szCs w:val="24"/>
        </w:rPr>
        <w:t>, dan pertumbuhan pendapatan (</w:t>
      </w:r>
      <w:r w:rsidRPr="00B67DBE">
        <w:rPr>
          <w:rFonts w:ascii="Times New Roman" w:hAnsi="Times New Roman"/>
          <w:i/>
          <w:sz w:val="24"/>
          <w:szCs w:val="24"/>
        </w:rPr>
        <w:t xml:space="preserve">revenues growth) </w:t>
      </w:r>
      <w:r w:rsidRPr="00B67DBE">
        <w:rPr>
          <w:rFonts w:ascii="Times New Roman" w:eastAsia="Times New Roman" w:hAnsi="Times New Roman"/>
          <w:sz w:val="24"/>
          <w:szCs w:val="24"/>
        </w:rPr>
        <w:t>secara simultan</w:t>
      </w:r>
      <w:r w:rsidRPr="00B67DBE">
        <w:rPr>
          <w:rFonts w:ascii="Times New Roman" w:hAnsi="Times New Roman"/>
          <w:i/>
          <w:sz w:val="24"/>
          <w:szCs w:val="24"/>
        </w:rPr>
        <w:t xml:space="preserve"> </w:t>
      </w:r>
      <w:r w:rsidRPr="00B67DBE">
        <w:rPr>
          <w:rFonts w:ascii="Times New Roman" w:hAnsi="Times New Roman"/>
          <w:sz w:val="24"/>
          <w:szCs w:val="24"/>
        </w:rPr>
        <w:t xml:space="preserve">terhadap </w:t>
      </w:r>
      <w:r w:rsidRPr="00B67DBE">
        <w:rPr>
          <w:rFonts w:ascii="Times New Roman" w:hAnsi="Times New Roman"/>
          <w:i/>
          <w:sz w:val="24"/>
          <w:szCs w:val="24"/>
        </w:rPr>
        <w:t xml:space="preserve">underpricing </w:t>
      </w:r>
      <w:r w:rsidRPr="00B67DBE">
        <w:rPr>
          <w:rFonts w:ascii="Times New Roman" w:hAnsi="Times New Roman"/>
          <w:sz w:val="24"/>
          <w:szCs w:val="24"/>
        </w:rPr>
        <w:t xml:space="preserve">pada perusahaan yang melakukan IPO di Indonesia </w:t>
      </w:r>
      <w:r w:rsidRPr="00B67DBE">
        <w:rPr>
          <w:rFonts w:ascii="Times New Roman" w:hAnsi="Times New Roman"/>
          <w:i/>
          <w:sz w:val="24"/>
          <w:szCs w:val="24"/>
        </w:rPr>
        <w:t xml:space="preserve">Stock Exchange </w:t>
      </w:r>
      <w:r w:rsidRPr="00B67DBE">
        <w:rPr>
          <w:rFonts w:ascii="Times New Roman" w:hAnsi="Times New Roman"/>
          <w:sz w:val="24"/>
          <w:szCs w:val="24"/>
        </w:rPr>
        <w:t>(IDX) ?</w:t>
      </w:r>
    </w:p>
    <w:p w:rsidR="00B67DBE" w:rsidRPr="00B67DBE" w:rsidRDefault="00B67DBE" w:rsidP="00B67DBE">
      <w:pPr>
        <w:pStyle w:val="NoSpacing"/>
        <w:spacing w:line="276" w:lineRule="auto"/>
        <w:jc w:val="both"/>
        <w:rPr>
          <w:rFonts w:ascii="Times New Roman" w:hAnsi="Times New Roman"/>
          <w:sz w:val="24"/>
          <w:szCs w:val="24"/>
        </w:rPr>
      </w:pPr>
    </w:p>
    <w:p w:rsidR="00B67DBE" w:rsidRPr="00B67DBE" w:rsidRDefault="00B67DBE" w:rsidP="00B67DBE">
      <w:pPr>
        <w:tabs>
          <w:tab w:val="left" w:pos="8931"/>
        </w:tabs>
        <w:spacing w:line="276" w:lineRule="auto"/>
        <w:ind w:right="95"/>
        <w:jc w:val="both"/>
        <w:rPr>
          <w:b/>
        </w:rPr>
      </w:pPr>
      <w:r w:rsidRPr="00B67DBE">
        <w:rPr>
          <w:b/>
        </w:rPr>
        <w:t>Tujuan Penelitian</w:t>
      </w:r>
    </w:p>
    <w:p w:rsidR="00B67DBE" w:rsidRPr="00B67DBE" w:rsidRDefault="00B67DBE" w:rsidP="00B67DBE">
      <w:pPr>
        <w:pStyle w:val="NoSpacing"/>
        <w:spacing w:line="276" w:lineRule="auto"/>
        <w:jc w:val="both"/>
        <w:rPr>
          <w:rFonts w:ascii="Times New Roman" w:hAnsi="Times New Roman"/>
          <w:sz w:val="24"/>
          <w:szCs w:val="24"/>
        </w:rPr>
      </w:pPr>
      <w:r w:rsidRPr="00B67DBE">
        <w:rPr>
          <w:rFonts w:ascii="Times New Roman" w:hAnsi="Times New Roman"/>
          <w:sz w:val="24"/>
          <w:szCs w:val="24"/>
        </w:rPr>
        <w:t>Berdasarkan rumusan masalah</w:t>
      </w:r>
      <w:r w:rsidRPr="00B67DBE">
        <w:rPr>
          <w:rFonts w:ascii="Times New Roman" w:hAnsi="Times New Roman"/>
          <w:sz w:val="24"/>
          <w:szCs w:val="24"/>
          <w:lang w:val="en-US"/>
        </w:rPr>
        <w:t xml:space="preserve"> yang ada</w:t>
      </w:r>
      <w:r w:rsidRPr="00B67DBE">
        <w:rPr>
          <w:rFonts w:ascii="Times New Roman" w:hAnsi="Times New Roman"/>
          <w:sz w:val="24"/>
          <w:szCs w:val="24"/>
        </w:rPr>
        <w:t>, maka tujuan penelitian ini adalah</w:t>
      </w:r>
      <w:r w:rsidRPr="00B67DBE">
        <w:rPr>
          <w:rFonts w:ascii="Times New Roman" w:hAnsi="Times New Roman"/>
          <w:sz w:val="24"/>
          <w:szCs w:val="24"/>
          <w:lang w:val="en-US"/>
        </w:rPr>
        <w:t xml:space="preserve"> sebagai berikut</w:t>
      </w:r>
      <w:r w:rsidRPr="00B67DBE">
        <w:rPr>
          <w:rFonts w:ascii="Times New Roman" w:hAnsi="Times New Roman"/>
          <w:sz w:val="24"/>
          <w:szCs w:val="24"/>
        </w:rPr>
        <w:t xml:space="preserve"> :</w:t>
      </w:r>
    </w:p>
    <w:p w:rsidR="00B67DBE" w:rsidRPr="00B67DBE" w:rsidRDefault="00B67DBE" w:rsidP="00B67DBE">
      <w:pPr>
        <w:pStyle w:val="NoSpacing"/>
        <w:spacing w:line="276" w:lineRule="auto"/>
        <w:jc w:val="both"/>
        <w:rPr>
          <w:rFonts w:ascii="Times New Roman" w:hAnsi="Times New Roman"/>
          <w:sz w:val="24"/>
          <w:szCs w:val="24"/>
        </w:rPr>
      </w:pPr>
      <w:r w:rsidRPr="00B67DBE">
        <w:rPr>
          <w:rFonts w:ascii="Times New Roman" w:eastAsia="Times New Roman" w:hAnsi="Times New Roman"/>
          <w:sz w:val="24"/>
          <w:szCs w:val="24"/>
        </w:rPr>
        <w:t xml:space="preserve">1. Untuk mengetahui </w:t>
      </w:r>
      <w:r w:rsidRPr="00B67DBE">
        <w:rPr>
          <w:rFonts w:ascii="Times New Roman" w:hAnsi="Times New Roman"/>
          <w:sz w:val="24"/>
          <w:szCs w:val="24"/>
        </w:rPr>
        <w:t>IHSG (Indeks Harga Saham Gabungan) , harga penawaran saham (</w:t>
      </w:r>
      <w:r w:rsidRPr="00B67DBE">
        <w:rPr>
          <w:rFonts w:ascii="Times New Roman" w:hAnsi="Times New Roman"/>
          <w:i/>
          <w:sz w:val="24"/>
          <w:szCs w:val="24"/>
        </w:rPr>
        <w:t>offering price</w:t>
      </w:r>
      <w:r w:rsidRPr="00B67DBE">
        <w:rPr>
          <w:rFonts w:ascii="Times New Roman" w:hAnsi="Times New Roman"/>
          <w:sz w:val="24"/>
          <w:szCs w:val="24"/>
        </w:rPr>
        <w:t>), jangka waktu penawaran (</w:t>
      </w:r>
      <w:r w:rsidRPr="00B67DBE">
        <w:rPr>
          <w:rFonts w:ascii="Times New Roman" w:hAnsi="Times New Roman"/>
          <w:i/>
          <w:sz w:val="24"/>
          <w:szCs w:val="24"/>
        </w:rPr>
        <w:t>offer timing)</w:t>
      </w:r>
      <w:r w:rsidRPr="00B67DBE">
        <w:rPr>
          <w:rFonts w:ascii="Times New Roman" w:hAnsi="Times New Roman"/>
          <w:sz w:val="24"/>
          <w:szCs w:val="24"/>
        </w:rPr>
        <w:t>, dan pertumbuhan pendapatan (</w:t>
      </w:r>
      <w:r w:rsidRPr="00B67DBE">
        <w:rPr>
          <w:rFonts w:ascii="Times New Roman" w:hAnsi="Times New Roman"/>
          <w:i/>
          <w:sz w:val="24"/>
          <w:szCs w:val="24"/>
        </w:rPr>
        <w:t>revenues growth)</w:t>
      </w:r>
      <w:r w:rsidRPr="00B67DBE">
        <w:rPr>
          <w:rFonts w:ascii="Times New Roman" w:eastAsia="Times New Roman" w:hAnsi="Times New Roman"/>
          <w:sz w:val="24"/>
          <w:szCs w:val="24"/>
        </w:rPr>
        <w:t xml:space="preserve"> secara parsial</w:t>
      </w:r>
      <w:r w:rsidRPr="00B67DBE">
        <w:rPr>
          <w:rFonts w:ascii="Times New Roman" w:hAnsi="Times New Roman"/>
          <w:i/>
          <w:sz w:val="24"/>
          <w:szCs w:val="24"/>
        </w:rPr>
        <w:t xml:space="preserve"> </w:t>
      </w:r>
      <w:r w:rsidRPr="00B67DBE">
        <w:rPr>
          <w:rFonts w:ascii="Times New Roman" w:hAnsi="Times New Roman"/>
          <w:sz w:val="24"/>
          <w:szCs w:val="24"/>
        </w:rPr>
        <w:t xml:space="preserve">terhadap </w:t>
      </w:r>
      <w:r w:rsidRPr="00B67DBE">
        <w:rPr>
          <w:rFonts w:ascii="Times New Roman" w:hAnsi="Times New Roman"/>
          <w:i/>
          <w:sz w:val="24"/>
          <w:szCs w:val="24"/>
        </w:rPr>
        <w:t xml:space="preserve">underpricing </w:t>
      </w:r>
      <w:r w:rsidRPr="00B67DBE">
        <w:rPr>
          <w:rFonts w:ascii="Times New Roman" w:hAnsi="Times New Roman"/>
          <w:sz w:val="24"/>
          <w:szCs w:val="24"/>
        </w:rPr>
        <w:t xml:space="preserve">pada perusahaan yang </w:t>
      </w:r>
      <w:r w:rsidRPr="00B67DBE">
        <w:rPr>
          <w:rFonts w:ascii="Times New Roman" w:hAnsi="Times New Roman"/>
          <w:sz w:val="24"/>
          <w:szCs w:val="24"/>
        </w:rPr>
        <w:lastRenderedPageBreak/>
        <w:t xml:space="preserve">melakukan IPO di Indonesia </w:t>
      </w:r>
      <w:r w:rsidRPr="00B67DBE">
        <w:rPr>
          <w:rFonts w:ascii="Times New Roman" w:hAnsi="Times New Roman"/>
          <w:i/>
          <w:sz w:val="24"/>
          <w:szCs w:val="24"/>
        </w:rPr>
        <w:t xml:space="preserve">Stock Exchange </w:t>
      </w:r>
      <w:r w:rsidRPr="00B67DBE">
        <w:rPr>
          <w:rFonts w:ascii="Times New Roman" w:hAnsi="Times New Roman"/>
          <w:sz w:val="24"/>
          <w:szCs w:val="24"/>
        </w:rPr>
        <w:t xml:space="preserve">(IDX) </w:t>
      </w:r>
    </w:p>
    <w:p w:rsidR="00B67DBE" w:rsidRDefault="00B67DBE" w:rsidP="00B67DBE">
      <w:pPr>
        <w:spacing w:line="276" w:lineRule="auto"/>
        <w:jc w:val="both"/>
        <w:rPr>
          <w:color w:val="FF0000"/>
        </w:rPr>
      </w:pPr>
      <w:r w:rsidRPr="00B67DBE">
        <w:t>2. Untuk mengetahui IHSG (Indeks Harga Saham Gabungan), harga penawaran saham (</w:t>
      </w:r>
      <w:r w:rsidRPr="00B67DBE">
        <w:rPr>
          <w:i/>
        </w:rPr>
        <w:t>offering price</w:t>
      </w:r>
      <w:r w:rsidRPr="00B67DBE">
        <w:t>), jangka waktu penawaran (</w:t>
      </w:r>
      <w:r w:rsidRPr="00B67DBE">
        <w:rPr>
          <w:i/>
        </w:rPr>
        <w:t>offer timing)</w:t>
      </w:r>
      <w:r w:rsidRPr="00B67DBE">
        <w:t>, dan pertumbuhan pendapatan (</w:t>
      </w:r>
      <w:r w:rsidRPr="00B67DBE">
        <w:rPr>
          <w:i/>
        </w:rPr>
        <w:t>revenues growth)</w:t>
      </w:r>
      <w:r w:rsidRPr="00B67DBE">
        <w:t xml:space="preserve"> secara simultan</w:t>
      </w:r>
      <w:r w:rsidRPr="00B67DBE">
        <w:rPr>
          <w:i/>
        </w:rPr>
        <w:t xml:space="preserve"> </w:t>
      </w:r>
      <w:r w:rsidRPr="00B67DBE">
        <w:t xml:space="preserve">terhadap </w:t>
      </w:r>
      <w:r w:rsidRPr="00B67DBE">
        <w:rPr>
          <w:i/>
        </w:rPr>
        <w:t xml:space="preserve">underpricing </w:t>
      </w:r>
      <w:r w:rsidRPr="00B67DBE">
        <w:t xml:space="preserve">pada perusahaan yang melakukan IPO di Indonesia </w:t>
      </w:r>
      <w:r w:rsidRPr="00B67DBE">
        <w:rPr>
          <w:i/>
        </w:rPr>
        <w:t xml:space="preserve">Stock Exchange </w:t>
      </w:r>
      <w:r w:rsidRPr="00B67DBE">
        <w:t>(IDX)</w:t>
      </w:r>
    </w:p>
    <w:p w:rsidR="00B67DBE" w:rsidRDefault="00B67DBE" w:rsidP="00B67DBE">
      <w:pPr>
        <w:spacing w:line="276" w:lineRule="auto"/>
        <w:jc w:val="both"/>
        <w:rPr>
          <w:b/>
        </w:rPr>
      </w:pPr>
    </w:p>
    <w:p w:rsidR="005D77D4" w:rsidRPr="00B67DBE" w:rsidRDefault="005D77D4" w:rsidP="005D77D4">
      <w:pPr>
        <w:autoSpaceDE w:val="0"/>
        <w:autoSpaceDN w:val="0"/>
        <w:adjustRightInd w:val="0"/>
        <w:spacing w:line="276" w:lineRule="auto"/>
        <w:jc w:val="center"/>
        <w:rPr>
          <w:b/>
          <w:color w:val="FF0000"/>
        </w:rPr>
      </w:pPr>
      <w:r w:rsidRPr="00B67DBE">
        <w:rPr>
          <w:b/>
          <w:color w:val="FF0000"/>
        </w:rPr>
        <w:t>TINJAUAN PUSTAKA</w:t>
      </w:r>
    </w:p>
    <w:p w:rsidR="00B67DBE" w:rsidRPr="00B67DBE" w:rsidRDefault="00B67DBE" w:rsidP="00B67DBE">
      <w:pPr>
        <w:spacing w:line="276" w:lineRule="auto"/>
        <w:jc w:val="both"/>
        <w:rPr>
          <w:color w:val="FF0000"/>
        </w:rPr>
      </w:pPr>
      <w:r w:rsidRPr="00B67DBE">
        <w:rPr>
          <w:b/>
        </w:rPr>
        <w:t>Pasar Modal</w:t>
      </w:r>
    </w:p>
    <w:p w:rsidR="00B67DBE" w:rsidRPr="00B67DBE" w:rsidRDefault="00B67DBE" w:rsidP="00B67DBE">
      <w:pPr>
        <w:pStyle w:val="NoSpacing"/>
        <w:spacing w:line="276" w:lineRule="auto"/>
        <w:jc w:val="both"/>
        <w:rPr>
          <w:rFonts w:ascii="Times New Roman" w:hAnsi="Times New Roman"/>
          <w:sz w:val="24"/>
          <w:szCs w:val="24"/>
        </w:rPr>
      </w:pPr>
      <w:r w:rsidRPr="00B67DBE">
        <w:rPr>
          <w:rFonts w:ascii="Times New Roman" w:hAnsi="Times New Roman"/>
          <w:b/>
          <w:sz w:val="24"/>
          <w:szCs w:val="24"/>
        </w:rPr>
        <w:tab/>
      </w:r>
      <w:r w:rsidRPr="00B67DBE">
        <w:rPr>
          <w:rFonts w:ascii="Times New Roman" w:hAnsi="Times New Roman"/>
          <w:sz w:val="24"/>
          <w:szCs w:val="24"/>
        </w:rPr>
        <w:t xml:space="preserve">Menurut Widoatmodjo (2012:15) pasar modal dapat dikatakan pasar abstrak, dimana yang diperjualbelikan adalah dana-dana jangka panjang, yaitu dana yang keterikatannya dalam investasi lebih dari satu tahun. </w:t>
      </w:r>
    </w:p>
    <w:p w:rsidR="00B67DBE" w:rsidRPr="00B67DBE" w:rsidRDefault="00B67DBE" w:rsidP="00B67DBE">
      <w:pPr>
        <w:pStyle w:val="NoSpacing"/>
        <w:spacing w:line="276" w:lineRule="auto"/>
        <w:ind w:firstLine="720"/>
        <w:jc w:val="both"/>
        <w:rPr>
          <w:rFonts w:ascii="Times New Roman" w:hAnsi="Times New Roman"/>
          <w:sz w:val="24"/>
          <w:szCs w:val="24"/>
        </w:rPr>
      </w:pPr>
      <w:r w:rsidRPr="00B67DBE">
        <w:rPr>
          <w:rFonts w:ascii="Times New Roman" w:hAnsi="Times New Roman"/>
          <w:sz w:val="24"/>
          <w:szCs w:val="24"/>
        </w:rPr>
        <w:t>Menurut Fahmi(2015:48) menyatakan bahwa pasar modal adalah tempat dimana berbagai pihak khususnya perusahaan menjual saham (</w:t>
      </w:r>
      <w:r w:rsidRPr="00B67DBE">
        <w:rPr>
          <w:rFonts w:ascii="Times New Roman" w:hAnsi="Times New Roman"/>
          <w:i/>
          <w:sz w:val="24"/>
          <w:szCs w:val="24"/>
        </w:rPr>
        <w:t xml:space="preserve">stock) </w:t>
      </w:r>
      <w:r w:rsidRPr="00B67DBE">
        <w:rPr>
          <w:rFonts w:ascii="Times New Roman" w:hAnsi="Times New Roman"/>
          <w:sz w:val="24"/>
          <w:szCs w:val="24"/>
        </w:rPr>
        <w:t>dan obligasi (</w:t>
      </w:r>
      <w:r w:rsidRPr="00B67DBE">
        <w:rPr>
          <w:rFonts w:ascii="Times New Roman" w:hAnsi="Times New Roman"/>
          <w:i/>
          <w:sz w:val="24"/>
          <w:szCs w:val="24"/>
        </w:rPr>
        <w:t>bond</w:t>
      </w:r>
      <w:r w:rsidRPr="00B67DBE">
        <w:rPr>
          <w:rFonts w:ascii="Times New Roman" w:hAnsi="Times New Roman"/>
          <w:sz w:val="24"/>
          <w:szCs w:val="24"/>
        </w:rPr>
        <w:t>) dengan tujuan dari hasil penjualan tersebut nantinya akan dipergunakan sebagai tambahan dana atau untuk memperkuat modal perusahaan.</w:t>
      </w:r>
    </w:p>
    <w:p w:rsidR="00B67DBE" w:rsidRPr="00B67DBE" w:rsidRDefault="00B67DBE" w:rsidP="00B67DBE">
      <w:pPr>
        <w:pStyle w:val="NoSpacing"/>
        <w:spacing w:line="276" w:lineRule="auto"/>
        <w:jc w:val="both"/>
        <w:rPr>
          <w:rFonts w:ascii="Times New Roman" w:hAnsi="Times New Roman"/>
          <w:sz w:val="24"/>
          <w:szCs w:val="24"/>
        </w:rPr>
      </w:pPr>
      <w:r w:rsidRPr="00B67DBE">
        <w:rPr>
          <w:rFonts w:ascii="Times New Roman" w:hAnsi="Times New Roman"/>
          <w:sz w:val="24"/>
          <w:szCs w:val="24"/>
        </w:rPr>
        <w:t xml:space="preserve"> </w:t>
      </w:r>
      <w:r>
        <w:rPr>
          <w:rFonts w:ascii="Times New Roman" w:hAnsi="Times New Roman"/>
          <w:sz w:val="24"/>
          <w:szCs w:val="24"/>
          <w:lang w:val="en-US"/>
        </w:rPr>
        <w:tab/>
      </w:r>
      <w:r w:rsidRPr="00B67DBE">
        <w:rPr>
          <w:rFonts w:ascii="Times New Roman" w:hAnsi="Times New Roman"/>
          <w:sz w:val="24"/>
          <w:szCs w:val="24"/>
        </w:rPr>
        <w:t>Berdasarkan beberapa definisi dari para ahli tersebut maka dapat diambil kesimpulan bahwa pasar modal merupakan mekanisme transaksi jual beli instrument pasar modal jangka panjang antara penjual dan pembeli baik itu individu, koperasi maupun pemerintah. Pasar modal memiliki peran besar bagi perekonomian suatu negara.</w:t>
      </w:r>
    </w:p>
    <w:p w:rsidR="00B67DBE" w:rsidRPr="00B67DBE" w:rsidRDefault="00B67DBE" w:rsidP="00B67DBE">
      <w:pPr>
        <w:pStyle w:val="NoSpacing"/>
        <w:spacing w:line="276" w:lineRule="auto"/>
        <w:jc w:val="both"/>
        <w:rPr>
          <w:rFonts w:ascii="Times New Roman" w:hAnsi="Times New Roman"/>
          <w:b/>
          <w:sz w:val="24"/>
          <w:szCs w:val="24"/>
        </w:rPr>
      </w:pPr>
    </w:p>
    <w:p w:rsidR="00B67DBE" w:rsidRPr="00B67DBE" w:rsidRDefault="00B67DBE" w:rsidP="00B67DBE">
      <w:pPr>
        <w:pStyle w:val="NoSpacing"/>
        <w:spacing w:line="276" w:lineRule="auto"/>
        <w:jc w:val="both"/>
        <w:rPr>
          <w:rFonts w:ascii="Times New Roman" w:hAnsi="Times New Roman"/>
          <w:b/>
          <w:sz w:val="24"/>
          <w:szCs w:val="24"/>
        </w:rPr>
      </w:pPr>
      <w:r w:rsidRPr="00B67DBE">
        <w:rPr>
          <w:rFonts w:ascii="Times New Roman" w:hAnsi="Times New Roman"/>
          <w:b/>
          <w:i/>
          <w:sz w:val="24"/>
          <w:szCs w:val="24"/>
        </w:rPr>
        <w:t>Initial Public Offering (</w:t>
      </w:r>
      <w:r w:rsidRPr="00B67DBE">
        <w:rPr>
          <w:rFonts w:ascii="Times New Roman" w:hAnsi="Times New Roman"/>
          <w:b/>
          <w:sz w:val="24"/>
          <w:szCs w:val="24"/>
        </w:rPr>
        <w:t>IPO)</w:t>
      </w:r>
    </w:p>
    <w:p w:rsidR="00B67DBE" w:rsidRPr="00B67DBE" w:rsidRDefault="00B67DBE" w:rsidP="00B67DBE">
      <w:pPr>
        <w:pStyle w:val="NoSpacing"/>
        <w:spacing w:line="276" w:lineRule="auto"/>
        <w:jc w:val="both"/>
        <w:rPr>
          <w:rFonts w:ascii="Times New Roman" w:hAnsi="Times New Roman"/>
          <w:sz w:val="24"/>
          <w:szCs w:val="24"/>
        </w:rPr>
      </w:pPr>
      <w:r w:rsidRPr="00B67DBE">
        <w:rPr>
          <w:rFonts w:ascii="Times New Roman" w:hAnsi="Times New Roman"/>
          <w:sz w:val="24"/>
          <w:szCs w:val="24"/>
        </w:rPr>
        <w:tab/>
        <w:t xml:space="preserve">Menurut Brealey (2008) dalam penawaran publik awal atau </w:t>
      </w:r>
      <w:r w:rsidRPr="00B67DBE">
        <w:rPr>
          <w:rFonts w:ascii="Times New Roman" w:hAnsi="Times New Roman"/>
          <w:i/>
          <w:sz w:val="24"/>
          <w:szCs w:val="24"/>
        </w:rPr>
        <w:t>Initial Public Offering</w:t>
      </w:r>
      <w:r w:rsidRPr="00B67DBE">
        <w:rPr>
          <w:rFonts w:ascii="Times New Roman" w:hAnsi="Times New Roman"/>
          <w:sz w:val="24"/>
          <w:szCs w:val="24"/>
        </w:rPr>
        <w:t xml:space="preserve"> perusahaan yang dimiliki pribadi secara tertutup menjual saham pada publik untuk kali pertama. </w:t>
      </w:r>
    </w:p>
    <w:p w:rsidR="00B67DBE" w:rsidRPr="00B67DBE" w:rsidRDefault="00B67DBE" w:rsidP="00B67DBE">
      <w:pPr>
        <w:pStyle w:val="NoSpacing"/>
        <w:spacing w:line="276" w:lineRule="auto"/>
        <w:jc w:val="both"/>
        <w:rPr>
          <w:rFonts w:ascii="Times New Roman" w:hAnsi="Times New Roman"/>
          <w:sz w:val="24"/>
          <w:szCs w:val="24"/>
        </w:rPr>
      </w:pPr>
      <w:r w:rsidRPr="00B67DBE">
        <w:rPr>
          <w:rFonts w:ascii="Times New Roman" w:hAnsi="Times New Roman"/>
          <w:sz w:val="24"/>
          <w:szCs w:val="24"/>
        </w:rPr>
        <w:lastRenderedPageBreak/>
        <w:t xml:space="preserve">Menurut Martalena (2011) menyatakan penawaran umum atau sering disebut dengan istilah </w:t>
      </w:r>
      <w:r w:rsidRPr="00B67DBE">
        <w:rPr>
          <w:rFonts w:ascii="Times New Roman" w:hAnsi="Times New Roman"/>
          <w:i/>
          <w:sz w:val="24"/>
          <w:szCs w:val="24"/>
        </w:rPr>
        <w:t>go public</w:t>
      </w:r>
      <w:r w:rsidRPr="00B67DBE">
        <w:rPr>
          <w:rFonts w:ascii="Times New Roman" w:hAnsi="Times New Roman"/>
          <w:sz w:val="24"/>
          <w:szCs w:val="24"/>
        </w:rPr>
        <w:t xml:space="preserve"> adalah kegiatan penawaran saham atau efek lainnya yang dilakukan oleh emiten (perusahaan yang akan </w:t>
      </w:r>
      <w:r w:rsidRPr="00B67DBE">
        <w:rPr>
          <w:rFonts w:ascii="Times New Roman" w:hAnsi="Times New Roman"/>
          <w:i/>
          <w:sz w:val="24"/>
          <w:szCs w:val="24"/>
        </w:rPr>
        <w:t>go public</w:t>
      </w:r>
      <w:r w:rsidRPr="00B67DBE">
        <w:rPr>
          <w:rFonts w:ascii="Times New Roman" w:hAnsi="Times New Roman"/>
          <w:sz w:val="24"/>
          <w:szCs w:val="24"/>
        </w:rPr>
        <w:t>) untuk menjual saham atau efek kepada masyarakat berdasarkan tata cara yang diatur oleh UU Pasar Modal dan Peraturan Pelaksanaannya pasar 70 ayat (1) UUD Pasar Modal dalam Fahmi (2009) yang dapat melakukan penawaran umum hanyalah emiten yang telah menyampaikan pernyataan pendaftaran kepada Bapepam – LK untuk menawarkan atau menjual efek kepada masyarakat dan pernyataan pendaftaran tersebut telah efektif.</w:t>
      </w:r>
    </w:p>
    <w:p w:rsidR="00B67DBE" w:rsidRPr="00B67DBE" w:rsidRDefault="00B67DBE" w:rsidP="00B67DBE">
      <w:pPr>
        <w:pStyle w:val="NoSpacing"/>
        <w:spacing w:line="276" w:lineRule="auto"/>
        <w:jc w:val="both"/>
        <w:rPr>
          <w:rFonts w:ascii="Times New Roman" w:hAnsi="Times New Roman"/>
          <w:sz w:val="24"/>
          <w:szCs w:val="24"/>
        </w:rPr>
      </w:pPr>
      <w:r w:rsidRPr="00B67DBE">
        <w:rPr>
          <w:rFonts w:ascii="Times New Roman" w:hAnsi="Times New Roman"/>
          <w:sz w:val="24"/>
          <w:szCs w:val="24"/>
        </w:rPr>
        <w:t xml:space="preserve">Berdasarkan beberapa definisi dari para ahli tersebut maka dapat diambil kesimpulan bahwa </w:t>
      </w:r>
      <w:r w:rsidRPr="00B67DBE">
        <w:rPr>
          <w:rFonts w:ascii="Times New Roman" w:hAnsi="Times New Roman"/>
          <w:i/>
          <w:sz w:val="24"/>
          <w:szCs w:val="24"/>
        </w:rPr>
        <w:t xml:space="preserve">Initial Public Offering </w:t>
      </w:r>
      <w:r w:rsidRPr="00B67DBE">
        <w:rPr>
          <w:rFonts w:ascii="Times New Roman" w:hAnsi="Times New Roman"/>
          <w:sz w:val="24"/>
          <w:szCs w:val="24"/>
        </w:rPr>
        <w:t>(IPO) merupakan suatu persyaratan yang harus dilakukan bagi emiten yang baru pertama kali menjual sahamnya di pasar modal.</w:t>
      </w:r>
    </w:p>
    <w:p w:rsidR="00B67DBE" w:rsidRPr="00B67DBE" w:rsidRDefault="00B67DBE" w:rsidP="00B67DBE">
      <w:pPr>
        <w:pStyle w:val="NoSpacing"/>
        <w:spacing w:line="276" w:lineRule="auto"/>
        <w:jc w:val="both"/>
        <w:rPr>
          <w:rFonts w:ascii="Times New Roman" w:hAnsi="Times New Roman"/>
          <w:sz w:val="24"/>
          <w:szCs w:val="24"/>
        </w:rPr>
      </w:pPr>
      <w:r w:rsidRPr="00B67DBE">
        <w:rPr>
          <w:rFonts w:ascii="Times New Roman" w:hAnsi="Times New Roman"/>
          <w:b/>
          <w:sz w:val="24"/>
          <w:szCs w:val="24"/>
        </w:rPr>
        <w:t>Informasi Prospektus</w:t>
      </w:r>
    </w:p>
    <w:p w:rsidR="00B67DBE" w:rsidRPr="00B67DBE" w:rsidRDefault="00B67DBE" w:rsidP="00B67DBE">
      <w:pPr>
        <w:pStyle w:val="NoSpacing"/>
        <w:spacing w:line="276" w:lineRule="auto"/>
        <w:jc w:val="both"/>
        <w:rPr>
          <w:rFonts w:ascii="Times New Roman" w:hAnsi="Times New Roman"/>
          <w:sz w:val="24"/>
          <w:szCs w:val="24"/>
        </w:rPr>
      </w:pPr>
      <w:r w:rsidRPr="00B67DBE">
        <w:rPr>
          <w:rFonts w:ascii="Times New Roman" w:hAnsi="Times New Roman"/>
          <w:sz w:val="24"/>
          <w:szCs w:val="24"/>
        </w:rPr>
        <w:tab/>
        <w:t xml:space="preserve">Prospektus merupakan dokumen yang berisi informasi tentang perusahaan penerbit sekuritas yang informasi lainnya yang berkaitan dengan sekuritas yang di tawarkan (Jogianto, 2009). </w:t>
      </w:r>
    </w:p>
    <w:p w:rsidR="00B67DBE" w:rsidRPr="00B67DBE" w:rsidRDefault="00B67DBE" w:rsidP="00B67DBE">
      <w:pPr>
        <w:pStyle w:val="NoSpacing"/>
        <w:spacing w:line="276" w:lineRule="auto"/>
        <w:jc w:val="both"/>
        <w:rPr>
          <w:rFonts w:ascii="Times New Roman" w:hAnsi="Times New Roman"/>
          <w:sz w:val="24"/>
          <w:szCs w:val="24"/>
        </w:rPr>
      </w:pPr>
      <w:r w:rsidRPr="00B67DBE">
        <w:rPr>
          <w:rFonts w:ascii="Times New Roman" w:hAnsi="Times New Roman"/>
          <w:sz w:val="24"/>
          <w:szCs w:val="24"/>
        </w:rPr>
        <w:t xml:space="preserve">Menutrut Samsul (2008) prospektus adalah setiap informasi tertulis yang berkaitan dengan penawaran  umum dan bertujuan agar pihak lain membeli efek, pada umumnya prospektus dibagikan oleh emiten melalui </w:t>
      </w:r>
      <w:r w:rsidRPr="00B67DBE">
        <w:rPr>
          <w:rFonts w:ascii="Times New Roman" w:hAnsi="Times New Roman"/>
          <w:i/>
          <w:sz w:val="24"/>
          <w:szCs w:val="24"/>
        </w:rPr>
        <w:t>underwriter</w:t>
      </w:r>
      <w:r w:rsidRPr="00B67DBE">
        <w:rPr>
          <w:rFonts w:ascii="Times New Roman" w:hAnsi="Times New Roman"/>
          <w:sz w:val="24"/>
          <w:szCs w:val="24"/>
        </w:rPr>
        <w:t xml:space="preserve"> dan agen penjual efek yang ditunjuk oleh </w:t>
      </w:r>
      <w:r w:rsidRPr="00B67DBE">
        <w:rPr>
          <w:rFonts w:ascii="Times New Roman" w:hAnsi="Times New Roman"/>
          <w:i/>
          <w:sz w:val="24"/>
          <w:szCs w:val="24"/>
        </w:rPr>
        <w:t>underwriter</w:t>
      </w:r>
      <w:r w:rsidRPr="00B67DBE">
        <w:rPr>
          <w:rFonts w:ascii="Times New Roman" w:hAnsi="Times New Roman"/>
          <w:sz w:val="24"/>
          <w:szCs w:val="24"/>
        </w:rPr>
        <w:t xml:space="preserve"> menjelang penawaran umum tersebut dilaksanakan.</w:t>
      </w:r>
    </w:p>
    <w:p w:rsidR="00B67DBE" w:rsidRPr="00B67DBE" w:rsidRDefault="00B67DBE" w:rsidP="005D77D4">
      <w:pPr>
        <w:pStyle w:val="NoSpacing"/>
        <w:spacing w:line="276" w:lineRule="auto"/>
        <w:ind w:firstLine="720"/>
        <w:jc w:val="both"/>
        <w:rPr>
          <w:rFonts w:ascii="Times New Roman" w:hAnsi="Times New Roman"/>
          <w:sz w:val="24"/>
          <w:szCs w:val="24"/>
        </w:rPr>
      </w:pPr>
      <w:r w:rsidRPr="00B67DBE">
        <w:rPr>
          <w:rFonts w:ascii="Times New Roman" w:hAnsi="Times New Roman"/>
          <w:sz w:val="24"/>
          <w:szCs w:val="24"/>
        </w:rPr>
        <w:t xml:space="preserve">Berdasarkan beberapa definisi dari para ahli tersebut maka dapat diambil kesimpulan bahwa prospektus adalah setiap informasi tertulis yang berkaitan dengan penawaran umum dan bertujuan agar pihak lain membeli efek. Setelah </w:t>
      </w:r>
      <w:r w:rsidRPr="00B67DBE">
        <w:rPr>
          <w:rFonts w:ascii="Times New Roman" w:hAnsi="Times New Roman"/>
          <w:sz w:val="24"/>
          <w:szCs w:val="24"/>
        </w:rPr>
        <w:lastRenderedPageBreak/>
        <w:t>perusahaan memperoleh izin dari BAPEPAM dan sebelum menawarkan saham di pasar perdana, perusahaan akan menerbitkan prospektus (informasi mengenai perusahaan secara detail) ringkas yang di umumkan di media masa.</w:t>
      </w:r>
    </w:p>
    <w:p w:rsidR="00B67DBE" w:rsidRPr="00B67DBE" w:rsidRDefault="00B67DBE" w:rsidP="00B67DBE">
      <w:pPr>
        <w:pStyle w:val="NoSpacing"/>
        <w:spacing w:line="276" w:lineRule="auto"/>
        <w:jc w:val="both"/>
        <w:rPr>
          <w:rFonts w:ascii="Times New Roman" w:hAnsi="Times New Roman"/>
          <w:sz w:val="24"/>
          <w:szCs w:val="24"/>
        </w:rPr>
      </w:pPr>
    </w:p>
    <w:p w:rsidR="00B67DBE" w:rsidRPr="00B67DBE" w:rsidRDefault="00B67DBE" w:rsidP="00B67DBE">
      <w:pPr>
        <w:pStyle w:val="NoSpacing"/>
        <w:spacing w:line="276" w:lineRule="auto"/>
        <w:jc w:val="both"/>
        <w:rPr>
          <w:rFonts w:ascii="Times New Roman" w:hAnsi="Times New Roman"/>
          <w:b/>
          <w:sz w:val="24"/>
          <w:szCs w:val="24"/>
        </w:rPr>
      </w:pPr>
      <w:r w:rsidRPr="00B67DBE">
        <w:rPr>
          <w:rFonts w:ascii="Times New Roman" w:hAnsi="Times New Roman"/>
          <w:b/>
          <w:sz w:val="24"/>
          <w:szCs w:val="24"/>
        </w:rPr>
        <w:t>Indeks Harga Saham Gabungan (IHSG)</w:t>
      </w:r>
    </w:p>
    <w:p w:rsidR="00B67DBE" w:rsidRPr="00B67DBE" w:rsidRDefault="00B67DBE" w:rsidP="005D77D4">
      <w:pPr>
        <w:pStyle w:val="NoSpacing"/>
        <w:spacing w:line="276" w:lineRule="auto"/>
        <w:ind w:firstLine="720"/>
        <w:jc w:val="both"/>
        <w:rPr>
          <w:rFonts w:ascii="Times New Roman" w:hAnsi="Times New Roman"/>
          <w:sz w:val="24"/>
          <w:szCs w:val="24"/>
        </w:rPr>
      </w:pPr>
      <w:r w:rsidRPr="00B67DBE">
        <w:rPr>
          <w:rFonts w:ascii="Times New Roman" w:hAnsi="Times New Roman"/>
          <w:sz w:val="24"/>
          <w:szCs w:val="24"/>
        </w:rPr>
        <w:t>IHSG adalah nilai gabungan saham-saham perusahaan yang tercatat di Bursa Efek Indonesia (BEI) yang pergerakannya mengindikasikan kondisi yang terjadi di pasar modal. Penelitian ini dilakukan dengan tujuan untuk mengetahui faktor-faktor yang mempengaruhi pergerakan Indeks Harga Saham Gabungan (IHSG), baik faktor yang berasal dari luar negeri (eksternal) maupun faktor yang berasal dari dalam negeri (internal).</w:t>
      </w:r>
    </w:p>
    <w:p w:rsidR="00B67DBE" w:rsidRPr="00B67DBE" w:rsidRDefault="00B67DBE" w:rsidP="005D77D4">
      <w:pPr>
        <w:pStyle w:val="NoSpacing"/>
        <w:spacing w:line="276" w:lineRule="auto"/>
        <w:ind w:firstLine="720"/>
        <w:jc w:val="both"/>
        <w:rPr>
          <w:rFonts w:ascii="Times New Roman" w:hAnsi="Times New Roman"/>
          <w:sz w:val="24"/>
          <w:szCs w:val="24"/>
        </w:rPr>
      </w:pPr>
      <w:r w:rsidRPr="00B67DBE">
        <w:rPr>
          <w:rFonts w:ascii="Times New Roman" w:hAnsi="Times New Roman"/>
          <w:sz w:val="24"/>
          <w:szCs w:val="24"/>
        </w:rPr>
        <w:t xml:space="preserve">Menurut Sunariyah (2010:147) Indeks Harga Saham Gabungan (IHSG) adalah suatu rangkaian informasi historis mengenai pergerakan harga saham gabungan, sampai tanggal tertentu dan mencerminkan suatu nilai yang berfungsi sebagai pengukuran kinerja suatu saham gabungan di bursa efek. </w:t>
      </w:r>
    </w:p>
    <w:p w:rsidR="00B67DBE" w:rsidRPr="00B67DBE" w:rsidRDefault="00B67DBE" w:rsidP="00B67DBE">
      <w:pPr>
        <w:pStyle w:val="NoSpacing"/>
        <w:spacing w:line="276" w:lineRule="auto"/>
        <w:ind w:firstLine="720"/>
        <w:jc w:val="both"/>
        <w:rPr>
          <w:rFonts w:ascii="Times New Roman" w:hAnsi="Times New Roman"/>
          <w:sz w:val="24"/>
          <w:szCs w:val="24"/>
        </w:rPr>
      </w:pPr>
      <w:r w:rsidRPr="00B67DBE">
        <w:rPr>
          <w:rFonts w:ascii="Times New Roman" w:hAnsi="Times New Roman"/>
          <w:sz w:val="24"/>
          <w:szCs w:val="24"/>
        </w:rPr>
        <w:t>IHSG ini bisa digunakan untuk menilai situasi pasar secara umum atau mengukur apakah harga saham mengalami kenaikan atau penurunan. IHSG juga melibatkan seluruh harga saham yang tercatat di BEI.</w:t>
      </w:r>
    </w:p>
    <w:p w:rsidR="00B67DBE" w:rsidRPr="00B67DBE" w:rsidRDefault="00B67DBE" w:rsidP="00B67DBE">
      <w:pPr>
        <w:pStyle w:val="NoSpacing"/>
        <w:spacing w:line="276" w:lineRule="auto"/>
        <w:jc w:val="both"/>
        <w:rPr>
          <w:rFonts w:ascii="Times New Roman" w:hAnsi="Times New Roman"/>
          <w:sz w:val="24"/>
          <w:szCs w:val="24"/>
        </w:rPr>
      </w:pPr>
    </w:p>
    <w:p w:rsidR="00B67DBE" w:rsidRPr="00B67DBE" w:rsidRDefault="00B67DBE" w:rsidP="00B67DBE">
      <w:pPr>
        <w:pStyle w:val="NoSpacing"/>
        <w:spacing w:line="276" w:lineRule="auto"/>
        <w:jc w:val="both"/>
        <w:rPr>
          <w:rFonts w:ascii="Times New Roman" w:hAnsi="Times New Roman"/>
          <w:b/>
          <w:sz w:val="24"/>
          <w:szCs w:val="24"/>
        </w:rPr>
      </w:pPr>
      <w:r w:rsidRPr="00B67DBE">
        <w:rPr>
          <w:rFonts w:ascii="Times New Roman" w:hAnsi="Times New Roman"/>
          <w:b/>
          <w:sz w:val="24"/>
          <w:szCs w:val="24"/>
        </w:rPr>
        <w:t>Harga Penawaran Saham (</w:t>
      </w:r>
      <w:r w:rsidRPr="00B67DBE">
        <w:rPr>
          <w:rFonts w:ascii="Times New Roman" w:hAnsi="Times New Roman"/>
          <w:b/>
          <w:i/>
          <w:sz w:val="24"/>
          <w:szCs w:val="24"/>
        </w:rPr>
        <w:t>Offering Price</w:t>
      </w:r>
      <w:r w:rsidRPr="00B67DBE">
        <w:rPr>
          <w:rFonts w:ascii="Times New Roman" w:hAnsi="Times New Roman"/>
          <w:b/>
          <w:sz w:val="24"/>
          <w:szCs w:val="24"/>
        </w:rPr>
        <w:t>)</w:t>
      </w:r>
    </w:p>
    <w:p w:rsidR="00B67DBE" w:rsidRPr="00B67DBE" w:rsidRDefault="00B67DBE" w:rsidP="00B67DBE">
      <w:pPr>
        <w:pStyle w:val="NoSpacing"/>
        <w:spacing w:line="276" w:lineRule="auto"/>
        <w:ind w:firstLine="720"/>
        <w:jc w:val="both"/>
        <w:rPr>
          <w:rFonts w:ascii="Times New Roman" w:hAnsi="Times New Roman"/>
          <w:sz w:val="24"/>
          <w:szCs w:val="24"/>
        </w:rPr>
      </w:pPr>
      <w:r w:rsidRPr="00B67DBE">
        <w:rPr>
          <w:rFonts w:ascii="Times New Roman" w:hAnsi="Times New Roman"/>
          <w:sz w:val="24"/>
          <w:szCs w:val="24"/>
        </w:rPr>
        <w:t>Harga penawaran saham (</w:t>
      </w:r>
      <w:r w:rsidRPr="00B67DBE">
        <w:rPr>
          <w:rFonts w:ascii="Times New Roman" w:hAnsi="Times New Roman"/>
          <w:i/>
          <w:sz w:val="24"/>
          <w:szCs w:val="24"/>
        </w:rPr>
        <w:t>Offering Price</w:t>
      </w:r>
      <w:r w:rsidRPr="00B67DBE">
        <w:rPr>
          <w:rFonts w:ascii="Times New Roman" w:hAnsi="Times New Roman"/>
          <w:sz w:val="24"/>
          <w:szCs w:val="24"/>
        </w:rPr>
        <w:t xml:space="preserve">) merupakan salah satu indikator ketidakpastian yang dihadapi calon investor. Harga penawaran saham yang ditawarkan kepada publik dapat memberikan informasi mengenai kebutuhan keuangan perusahaan. Semakin </w:t>
      </w:r>
      <w:r w:rsidRPr="00B67DBE">
        <w:rPr>
          <w:rFonts w:ascii="Times New Roman" w:hAnsi="Times New Roman"/>
          <w:sz w:val="24"/>
          <w:szCs w:val="24"/>
        </w:rPr>
        <w:lastRenderedPageBreak/>
        <w:t>tinggi kebutuhan dana menunjukkan bahwa perusahaan tersebut sedang berkembang dan memiliki kinerja yang tinggi yang membuat perusahaan tersebut membutuhkan dana yang cukup besar.</w:t>
      </w:r>
    </w:p>
    <w:p w:rsidR="00B67DBE" w:rsidRPr="00B67DBE" w:rsidRDefault="00B67DBE" w:rsidP="00B67DBE">
      <w:pPr>
        <w:pStyle w:val="NoSpacing"/>
        <w:spacing w:line="276" w:lineRule="auto"/>
        <w:jc w:val="both"/>
        <w:rPr>
          <w:rFonts w:ascii="Times New Roman" w:hAnsi="Times New Roman"/>
          <w:sz w:val="24"/>
          <w:szCs w:val="24"/>
        </w:rPr>
      </w:pPr>
    </w:p>
    <w:p w:rsidR="00B67DBE" w:rsidRPr="00B67DBE" w:rsidRDefault="00B67DBE" w:rsidP="00B67DBE">
      <w:pPr>
        <w:pStyle w:val="NoSpacing"/>
        <w:spacing w:line="276" w:lineRule="auto"/>
        <w:jc w:val="both"/>
        <w:rPr>
          <w:rFonts w:ascii="Times New Roman" w:hAnsi="Times New Roman"/>
          <w:b/>
          <w:sz w:val="24"/>
          <w:szCs w:val="24"/>
        </w:rPr>
      </w:pPr>
      <w:r w:rsidRPr="00B67DBE">
        <w:rPr>
          <w:rFonts w:ascii="Times New Roman" w:hAnsi="Times New Roman"/>
          <w:b/>
          <w:sz w:val="24"/>
          <w:szCs w:val="24"/>
        </w:rPr>
        <w:t xml:space="preserve"> Jangka Waktu Penawaran (</w:t>
      </w:r>
      <w:r w:rsidRPr="00B67DBE">
        <w:rPr>
          <w:rFonts w:ascii="Times New Roman" w:hAnsi="Times New Roman"/>
          <w:b/>
          <w:i/>
          <w:sz w:val="24"/>
          <w:szCs w:val="24"/>
        </w:rPr>
        <w:t>Offer Timing</w:t>
      </w:r>
      <w:r w:rsidRPr="00B67DBE">
        <w:rPr>
          <w:rFonts w:ascii="Times New Roman" w:hAnsi="Times New Roman"/>
          <w:b/>
          <w:sz w:val="24"/>
          <w:szCs w:val="24"/>
        </w:rPr>
        <w:t>)</w:t>
      </w:r>
    </w:p>
    <w:p w:rsidR="00B67DBE" w:rsidRPr="00B67DBE" w:rsidRDefault="00B67DBE" w:rsidP="00B67DBE">
      <w:pPr>
        <w:pStyle w:val="NoSpacing"/>
        <w:spacing w:line="276" w:lineRule="auto"/>
        <w:jc w:val="both"/>
        <w:rPr>
          <w:rFonts w:ascii="Times New Roman" w:hAnsi="Times New Roman"/>
          <w:sz w:val="24"/>
          <w:szCs w:val="24"/>
        </w:rPr>
      </w:pPr>
      <w:r w:rsidRPr="00B67DBE">
        <w:rPr>
          <w:rFonts w:ascii="Times New Roman" w:hAnsi="Times New Roman"/>
          <w:sz w:val="24"/>
          <w:szCs w:val="24"/>
        </w:rPr>
        <w:tab/>
        <w:t xml:space="preserve">Ketika perusahaan akan melakukan IPO, maka perusahaan tersebut akan menetapkan jangka waktu penawaran sahamnya kepada publik. Menurut Akbar Wahyu Bachtiar (2012) jangka waktu penawaran salah satu indikator yang dipertimbangkan investor dalam pengambilan keputus investasi. Ketika jangka warktu penawaran saham perdana relatif cepat maka hal tersebut menunjukkan kesiapan yang baik pada perusahaan untuk </w:t>
      </w:r>
      <w:r w:rsidRPr="00B67DBE">
        <w:rPr>
          <w:rFonts w:ascii="Times New Roman" w:hAnsi="Times New Roman"/>
          <w:i/>
          <w:sz w:val="24"/>
          <w:szCs w:val="24"/>
        </w:rPr>
        <w:t>go public</w:t>
      </w:r>
      <w:r w:rsidRPr="00B67DBE">
        <w:rPr>
          <w:rFonts w:ascii="Times New Roman" w:hAnsi="Times New Roman"/>
          <w:sz w:val="24"/>
          <w:szCs w:val="24"/>
        </w:rPr>
        <w:t xml:space="preserve">. </w:t>
      </w:r>
    </w:p>
    <w:p w:rsidR="005D77D4" w:rsidRDefault="005D77D4" w:rsidP="005D77D4">
      <w:pPr>
        <w:pStyle w:val="NoSpacing"/>
        <w:spacing w:line="276" w:lineRule="auto"/>
        <w:jc w:val="both"/>
        <w:rPr>
          <w:rFonts w:ascii="Times New Roman" w:hAnsi="Times New Roman"/>
          <w:sz w:val="24"/>
          <w:szCs w:val="24"/>
          <w:lang w:val="en-US"/>
        </w:rPr>
      </w:pPr>
    </w:p>
    <w:p w:rsidR="00B67DBE" w:rsidRPr="00B67DBE" w:rsidRDefault="00B67DBE" w:rsidP="005D77D4">
      <w:pPr>
        <w:pStyle w:val="NoSpacing"/>
        <w:spacing w:line="276" w:lineRule="auto"/>
        <w:jc w:val="both"/>
        <w:rPr>
          <w:rFonts w:ascii="Times New Roman" w:hAnsi="Times New Roman"/>
          <w:b/>
          <w:i/>
          <w:sz w:val="24"/>
          <w:szCs w:val="24"/>
        </w:rPr>
      </w:pPr>
      <w:r w:rsidRPr="00B67DBE">
        <w:rPr>
          <w:rFonts w:ascii="Times New Roman" w:hAnsi="Times New Roman"/>
          <w:b/>
          <w:sz w:val="24"/>
          <w:szCs w:val="24"/>
        </w:rPr>
        <w:t>Pertumbuhan Pendapatan (</w:t>
      </w:r>
      <w:r w:rsidRPr="00B67DBE">
        <w:rPr>
          <w:rFonts w:ascii="Times New Roman" w:hAnsi="Times New Roman"/>
          <w:b/>
          <w:i/>
          <w:sz w:val="24"/>
          <w:szCs w:val="24"/>
        </w:rPr>
        <w:t>Revenues Growth)</w:t>
      </w:r>
    </w:p>
    <w:p w:rsidR="00B67DBE" w:rsidRPr="00B67DBE" w:rsidRDefault="00B67DBE" w:rsidP="00B67DBE">
      <w:pPr>
        <w:pStyle w:val="NoSpacing"/>
        <w:spacing w:line="276" w:lineRule="auto"/>
        <w:jc w:val="both"/>
        <w:rPr>
          <w:rFonts w:ascii="Times New Roman" w:hAnsi="Times New Roman"/>
          <w:sz w:val="24"/>
          <w:szCs w:val="24"/>
        </w:rPr>
      </w:pPr>
      <w:r w:rsidRPr="00B67DBE">
        <w:rPr>
          <w:rFonts w:ascii="Times New Roman" w:hAnsi="Times New Roman"/>
          <w:i/>
          <w:sz w:val="24"/>
          <w:szCs w:val="24"/>
        </w:rPr>
        <w:tab/>
      </w:r>
      <w:r w:rsidRPr="00B67DBE">
        <w:rPr>
          <w:rFonts w:ascii="Times New Roman" w:hAnsi="Times New Roman"/>
          <w:sz w:val="24"/>
          <w:szCs w:val="24"/>
        </w:rPr>
        <w:t xml:space="preserve">Menurut Kennedy, dkk (2011) pertumbuhan pendapatan diartikan sebagai kenaikan jumlah penjualan dari tahun ke tahun atau dari waktu ke waktu. </w:t>
      </w:r>
    </w:p>
    <w:p w:rsidR="00B20B62" w:rsidRPr="005D77D4" w:rsidRDefault="00B67DBE" w:rsidP="005D77D4">
      <w:pPr>
        <w:pStyle w:val="ListParagraph"/>
        <w:ind w:left="0" w:firstLine="426"/>
        <w:jc w:val="both"/>
        <w:rPr>
          <w:rFonts w:ascii="Times New Roman" w:hAnsi="Times New Roman"/>
          <w:color w:val="FF0000"/>
          <w:sz w:val="24"/>
          <w:szCs w:val="24"/>
          <w:lang w:val="en-US"/>
        </w:rPr>
      </w:pPr>
      <w:r w:rsidRPr="00B67DBE">
        <w:rPr>
          <w:rFonts w:ascii="Times New Roman" w:hAnsi="Times New Roman"/>
          <w:sz w:val="24"/>
          <w:szCs w:val="24"/>
        </w:rPr>
        <w:t>Tita Deitiana (2011) menyatakan bahwa pertumbuhan pendapatan mencerminkan manifestasi keberhasilan investasi dan keberhasilan operasional perusahaan periode masa lalu dan dapat dijadikan sebagai prediksi pertumbuhan masa yang akan datang.</w:t>
      </w:r>
    </w:p>
    <w:p w:rsidR="003958BE" w:rsidRPr="005D77D4" w:rsidRDefault="003958BE" w:rsidP="005D77D4">
      <w:pPr>
        <w:tabs>
          <w:tab w:val="left" w:pos="364"/>
        </w:tabs>
        <w:spacing w:line="276" w:lineRule="auto"/>
        <w:jc w:val="center"/>
        <w:rPr>
          <w:b/>
          <w:color w:val="FF0000"/>
        </w:rPr>
      </w:pPr>
      <w:r w:rsidRPr="005D77D4">
        <w:rPr>
          <w:b/>
          <w:color w:val="FF0000"/>
        </w:rPr>
        <w:t>METODE PENELITIAN</w:t>
      </w:r>
    </w:p>
    <w:p w:rsidR="005D77D4" w:rsidRPr="005D77D4" w:rsidRDefault="005D77D4" w:rsidP="005D77D4">
      <w:pPr>
        <w:tabs>
          <w:tab w:val="left" w:pos="567"/>
        </w:tabs>
        <w:spacing w:line="276" w:lineRule="auto"/>
        <w:ind w:right="95"/>
        <w:jc w:val="both"/>
        <w:rPr>
          <w:b/>
        </w:rPr>
      </w:pPr>
      <w:r w:rsidRPr="005D77D4">
        <w:rPr>
          <w:b/>
        </w:rPr>
        <w:t>Teknik Analisis</w:t>
      </w:r>
    </w:p>
    <w:p w:rsidR="005D77D4" w:rsidRPr="005D77D4" w:rsidRDefault="005D77D4" w:rsidP="005D77D4">
      <w:pPr>
        <w:pStyle w:val="NoSpacing"/>
        <w:spacing w:line="276" w:lineRule="auto"/>
        <w:jc w:val="both"/>
        <w:rPr>
          <w:rFonts w:ascii="Times New Roman" w:hAnsi="Times New Roman"/>
          <w:sz w:val="24"/>
          <w:szCs w:val="24"/>
          <w:lang w:val="en-US"/>
        </w:rPr>
      </w:pPr>
      <w:r w:rsidRPr="005D77D4">
        <w:rPr>
          <w:sz w:val="24"/>
          <w:szCs w:val="24"/>
        </w:rPr>
        <w:tab/>
      </w:r>
      <w:r w:rsidRPr="005D77D4">
        <w:rPr>
          <w:rFonts w:ascii="Times New Roman" w:hAnsi="Times New Roman"/>
          <w:sz w:val="24"/>
          <w:szCs w:val="24"/>
          <w:lang w:val="en-US"/>
        </w:rPr>
        <w:t xml:space="preserve">Teknik analisis adalah Teknik yang digunakan sebagai alat </w:t>
      </w:r>
      <w:proofErr w:type="gramStart"/>
      <w:r w:rsidRPr="005D77D4">
        <w:rPr>
          <w:rFonts w:ascii="Times New Roman" w:hAnsi="Times New Roman"/>
          <w:sz w:val="24"/>
          <w:szCs w:val="24"/>
          <w:lang w:val="en-US"/>
        </w:rPr>
        <w:t>bantu</w:t>
      </w:r>
      <w:proofErr w:type="gramEnd"/>
      <w:r w:rsidRPr="005D77D4">
        <w:rPr>
          <w:rFonts w:ascii="Times New Roman" w:hAnsi="Times New Roman"/>
          <w:sz w:val="24"/>
          <w:szCs w:val="24"/>
          <w:lang w:val="en-US"/>
        </w:rPr>
        <w:t xml:space="preserve"> bagi peneliti untuk mengambil suatu keputusan atau sejumlah data penelitian yang telah terkumpul. Menurut Ghozali (2011:65) teknik analisis data, ada dua metode </w:t>
      </w:r>
      <w:proofErr w:type="gramStart"/>
      <w:r w:rsidRPr="005D77D4">
        <w:rPr>
          <w:rFonts w:ascii="Times New Roman" w:hAnsi="Times New Roman"/>
          <w:sz w:val="24"/>
          <w:szCs w:val="24"/>
          <w:lang w:val="en-US"/>
        </w:rPr>
        <w:t>yaitu :</w:t>
      </w:r>
      <w:proofErr w:type="gramEnd"/>
    </w:p>
    <w:p w:rsidR="005D77D4" w:rsidRPr="005D77D4" w:rsidRDefault="005D77D4" w:rsidP="005D77D4">
      <w:pPr>
        <w:pStyle w:val="NoSpacing"/>
        <w:spacing w:line="276" w:lineRule="auto"/>
        <w:jc w:val="both"/>
        <w:rPr>
          <w:rFonts w:ascii="Times New Roman" w:hAnsi="Times New Roman"/>
          <w:b/>
          <w:sz w:val="24"/>
          <w:szCs w:val="24"/>
          <w:lang w:val="en-US"/>
        </w:rPr>
      </w:pPr>
      <w:r w:rsidRPr="005D77D4">
        <w:rPr>
          <w:rFonts w:ascii="Times New Roman" w:hAnsi="Times New Roman"/>
          <w:sz w:val="24"/>
          <w:szCs w:val="24"/>
          <w:lang w:val="en-US"/>
        </w:rPr>
        <w:lastRenderedPageBreak/>
        <w:t>Pertama Analisis Kualitatif, yaitu metode yang menganalisi data yang bukan berupa angka atau angka yang berbentuk penjelasan yang tidak dapat dinyatakan dalam bentuk angka dan yang kedua Analisis Kuantitatif yaitu metode yang menganalisis yang dilakukan terhadap data yang berbentuk angka untuk menerapkan suatu penjelasan dari angka-angka tersebut.</w:t>
      </w:r>
    </w:p>
    <w:p w:rsidR="005D77D4" w:rsidRPr="005D77D4" w:rsidRDefault="005D77D4" w:rsidP="005D77D4">
      <w:pPr>
        <w:pStyle w:val="NoSpacing"/>
        <w:spacing w:line="276" w:lineRule="auto"/>
        <w:jc w:val="both"/>
        <w:rPr>
          <w:rFonts w:ascii="Times New Roman" w:hAnsi="Times New Roman"/>
          <w:sz w:val="24"/>
          <w:szCs w:val="24"/>
        </w:rPr>
      </w:pPr>
    </w:p>
    <w:p w:rsidR="005D77D4" w:rsidRPr="005D77D4" w:rsidRDefault="005D77D4" w:rsidP="005D77D4">
      <w:pPr>
        <w:pStyle w:val="NoSpacing"/>
        <w:spacing w:line="276" w:lineRule="auto"/>
        <w:jc w:val="both"/>
        <w:rPr>
          <w:rFonts w:ascii="Times New Roman" w:hAnsi="Times New Roman"/>
          <w:b/>
          <w:sz w:val="24"/>
          <w:szCs w:val="24"/>
        </w:rPr>
      </w:pPr>
      <w:r w:rsidRPr="005D77D4">
        <w:rPr>
          <w:rFonts w:ascii="Times New Roman" w:hAnsi="Times New Roman"/>
          <w:b/>
          <w:sz w:val="24"/>
          <w:szCs w:val="24"/>
        </w:rPr>
        <w:t>Populasi</w:t>
      </w:r>
      <w:r w:rsidRPr="005D77D4">
        <w:rPr>
          <w:rFonts w:ascii="Times New Roman" w:hAnsi="Times New Roman"/>
          <w:b/>
          <w:sz w:val="24"/>
          <w:szCs w:val="24"/>
          <w:lang w:val="en-US"/>
        </w:rPr>
        <w:t xml:space="preserve"> dan </w:t>
      </w:r>
      <w:r w:rsidRPr="005D77D4">
        <w:rPr>
          <w:rFonts w:ascii="Times New Roman" w:hAnsi="Times New Roman"/>
          <w:b/>
          <w:sz w:val="24"/>
          <w:szCs w:val="24"/>
        </w:rPr>
        <w:t xml:space="preserve">Sampel </w:t>
      </w:r>
    </w:p>
    <w:p w:rsidR="005D77D4" w:rsidRPr="005D77D4" w:rsidRDefault="005D77D4" w:rsidP="005D77D4">
      <w:pPr>
        <w:pStyle w:val="NoSpacing"/>
        <w:spacing w:line="276" w:lineRule="auto"/>
        <w:jc w:val="both"/>
        <w:rPr>
          <w:rFonts w:ascii="Times New Roman" w:hAnsi="Times New Roman"/>
          <w:b/>
          <w:sz w:val="24"/>
          <w:szCs w:val="24"/>
        </w:rPr>
      </w:pPr>
      <w:r w:rsidRPr="005D77D4">
        <w:rPr>
          <w:rFonts w:ascii="Times New Roman" w:hAnsi="Times New Roman"/>
          <w:b/>
          <w:sz w:val="24"/>
          <w:szCs w:val="24"/>
        </w:rPr>
        <w:t>Populasi</w:t>
      </w:r>
    </w:p>
    <w:p w:rsidR="005D77D4" w:rsidRPr="005D77D4" w:rsidRDefault="005D77D4" w:rsidP="005D77D4">
      <w:pPr>
        <w:pStyle w:val="NoSpacing"/>
        <w:spacing w:line="276" w:lineRule="auto"/>
        <w:ind w:firstLine="720"/>
        <w:jc w:val="both"/>
        <w:rPr>
          <w:rFonts w:ascii="Times New Roman" w:hAnsi="Times New Roman"/>
          <w:sz w:val="24"/>
          <w:szCs w:val="24"/>
          <w:lang w:val="en-US"/>
        </w:rPr>
      </w:pPr>
      <w:r w:rsidRPr="005D77D4">
        <w:rPr>
          <w:rFonts w:ascii="Times New Roman" w:hAnsi="Times New Roman"/>
          <w:sz w:val="24"/>
          <w:szCs w:val="24"/>
        </w:rPr>
        <w:t>Menurut Sugiyono (201</w:t>
      </w:r>
      <w:r w:rsidRPr="005D77D4">
        <w:rPr>
          <w:rFonts w:ascii="Times New Roman" w:hAnsi="Times New Roman"/>
          <w:sz w:val="24"/>
          <w:szCs w:val="24"/>
          <w:lang w:val="en-US"/>
        </w:rPr>
        <w:t>8</w:t>
      </w:r>
      <w:r w:rsidRPr="005D77D4">
        <w:rPr>
          <w:rFonts w:ascii="Times New Roman" w:hAnsi="Times New Roman"/>
          <w:sz w:val="24"/>
          <w:szCs w:val="24"/>
        </w:rPr>
        <w:t>:</w:t>
      </w:r>
      <w:r w:rsidRPr="005D77D4">
        <w:rPr>
          <w:rFonts w:ascii="Times New Roman" w:hAnsi="Times New Roman"/>
          <w:sz w:val="24"/>
          <w:szCs w:val="24"/>
          <w:lang w:val="en-US"/>
        </w:rPr>
        <w:t>80</w:t>
      </w:r>
      <w:r w:rsidRPr="005D77D4">
        <w:rPr>
          <w:rFonts w:ascii="Times New Roman" w:hAnsi="Times New Roman"/>
          <w:sz w:val="24"/>
          <w:szCs w:val="24"/>
        </w:rPr>
        <w:t>) mendefinisikan populasi sebagai “wilayah generalisasi yang terdiri atas objek/subjek yang mempunyai kualitas dan karakteristik tertentu yang ditetapkan oleh peneliti untuk dipelajari dan kemudian ditarik kesimpulannya”.</w:t>
      </w:r>
      <w:r w:rsidRPr="005D77D4">
        <w:rPr>
          <w:rFonts w:ascii="Times New Roman" w:hAnsi="Times New Roman"/>
          <w:sz w:val="24"/>
          <w:szCs w:val="24"/>
          <w:lang w:val="en-US"/>
        </w:rPr>
        <w:t xml:space="preserve"> </w:t>
      </w:r>
      <w:r w:rsidRPr="005D77D4">
        <w:rPr>
          <w:rFonts w:ascii="Times New Roman" w:hAnsi="Times New Roman"/>
          <w:sz w:val="24"/>
          <w:szCs w:val="24"/>
        </w:rPr>
        <w:t xml:space="preserve">Berdasarkan pengertian tersebut, maka populasi dalam penelitian ini adalah perusahaan yang melakukan </w:t>
      </w:r>
      <w:r w:rsidRPr="005D77D4">
        <w:rPr>
          <w:rFonts w:ascii="Times New Roman" w:hAnsi="Times New Roman"/>
          <w:i/>
          <w:sz w:val="24"/>
          <w:szCs w:val="24"/>
        </w:rPr>
        <w:t>initial public offering (</w:t>
      </w:r>
      <w:r w:rsidRPr="005D77D4">
        <w:rPr>
          <w:rFonts w:ascii="Times New Roman" w:hAnsi="Times New Roman"/>
          <w:sz w:val="24"/>
          <w:szCs w:val="24"/>
        </w:rPr>
        <w:t>IPO) di Bursa Efek Indonesia (BEI) pada tahun 201</w:t>
      </w:r>
      <w:r w:rsidRPr="005D77D4">
        <w:rPr>
          <w:rFonts w:ascii="Times New Roman" w:hAnsi="Times New Roman"/>
          <w:sz w:val="24"/>
          <w:szCs w:val="24"/>
          <w:lang w:val="en-US"/>
        </w:rPr>
        <w:t>5</w:t>
      </w:r>
      <w:r w:rsidRPr="005D77D4">
        <w:rPr>
          <w:rFonts w:ascii="Times New Roman" w:hAnsi="Times New Roman"/>
          <w:sz w:val="24"/>
          <w:szCs w:val="24"/>
        </w:rPr>
        <w:t>-20</w:t>
      </w:r>
      <w:r w:rsidRPr="005D77D4">
        <w:rPr>
          <w:rFonts w:ascii="Times New Roman" w:hAnsi="Times New Roman"/>
          <w:sz w:val="24"/>
          <w:szCs w:val="24"/>
          <w:lang w:val="en-US"/>
        </w:rPr>
        <w:t>20</w:t>
      </w:r>
      <w:r w:rsidRPr="005D77D4">
        <w:rPr>
          <w:rFonts w:ascii="Times New Roman" w:hAnsi="Times New Roman"/>
          <w:sz w:val="24"/>
          <w:szCs w:val="24"/>
        </w:rPr>
        <w:t>. Jumlah perusahaan yang melakukan IPO dalam metode penelitian tersebut berjumlah 135 Perusahaan.</w:t>
      </w:r>
      <w:r w:rsidRPr="005D77D4">
        <w:rPr>
          <w:rFonts w:ascii="Times New Roman" w:hAnsi="Times New Roman"/>
          <w:sz w:val="24"/>
          <w:szCs w:val="24"/>
          <w:lang w:val="en-US"/>
        </w:rPr>
        <w:t xml:space="preserve"> </w:t>
      </w:r>
    </w:p>
    <w:p w:rsidR="005D77D4" w:rsidRPr="005D77D4" w:rsidRDefault="005D77D4" w:rsidP="005D77D4">
      <w:pPr>
        <w:pStyle w:val="NoSpacing"/>
        <w:spacing w:line="276" w:lineRule="auto"/>
        <w:jc w:val="both"/>
        <w:rPr>
          <w:rFonts w:ascii="Times New Roman" w:hAnsi="Times New Roman"/>
          <w:b/>
          <w:color w:val="000000" w:themeColor="text1"/>
          <w:sz w:val="24"/>
          <w:szCs w:val="24"/>
        </w:rPr>
      </w:pPr>
      <w:r w:rsidRPr="005D77D4">
        <w:rPr>
          <w:rFonts w:ascii="Times New Roman" w:hAnsi="Times New Roman"/>
          <w:b/>
          <w:color w:val="000000" w:themeColor="text1"/>
          <w:sz w:val="24"/>
          <w:szCs w:val="24"/>
        </w:rPr>
        <w:t xml:space="preserve">Sampel </w:t>
      </w:r>
    </w:p>
    <w:p w:rsidR="005D77D4" w:rsidRPr="005D77D4" w:rsidRDefault="005D77D4" w:rsidP="005D77D4">
      <w:pPr>
        <w:pStyle w:val="NoSpacing"/>
        <w:spacing w:line="276" w:lineRule="auto"/>
        <w:ind w:firstLine="720"/>
        <w:jc w:val="both"/>
        <w:rPr>
          <w:rFonts w:ascii="Times New Roman" w:hAnsi="Times New Roman"/>
          <w:sz w:val="24"/>
          <w:szCs w:val="24"/>
          <w:lang w:val="en-US"/>
        </w:rPr>
      </w:pPr>
      <w:r w:rsidRPr="005D77D4">
        <w:rPr>
          <w:rFonts w:ascii="Times New Roman" w:hAnsi="Times New Roman"/>
          <w:sz w:val="24"/>
          <w:szCs w:val="24"/>
        </w:rPr>
        <w:t>Pengertian sampel menurut Sugiyono (201</w:t>
      </w:r>
      <w:r w:rsidRPr="005D77D4">
        <w:rPr>
          <w:rFonts w:ascii="Times New Roman" w:hAnsi="Times New Roman"/>
          <w:sz w:val="24"/>
          <w:szCs w:val="24"/>
          <w:lang w:val="en-US"/>
        </w:rPr>
        <w:t>8</w:t>
      </w:r>
      <w:r w:rsidRPr="005D77D4">
        <w:rPr>
          <w:rFonts w:ascii="Times New Roman" w:hAnsi="Times New Roman"/>
          <w:sz w:val="24"/>
          <w:szCs w:val="24"/>
        </w:rPr>
        <w:t xml:space="preserve"> : </w:t>
      </w:r>
      <w:r w:rsidRPr="005D77D4">
        <w:rPr>
          <w:rFonts w:ascii="Times New Roman" w:hAnsi="Times New Roman"/>
          <w:sz w:val="24"/>
          <w:szCs w:val="24"/>
          <w:lang w:val="en-US"/>
        </w:rPr>
        <w:t>81</w:t>
      </w:r>
      <w:r w:rsidRPr="005D77D4">
        <w:rPr>
          <w:rFonts w:ascii="Times New Roman" w:hAnsi="Times New Roman"/>
          <w:sz w:val="24"/>
          <w:szCs w:val="24"/>
        </w:rPr>
        <w:t xml:space="preserve">) adalah, “Bagian dari jumlah dan karakteristik yang dimiliki oleh populasi”. Teknik pengambilan sampel dalam penelitian ini dengan menggunakan </w:t>
      </w:r>
      <w:r w:rsidRPr="005D77D4">
        <w:rPr>
          <w:rFonts w:ascii="Times New Roman" w:hAnsi="Times New Roman"/>
          <w:i/>
          <w:iCs/>
          <w:sz w:val="24"/>
          <w:szCs w:val="24"/>
        </w:rPr>
        <w:t xml:space="preserve">purposive sampling </w:t>
      </w:r>
      <w:r w:rsidRPr="005D77D4">
        <w:rPr>
          <w:rFonts w:ascii="Times New Roman" w:hAnsi="Times New Roman"/>
          <w:sz w:val="24"/>
          <w:szCs w:val="24"/>
        </w:rPr>
        <w:t xml:space="preserve">dengan tujuan untuk mendapatkan sampel yang sesuai dengan tujuan penelitian. Metode </w:t>
      </w:r>
      <w:r w:rsidRPr="005D77D4">
        <w:rPr>
          <w:rFonts w:ascii="Times New Roman" w:hAnsi="Times New Roman"/>
          <w:i/>
          <w:iCs/>
          <w:sz w:val="24"/>
          <w:szCs w:val="24"/>
        </w:rPr>
        <w:t xml:space="preserve">purposive sampling </w:t>
      </w:r>
      <w:r w:rsidRPr="005D77D4">
        <w:rPr>
          <w:rFonts w:ascii="Times New Roman" w:hAnsi="Times New Roman"/>
          <w:sz w:val="24"/>
          <w:szCs w:val="24"/>
        </w:rPr>
        <w:t>adalah metode pengambilan sampel yang didasarkan pada beberapa pertimb</w:t>
      </w:r>
      <w:r>
        <w:rPr>
          <w:rFonts w:ascii="Times New Roman" w:hAnsi="Times New Roman"/>
          <w:sz w:val="24"/>
          <w:szCs w:val="24"/>
        </w:rPr>
        <w:t>angan atau kriteria tertentu.</w:t>
      </w:r>
    </w:p>
    <w:p w:rsidR="005D77D4" w:rsidRPr="005D77D4" w:rsidRDefault="005D77D4" w:rsidP="005D77D4">
      <w:pPr>
        <w:pStyle w:val="NoSpacing"/>
        <w:spacing w:line="276" w:lineRule="auto"/>
        <w:ind w:firstLine="720"/>
        <w:jc w:val="both"/>
        <w:rPr>
          <w:rFonts w:ascii="Times New Roman" w:hAnsi="Times New Roman"/>
          <w:sz w:val="24"/>
          <w:szCs w:val="24"/>
        </w:rPr>
      </w:pPr>
      <w:r w:rsidRPr="005D77D4">
        <w:rPr>
          <w:rFonts w:ascii="Times New Roman" w:hAnsi="Times New Roman"/>
          <w:sz w:val="24"/>
          <w:szCs w:val="24"/>
        </w:rPr>
        <w:t>Kriteria perusahaan yang akan menjadi sampel dalam penelitian ini adalah sebagai berikut :</w:t>
      </w:r>
    </w:p>
    <w:p w:rsidR="005D77D4" w:rsidRPr="005D77D4" w:rsidRDefault="005D77D4" w:rsidP="005D77D4">
      <w:pPr>
        <w:pStyle w:val="NoSpacing"/>
        <w:numPr>
          <w:ilvl w:val="0"/>
          <w:numId w:val="7"/>
        </w:numPr>
        <w:spacing w:line="276" w:lineRule="auto"/>
        <w:jc w:val="both"/>
        <w:rPr>
          <w:rFonts w:ascii="Times New Roman" w:hAnsi="Times New Roman"/>
          <w:sz w:val="24"/>
          <w:szCs w:val="24"/>
        </w:rPr>
      </w:pPr>
      <w:r w:rsidRPr="005D77D4">
        <w:rPr>
          <w:rFonts w:ascii="Times New Roman" w:hAnsi="Times New Roman"/>
          <w:sz w:val="24"/>
          <w:szCs w:val="24"/>
        </w:rPr>
        <w:t>Perusahaan melakukan penawaran umum perdana (IPO) 201</w:t>
      </w:r>
      <w:r w:rsidRPr="005D77D4">
        <w:rPr>
          <w:rFonts w:ascii="Times New Roman" w:hAnsi="Times New Roman"/>
          <w:sz w:val="24"/>
          <w:szCs w:val="24"/>
          <w:lang w:val="en-US"/>
        </w:rPr>
        <w:t>5</w:t>
      </w:r>
      <w:r w:rsidRPr="005D77D4">
        <w:rPr>
          <w:rFonts w:ascii="Times New Roman" w:hAnsi="Times New Roman"/>
          <w:sz w:val="24"/>
          <w:szCs w:val="24"/>
        </w:rPr>
        <w:t>-20</w:t>
      </w:r>
      <w:r w:rsidRPr="005D77D4">
        <w:rPr>
          <w:rFonts w:ascii="Times New Roman" w:hAnsi="Times New Roman"/>
          <w:sz w:val="24"/>
          <w:szCs w:val="24"/>
          <w:lang w:val="en-US"/>
        </w:rPr>
        <w:t>20</w:t>
      </w:r>
    </w:p>
    <w:p w:rsidR="005D77D4" w:rsidRPr="005D77D4" w:rsidRDefault="005D77D4" w:rsidP="005D77D4">
      <w:pPr>
        <w:pStyle w:val="NoSpacing"/>
        <w:numPr>
          <w:ilvl w:val="0"/>
          <w:numId w:val="7"/>
        </w:numPr>
        <w:spacing w:line="276" w:lineRule="auto"/>
        <w:jc w:val="both"/>
        <w:rPr>
          <w:rFonts w:ascii="Times New Roman" w:hAnsi="Times New Roman"/>
          <w:sz w:val="24"/>
          <w:szCs w:val="24"/>
        </w:rPr>
      </w:pPr>
      <w:r w:rsidRPr="005D77D4">
        <w:rPr>
          <w:rFonts w:ascii="Times New Roman" w:hAnsi="Times New Roman"/>
          <w:sz w:val="24"/>
          <w:szCs w:val="24"/>
        </w:rPr>
        <w:lastRenderedPageBreak/>
        <w:t xml:space="preserve">Perusahaan yang tidak mengalami </w:t>
      </w:r>
      <w:r w:rsidRPr="005D77D4">
        <w:rPr>
          <w:rFonts w:ascii="Times New Roman" w:hAnsi="Times New Roman"/>
          <w:i/>
          <w:sz w:val="24"/>
          <w:szCs w:val="24"/>
        </w:rPr>
        <w:t>underpricing</w:t>
      </w:r>
    </w:p>
    <w:p w:rsidR="005D77D4" w:rsidRPr="005D77D4" w:rsidRDefault="005D77D4" w:rsidP="005D77D4">
      <w:pPr>
        <w:pStyle w:val="NoSpacing"/>
        <w:numPr>
          <w:ilvl w:val="0"/>
          <w:numId w:val="7"/>
        </w:numPr>
        <w:spacing w:line="276" w:lineRule="auto"/>
        <w:jc w:val="both"/>
        <w:rPr>
          <w:rFonts w:ascii="Times New Roman" w:hAnsi="Times New Roman"/>
          <w:sz w:val="24"/>
          <w:szCs w:val="24"/>
        </w:rPr>
      </w:pPr>
      <w:r w:rsidRPr="005D77D4">
        <w:rPr>
          <w:rFonts w:ascii="Times New Roman" w:hAnsi="Times New Roman"/>
          <w:sz w:val="24"/>
          <w:szCs w:val="24"/>
        </w:rPr>
        <w:t>Perusahaan bukan merupakan industri perbankan atau lembaga keuangan, karena industri tersebut memiliki rasio keungan yang berbeda dari sektor industri lain.</w:t>
      </w:r>
    </w:p>
    <w:p w:rsidR="005D77D4" w:rsidRPr="005D77D4" w:rsidRDefault="005D77D4" w:rsidP="005D77D4">
      <w:pPr>
        <w:pStyle w:val="NoSpacing"/>
        <w:numPr>
          <w:ilvl w:val="0"/>
          <w:numId w:val="7"/>
        </w:numPr>
        <w:spacing w:line="276" w:lineRule="auto"/>
        <w:jc w:val="both"/>
        <w:rPr>
          <w:rFonts w:ascii="Times New Roman" w:hAnsi="Times New Roman"/>
          <w:sz w:val="24"/>
          <w:szCs w:val="24"/>
        </w:rPr>
      </w:pPr>
      <w:r w:rsidRPr="005D77D4">
        <w:rPr>
          <w:rFonts w:ascii="Times New Roman" w:hAnsi="Times New Roman"/>
          <w:sz w:val="24"/>
          <w:szCs w:val="24"/>
        </w:rPr>
        <w:t>Perusahaan yang tidak memiliki kelengkapan informasi atau ketersediaan data.</w:t>
      </w:r>
    </w:p>
    <w:p w:rsidR="005D77D4" w:rsidRPr="005D77D4" w:rsidRDefault="005D77D4" w:rsidP="005D77D4">
      <w:pPr>
        <w:pStyle w:val="NoSpacing"/>
        <w:spacing w:line="276" w:lineRule="auto"/>
        <w:jc w:val="both"/>
        <w:rPr>
          <w:rFonts w:ascii="Times New Roman" w:hAnsi="Times New Roman"/>
          <w:b/>
          <w:color w:val="000000" w:themeColor="text1"/>
          <w:sz w:val="24"/>
          <w:szCs w:val="24"/>
          <w:lang w:eastAsia="en-GB"/>
        </w:rPr>
      </w:pPr>
    </w:p>
    <w:p w:rsidR="005D77D4" w:rsidRPr="005D77D4" w:rsidRDefault="005D77D4" w:rsidP="005D77D4">
      <w:pPr>
        <w:pStyle w:val="NoSpacing"/>
        <w:spacing w:line="276" w:lineRule="auto"/>
        <w:ind w:firstLine="720"/>
        <w:jc w:val="both"/>
        <w:rPr>
          <w:rFonts w:ascii="Times New Roman" w:hAnsi="Times New Roman"/>
          <w:color w:val="000000" w:themeColor="text1"/>
          <w:sz w:val="24"/>
          <w:szCs w:val="24"/>
          <w:lang w:val="en-US"/>
        </w:rPr>
      </w:pPr>
      <w:r w:rsidRPr="005D77D4">
        <w:rPr>
          <w:rFonts w:ascii="Times New Roman" w:hAnsi="Times New Roman"/>
          <w:color w:val="000000" w:themeColor="text1"/>
          <w:sz w:val="24"/>
          <w:szCs w:val="24"/>
        </w:rPr>
        <w:t>Berdasarkan kriteria tersebut maka diperoleh sampel dalam penelitian ini sebanyak 79 sampel, yang terdiri dari sampel tahun 201</w:t>
      </w:r>
      <w:r w:rsidRPr="005D77D4">
        <w:rPr>
          <w:rFonts w:ascii="Times New Roman" w:hAnsi="Times New Roman"/>
          <w:color w:val="000000" w:themeColor="text1"/>
          <w:sz w:val="24"/>
          <w:szCs w:val="24"/>
          <w:lang w:val="en-US"/>
        </w:rPr>
        <w:t>5</w:t>
      </w:r>
      <w:r w:rsidRPr="005D77D4">
        <w:rPr>
          <w:rFonts w:ascii="Times New Roman" w:hAnsi="Times New Roman"/>
          <w:color w:val="000000" w:themeColor="text1"/>
          <w:sz w:val="24"/>
          <w:szCs w:val="24"/>
        </w:rPr>
        <w:t xml:space="preserve"> sampai dengan 20</w:t>
      </w:r>
      <w:r w:rsidRPr="005D77D4">
        <w:rPr>
          <w:rFonts w:ascii="Times New Roman" w:hAnsi="Times New Roman"/>
          <w:color w:val="000000" w:themeColor="text1"/>
          <w:sz w:val="24"/>
          <w:szCs w:val="24"/>
          <w:lang w:val="en-US"/>
        </w:rPr>
        <w:t>20</w:t>
      </w:r>
      <w:r w:rsidRPr="005D77D4">
        <w:rPr>
          <w:rFonts w:ascii="Times New Roman" w:hAnsi="Times New Roman"/>
          <w:color w:val="000000" w:themeColor="text1"/>
          <w:sz w:val="24"/>
          <w:szCs w:val="24"/>
        </w:rPr>
        <w:t>.</w:t>
      </w:r>
    </w:p>
    <w:p w:rsidR="005D77D4" w:rsidRPr="005D77D4" w:rsidRDefault="005D77D4" w:rsidP="005D77D4">
      <w:pPr>
        <w:pStyle w:val="NoSpacing"/>
        <w:spacing w:line="276" w:lineRule="auto"/>
        <w:jc w:val="both"/>
        <w:rPr>
          <w:rFonts w:ascii="Times New Roman" w:hAnsi="Times New Roman"/>
          <w:b/>
          <w:sz w:val="24"/>
          <w:szCs w:val="24"/>
          <w:lang w:val="en-US"/>
        </w:rPr>
      </w:pPr>
      <w:r w:rsidRPr="005D77D4">
        <w:rPr>
          <w:rFonts w:ascii="Times New Roman" w:hAnsi="Times New Roman"/>
          <w:b/>
          <w:sz w:val="24"/>
          <w:szCs w:val="24"/>
          <w:lang w:val="en-US"/>
        </w:rPr>
        <w:t>Teknik Pengumpulan Data</w:t>
      </w:r>
    </w:p>
    <w:p w:rsidR="005D77D4" w:rsidRPr="005D77D4" w:rsidRDefault="005D77D4" w:rsidP="005D77D4">
      <w:pPr>
        <w:pStyle w:val="NoSpacing"/>
        <w:spacing w:line="276" w:lineRule="auto"/>
        <w:ind w:firstLine="720"/>
        <w:jc w:val="both"/>
        <w:rPr>
          <w:rFonts w:ascii="Times New Roman" w:hAnsi="Times New Roman"/>
          <w:sz w:val="24"/>
          <w:szCs w:val="24"/>
          <w:lang w:val="en-US"/>
        </w:rPr>
      </w:pPr>
      <w:r w:rsidRPr="005D77D4">
        <w:rPr>
          <w:rFonts w:ascii="Times New Roman" w:hAnsi="Times New Roman"/>
          <w:sz w:val="24"/>
          <w:szCs w:val="24"/>
        </w:rPr>
        <w:t>Menurut S</w:t>
      </w:r>
      <w:r w:rsidRPr="005D77D4">
        <w:rPr>
          <w:rFonts w:ascii="Times New Roman" w:hAnsi="Times New Roman"/>
          <w:sz w:val="24"/>
          <w:szCs w:val="24"/>
          <w:lang w:val="en-US"/>
        </w:rPr>
        <w:t>ugiyono</w:t>
      </w:r>
      <w:r w:rsidRPr="005D77D4">
        <w:rPr>
          <w:rFonts w:ascii="Times New Roman" w:hAnsi="Times New Roman"/>
          <w:sz w:val="24"/>
          <w:szCs w:val="24"/>
        </w:rPr>
        <w:t xml:space="preserve"> (201</w:t>
      </w:r>
      <w:r w:rsidRPr="005D77D4">
        <w:rPr>
          <w:rFonts w:ascii="Times New Roman" w:hAnsi="Times New Roman"/>
          <w:sz w:val="24"/>
          <w:szCs w:val="24"/>
          <w:lang w:val="en-US"/>
        </w:rPr>
        <w:t>8</w:t>
      </w:r>
      <w:r w:rsidRPr="005D77D4">
        <w:rPr>
          <w:rFonts w:ascii="Times New Roman" w:hAnsi="Times New Roman"/>
          <w:sz w:val="24"/>
          <w:szCs w:val="24"/>
        </w:rPr>
        <w:t xml:space="preserve">: </w:t>
      </w:r>
      <w:r w:rsidRPr="005D77D4">
        <w:rPr>
          <w:rFonts w:ascii="Times New Roman" w:hAnsi="Times New Roman"/>
          <w:sz w:val="24"/>
          <w:szCs w:val="24"/>
          <w:lang w:val="en-US"/>
        </w:rPr>
        <w:t>6</w:t>
      </w:r>
      <w:r w:rsidRPr="005D77D4">
        <w:rPr>
          <w:rFonts w:ascii="Times New Roman" w:hAnsi="Times New Roman"/>
          <w:sz w:val="24"/>
          <w:szCs w:val="24"/>
        </w:rPr>
        <w:t xml:space="preserve">3) </w:t>
      </w:r>
      <w:r w:rsidRPr="005D77D4">
        <w:rPr>
          <w:rFonts w:ascii="Times New Roman" w:hAnsi="Times New Roman"/>
          <w:sz w:val="24"/>
          <w:szCs w:val="24"/>
          <w:lang w:val="en-US"/>
        </w:rPr>
        <w:t>ada tiga macam Teknik pengumpulan data, yaitu observasi, wawacara dan dokumentasi  :</w:t>
      </w:r>
    </w:p>
    <w:p w:rsidR="005D77D4" w:rsidRPr="005D77D4" w:rsidRDefault="005D77D4" w:rsidP="005D77D4">
      <w:pPr>
        <w:pStyle w:val="NoSpacing"/>
        <w:spacing w:line="276" w:lineRule="auto"/>
        <w:jc w:val="both"/>
        <w:rPr>
          <w:rFonts w:ascii="Times New Roman" w:hAnsi="Times New Roman"/>
          <w:sz w:val="24"/>
          <w:szCs w:val="24"/>
          <w:lang w:val="en-US"/>
        </w:rPr>
      </w:pPr>
      <w:r w:rsidRPr="005D77D4">
        <w:rPr>
          <w:rFonts w:ascii="Times New Roman" w:hAnsi="Times New Roman"/>
          <w:sz w:val="24"/>
          <w:szCs w:val="24"/>
          <w:lang w:val="en-US"/>
        </w:rPr>
        <w:t>Wawancara</w:t>
      </w:r>
    </w:p>
    <w:p w:rsidR="005D77D4" w:rsidRPr="005D77D4" w:rsidRDefault="005D77D4" w:rsidP="005D77D4">
      <w:pPr>
        <w:pStyle w:val="NoSpacing"/>
        <w:spacing w:line="276" w:lineRule="auto"/>
        <w:jc w:val="both"/>
        <w:rPr>
          <w:rFonts w:ascii="Times New Roman" w:hAnsi="Times New Roman"/>
          <w:sz w:val="24"/>
          <w:szCs w:val="24"/>
          <w:lang w:val="en-US"/>
        </w:rPr>
      </w:pPr>
      <w:r w:rsidRPr="005D77D4">
        <w:rPr>
          <w:rFonts w:ascii="Times New Roman" w:hAnsi="Times New Roman"/>
          <w:sz w:val="24"/>
          <w:szCs w:val="24"/>
          <w:lang w:val="en-US"/>
        </w:rPr>
        <w:t xml:space="preserve">Wawancara adalah proses memperoleh keterangan untuk tujuan penelitian dengan </w:t>
      </w:r>
      <w:proofErr w:type="gramStart"/>
      <w:r w:rsidRPr="005D77D4">
        <w:rPr>
          <w:rFonts w:ascii="Times New Roman" w:hAnsi="Times New Roman"/>
          <w:sz w:val="24"/>
          <w:szCs w:val="24"/>
          <w:lang w:val="en-US"/>
        </w:rPr>
        <w:t>cara</w:t>
      </w:r>
      <w:proofErr w:type="gramEnd"/>
      <w:r w:rsidRPr="005D77D4">
        <w:rPr>
          <w:rFonts w:ascii="Times New Roman" w:hAnsi="Times New Roman"/>
          <w:sz w:val="24"/>
          <w:szCs w:val="24"/>
          <w:lang w:val="en-US"/>
        </w:rPr>
        <w:t xml:space="preserve"> tanya jawab, sambal bertatapmuka antara si pewawancara dengan si penjawab atau responden dengan menggunakan alat yang dinamakan interview guide.</w:t>
      </w:r>
    </w:p>
    <w:p w:rsidR="005D77D4" w:rsidRPr="005D77D4" w:rsidRDefault="005D77D4" w:rsidP="005D77D4">
      <w:pPr>
        <w:pStyle w:val="NoSpacing"/>
        <w:spacing w:line="276" w:lineRule="auto"/>
        <w:jc w:val="both"/>
        <w:rPr>
          <w:rFonts w:ascii="Times New Roman" w:hAnsi="Times New Roman"/>
          <w:sz w:val="24"/>
          <w:szCs w:val="24"/>
          <w:lang w:val="en-US"/>
        </w:rPr>
      </w:pPr>
      <w:r w:rsidRPr="005D77D4">
        <w:rPr>
          <w:rFonts w:ascii="Times New Roman" w:hAnsi="Times New Roman"/>
          <w:sz w:val="24"/>
          <w:szCs w:val="24"/>
          <w:lang w:val="en-US"/>
        </w:rPr>
        <w:t>Pengamatan (Observasi)</w:t>
      </w:r>
    </w:p>
    <w:p w:rsidR="005D77D4" w:rsidRPr="005D77D4" w:rsidRDefault="005D77D4" w:rsidP="005D77D4">
      <w:pPr>
        <w:pStyle w:val="NoSpacing"/>
        <w:spacing w:line="276" w:lineRule="auto"/>
        <w:jc w:val="both"/>
        <w:rPr>
          <w:rFonts w:ascii="Times New Roman" w:hAnsi="Times New Roman"/>
          <w:sz w:val="24"/>
          <w:szCs w:val="24"/>
          <w:lang w:val="en-US"/>
        </w:rPr>
      </w:pPr>
      <w:proofErr w:type="gramStart"/>
      <w:r w:rsidRPr="005D77D4">
        <w:rPr>
          <w:rFonts w:ascii="Times New Roman" w:hAnsi="Times New Roman"/>
          <w:sz w:val="24"/>
          <w:szCs w:val="24"/>
          <w:lang w:val="en-US"/>
        </w:rPr>
        <w:t xml:space="preserve">Pengamatan atau observasi adalah pengumpulan data dengan terjun langsung kelapangan dengan mengamati secara langsung objek yang diteliti dan tidak </w:t>
      </w:r>
      <w:r w:rsidRPr="005D77D4">
        <w:rPr>
          <w:rFonts w:ascii="Times New Roman" w:hAnsi="Times New Roman"/>
          <w:sz w:val="24"/>
          <w:szCs w:val="24"/>
          <w:lang w:val="en-US"/>
        </w:rPr>
        <w:lastRenderedPageBreak/>
        <w:t>hanya mengukur sikap dari reponden namun juga dapat digunakan untuk merekam berbagai fenomena yang terjadi.</w:t>
      </w:r>
      <w:proofErr w:type="gramEnd"/>
    </w:p>
    <w:p w:rsidR="005D77D4" w:rsidRPr="005D77D4" w:rsidRDefault="005D77D4" w:rsidP="005D77D4">
      <w:pPr>
        <w:pStyle w:val="NoSpacing"/>
        <w:spacing w:line="276" w:lineRule="auto"/>
        <w:jc w:val="both"/>
        <w:rPr>
          <w:rFonts w:ascii="Times New Roman" w:hAnsi="Times New Roman"/>
          <w:sz w:val="24"/>
          <w:szCs w:val="24"/>
          <w:lang w:val="en-US"/>
        </w:rPr>
      </w:pPr>
      <w:r w:rsidRPr="005D77D4">
        <w:rPr>
          <w:rFonts w:ascii="Times New Roman" w:hAnsi="Times New Roman"/>
          <w:sz w:val="24"/>
          <w:szCs w:val="24"/>
          <w:lang w:val="en-US"/>
        </w:rPr>
        <w:t>Dokumentasi</w:t>
      </w:r>
    </w:p>
    <w:p w:rsidR="005D77D4" w:rsidRPr="005D77D4" w:rsidRDefault="005D77D4" w:rsidP="005D77D4">
      <w:pPr>
        <w:pStyle w:val="NoSpacing"/>
        <w:spacing w:line="276" w:lineRule="auto"/>
        <w:jc w:val="both"/>
        <w:rPr>
          <w:rFonts w:ascii="Times New Roman" w:hAnsi="Times New Roman"/>
          <w:sz w:val="24"/>
          <w:szCs w:val="24"/>
          <w:lang w:val="en-US"/>
        </w:rPr>
      </w:pPr>
      <w:proofErr w:type="gramStart"/>
      <w:r w:rsidRPr="005D77D4">
        <w:rPr>
          <w:rFonts w:ascii="Times New Roman" w:hAnsi="Times New Roman"/>
          <w:sz w:val="24"/>
          <w:szCs w:val="24"/>
          <w:lang w:val="en-US"/>
        </w:rPr>
        <w:t>Dokumentasi adalah pengambilan data yang diperoleh melalui dokumen-dokumen.</w:t>
      </w:r>
      <w:proofErr w:type="gramEnd"/>
      <w:r w:rsidRPr="005D77D4">
        <w:rPr>
          <w:rFonts w:ascii="Times New Roman" w:hAnsi="Times New Roman"/>
          <w:sz w:val="24"/>
          <w:szCs w:val="24"/>
          <w:lang w:val="en-US"/>
        </w:rPr>
        <w:t xml:space="preserve"> </w:t>
      </w:r>
      <w:proofErr w:type="gramStart"/>
      <w:r w:rsidRPr="005D77D4">
        <w:rPr>
          <w:rFonts w:ascii="Times New Roman" w:hAnsi="Times New Roman"/>
          <w:sz w:val="24"/>
          <w:szCs w:val="24"/>
          <w:lang w:val="en-US"/>
        </w:rPr>
        <w:t>Keuntungan menggunakan dokumen adalah biayanya relative murah, waktu dan tenaga lebih efisien, sedangkan kelemahannya ialah data yang diambil dari dokumen cenderung sudah lama dan kalua ada yang salah cetak maka peneliti ikut salah pula mengambil datanya.</w:t>
      </w:r>
      <w:proofErr w:type="gramEnd"/>
    </w:p>
    <w:p w:rsidR="005D77D4" w:rsidRPr="005D77D4" w:rsidRDefault="005D77D4" w:rsidP="005D77D4">
      <w:pPr>
        <w:pStyle w:val="NoSpacing"/>
        <w:spacing w:line="276" w:lineRule="auto"/>
        <w:ind w:firstLine="720"/>
        <w:jc w:val="both"/>
        <w:rPr>
          <w:rFonts w:ascii="Times New Roman" w:hAnsi="Times New Roman"/>
          <w:sz w:val="24"/>
          <w:szCs w:val="24"/>
          <w:lang w:val="en-US"/>
        </w:rPr>
      </w:pPr>
      <w:proofErr w:type="gramStart"/>
      <w:r w:rsidRPr="005D77D4">
        <w:rPr>
          <w:rFonts w:ascii="Times New Roman" w:hAnsi="Times New Roman"/>
          <w:sz w:val="24"/>
          <w:szCs w:val="24"/>
          <w:lang w:val="en-US"/>
        </w:rPr>
        <w:t>Teknik pengumpulan data yang digunakan dalam penelitian ini adalah dokumentasi yaitu peneliti melakukanpengumpulan data ayang diperoleh secara tidak langsung atau melalui media perantara.</w:t>
      </w:r>
      <w:proofErr w:type="gramEnd"/>
      <w:r w:rsidRPr="005D77D4">
        <w:rPr>
          <w:rFonts w:ascii="Times New Roman" w:hAnsi="Times New Roman"/>
          <w:sz w:val="24"/>
          <w:szCs w:val="24"/>
          <w:lang w:val="en-US"/>
        </w:rPr>
        <w:t xml:space="preserve"> </w:t>
      </w:r>
      <w:proofErr w:type="gramStart"/>
      <w:r w:rsidRPr="005D77D4">
        <w:rPr>
          <w:rFonts w:ascii="Times New Roman" w:hAnsi="Times New Roman"/>
          <w:sz w:val="24"/>
          <w:szCs w:val="24"/>
          <w:lang w:val="en-US"/>
        </w:rPr>
        <w:t>Media perantara tersebut adalah internet, yang diolah melalui situs Bursa Efek Indonesia (BEI) baik dalam media cetak maupun yang didownload dari internet melalui website.idx.co.id.</w:t>
      </w:r>
      <w:proofErr w:type="gramEnd"/>
    </w:p>
    <w:p w:rsidR="005D77D4" w:rsidRPr="005D77D4" w:rsidRDefault="005D77D4" w:rsidP="005D77D4">
      <w:pPr>
        <w:pStyle w:val="NoSpacing"/>
        <w:spacing w:line="276" w:lineRule="auto"/>
        <w:jc w:val="both"/>
        <w:rPr>
          <w:rFonts w:ascii="Times New Roman" w:hAnsi="Times New Roman"/>
          <w:sz w:val="24"/>
          <w:szCs w:val="24"/>
          <w:lang w:val="en-US"/>
        </w:rPr>
      </w:pPr>
    </w:p>
    <w:p w:rsidR="005D77D4" w:rsidRPr="005D77D4" w:rsidRDefault="005D77D4" w:rsidP="005D77D4">
      <w:pPr>
        <w:pStyle w:val="NoSpacing"/>
        <w:spacing w:line="276" w:lineRule="auto"/>
        <w:jc w:val="both"/>
        <w:rPr>
          <w:rFonts w:ascii="Times New Roman" w:hAnsi="Times New Roman"/>
          <w:b/>
          <w:bCs/>
          <w:sz w:val="24"/>
          <w:szCs w:val="24"/>
        </w:rPr>
      </w:pPr>
      <w:r w:rsidRPr="005D77D4">
        <w:rPr>
          <w:rFonts w:ascii="Times New Roman" w:hAnsi="Times New Roman"/>
          <w:b/>
          <w:bCs/>
          <w:sz w:val="24"/>
          <w:szCs w:val="24"/>
        </w:rPr>
        <w:t>Variabel dan Definisi Operasional</w:t>
      </w:r>
    </w:p>
    <w:p w:rsidR="005D77D4" w:rsidRPr="005D77D4" w:rsidRDefault="005D77D4" w:rsidP="005D77D4">
      <w:pPr>
        <w:pStyle w:val="NoSpacing"/>
        <w:spacing w:line="276" w:lineRule="auto"/>
        <w:ind w:firstLine="720"/>
        <w:jc w:val="both"/>
        <w:rPr>
          <w:rFonts w:ascii="Times New Roman" w:hAnsi="Times New Roman"/>
          <w:sz w:val="24"/>
          <w:szCs w:val="24"/>
        </w:rPr>
      </w:pPr>
      <w:proofErr w:type="gramStart"/>
      <w:r w:rsidRPr="005D77D4">
        <w:rPr>
          <w:rFonts w:ascii="Times New Roman" w:hAnsi="Times New Roman"/>
          <w:sz w:val="24"/>
          <w:szCs w:val="24"/>
          <w:lang w:val="en-US"/>
        </w:rPr>
        <w:t>Definisi operasional variable menjelaskan konsep masing-masing variable dalam penelitian.</w:t>
      </w:r>
      <w:proofErr w:type="gramEnd"/>
      <w:r w:rsidRPr="005D77D4">
        <w:rPr>
          <w:rFonts w:ascii="Times New Roman" w:hAnsi="Times New Roman"/>
          <w:sz w:val="24"/>
          <w:szCs w:val="24"/>
          <w:lang w:val="en-US"/>
        </w:rPr>
        <w:t xml:space="preserve"> Variabel-variael yang digunakan dalam penelitian </w:t>
      </w:r>
      <w:proofErr w:type="gramStart"/>
      <w:r w:rsidRPr="005D77D4">
        <w:rPr>
          <w:rFonts w:ascii="Times New Roman" w:hAnsi="Times New Roman"/>
          <w:sz w:val="24"/>
          <w:szCs w:val="24"/>
          <w:lang w:val="en-US"/>
        </w:rPr>
        <w:t>adalah :</w:t>
      </w:r>
      <w:proofErr w:type="gramEnd"/>
    </w:p>
    <w:p w:rsidR="002279CD" w:rsidRDefault="005D77D4" w:rsidP="005D77D4">
      <w:pPr>
        <w:pStyle w:val="ListParagraph"/>
        <w:ind w:left="0"/>
        <w:jc w:val="both"/>
        <w:rPr>
          <w:rFonts w:ascii="Times New Roman" w:hAnsi="Times New Roman"/>
          <w:b/>
          <w:color w:val="000000" w:themeColor="text1"/>
          <w:sz w:val="24"/>
          <w:szCs w:val="24"/>
          <w:lang w:val="en-US"/>
        </w:rPr>
      </w:pPr>
      <w:r w:rsidRPr="005D77D4">
        <w:rPr>
          <w:rFonts w:ascii="Times New Roman" w:hAnsi="Times New Roman"/>
          <w:b/>
          <w:color w:val="000000" w:themeColor="text1"/>
          <w:sz w:val="24"/>
          <w:szCs w:val="24"/>
        </w:rPr>
        <w:t xml:space="preserve">Tabel </w:t>
      </w:r>
      <w:r w:rsidRPr="005D77D4">
        <w:rPr>
          <w:rFonts w:ascii="Times New Roman" w:hAnsi="Times New Roman"/>
          <w:b/>
          <w:color w:val="000000" w:themeColor="text1"/>
          <w:sz w:val="24"/>
          <w:szCs w:val="24"/>
          <w:lang w:val="en-US"/>
        </w:rPr>
        <w:t xml:space="preserve">1 </w:t>
      </w:r>
      <w:r w:rsidRPr="005D77D4">
        <w:rPr>
          <w:rFonts w:ascii="Times New Roman" w:hAnsi="Times New Roman"/>
          <w:b/>
          <w:color w:val="000000" w:themeColor="text1"/>
          <w:sz w:val="24"/>
          <w:szCs w:val="24"/>
          <w:lang w:val="en-US"/>
        </w:rPr>
        <w:t xml:space="preserve">Variael dan </w:t>
      </w:r>
      <w:r w:rsidRPr="005D77D4">
        <w:rPr>
          <w:rFonts w:ascii="Times New Roman" w:hAnsi="Times New Roman"/>
          <w:b/>
          <w:color w:val="000000" w:themeColor="text1"/>
          <w:sz w:val="24"/>
          <w:szCs w:val="24"/>
        </w:rPr>
        <w:t>Definisi Operasional</w:t>
      </w:r>
    </w:p>
    <w:p w:rsidR="005D77D4" w:rsidRDefault="005D77D4" w:rsidP="00FD5EDA">
      <w:pPr>
        <w:pStyle w:val="ListParagraph"/>
        <w:ind w:left="0"/>
        <w:jc w:val="center"/>
        <w:rPr>
          <w:rFonts w:ascii="Times New Roman" w:hAnsi="Times New Roman"/>
          <w:b/>
          <w:color w:val="000000" w:themeColor="text1"/>
          <w:sz w:val="24"/>
          <w:szCs w:val="24"/>
        </w:rPr>
        <w:sectPr w:rsidR="005D77D4" w:rsidSect="00AC7641">
          <w:type w:val="continuous"/>
          <w:pgSz w:w="11906" w:h="16838"/>
          <w:pgMar w:top="1440" w:right="1440" w:bottom="1440" w:left="1440" w:header="510" w:footer="708" w:gutter="0"/>
          <w:pgNumType w:start="1"/>
          <w:cols w:num="2" w:space="708"/>
          <w:docGrid w:linePitch="360"/>
        </w:sectPr>
      </w:pPr>
    </w:p>
    <w:tbl>
      <w:tblPr>
        <w:tblStyle w:val="TableGrid"/>
        <w:tblW w:w="9493" w:type="dxa"/>
        <w:jc w:val="center"/>
        <w:tblLook w:val="04A0" w:firstRow="1" w:lastRow="0" w:firstColumn="1" w:lastColumn="0" w:noHBand="0" w:noVBand="1"/>
      </w:tblPr>
      <w:tblGrid>
        <w:gridCol w:w="1480"/>
        <w:gridCol w:w="2356"/>
        <w:gridCol w:w="4867"/>
        <w:gridCol w:w="790"/>
      </w:tblGrid>
      <w:tr w:rsidR="005D77D4" w:rsidRPr="00FE6DFA" w:rsidTr="00FD5EDA">
        <w:trPr>
          <w:tblHeader/>
          <w:jc w:val="center"/>
        </w:trPr>
        <w:tc>
          <w:tcPr>
            <w:tcW w:w="1485" w:type="dxa"/>
          </w:tcPr>
          <w:p w:rsidR="005D77D4" w:rsidRPr="00FE6DFA" w:rsidRDefault="005D77D4" w:rsidP="00FD5EDA">
            <w:pPr>
              <w:pStyle w:val="ListParagraph"/>
              <w:ind w:left="0"/>
              <w:jc w:val="center"/>
              <w:rPr>
                <w:rFonts w:ascii="Times New Roman" w:hAnsi="Times New Roman"/>
                <w:b/>
                <w:color w:val="000000" w:themeColor="text1"/>
                <w:sz w:val="24"/>
                <w:szCs w:val="24"/>
              </w:rPr>
            </w:pPr>
            <w:r w:rsidRPr="00FE6DFA">
              <w:rPr>
                <w:rFonts w:ascii="Times New Roman" w:hAnsi="Times New Roman"/>
                <w:b/>
                <w:color w:val="000000" w:themeColor="text1"/>
                <w:sz w:val="24"/>
                <w:szCs w:val="24"/>
              </w:rPr>
              <w:lastRenderedPageBreak/>
              <w:t>Variabel</w:t>
            </w:r>
          </w:p>
        </w:tc>
        <w:tc>
          <w:tcPr>
            <w:tcW w:w="2371" w:type="dxa"/>
          </w:tcPr>
          <w:p w:rsidR="005D77D4" w:rsidRPr="00FE6DFA" w:rsidRDefault="005D77D4" w:rsidP="00FD5EDA">
            <w:pPr>
              <w:pStyle w:val="ListParagraph"/>
              <w:ind w:left="0"/>
              <w:jc w:val="center"/>
              <w:rPr>
                <w:rFonts w:ascii="Times New Roman" w:hAnsi="Times New Roman"/>
                <w:b/>
                <w:color w:val="000000" w:themeColor="text1"/>
                <w:sz w:val="24"/>
                <w:szCs w:val="24"/>
              </w:rPr>
            </w:pPr>
            <w:r w:rsidRPr="00FE6DFA">
              <w:rPr>
                <w:rFonts w:ascii="Times New Roman" w:hAnsi="Times New Roman"/>
                <w:b/>
                <w:color w:val="000000" w:themeColor="text1"/>
                <w:sz w:val="24"/>
                <w:szCs w:val="24"/>
              </w:rPr>
              <w:t>Definisi Operasional</w:t>
            </w:r>
          </w:p>
        </w:tc>
        <w:tc>
          <w:tcPr>
            <w:tcW w:w="4928" w:type="dxa"/>
          </w:tcPr>
          <w:p w:rsidR="005D77D4" w:rsidRPr="00FE6DFA" w:rsidRDefault="005D77D4" w:rsidP="00FD5EDA">
            <w:pPr>
              <w:pStyle w:val="ListParagraph"/>
              <w:ind w:left="0"/>
              <w:jc w:val="center"/>
              <w:rPr>
                <w:rFonts w:ascii="Times New Roman" w:hAnsi="Times New Roman"/>
                <w:b/>
                <w:color w:val="000000" w:themeColor="text1"/>
                <w:sz w:val="24"/>
                <w:szCs w:val="24"/>
              </w:rPr>
            </w:pPr>
            <w:r w:rsidRPr="00FE6DFA">
              <w:rPr>
                <w:rFonts w:ascii="Times New Roman" w:hAnsi="Times New Roman"/>
                <w:b/>
                <w:color w:val="000000" w:themeColor="text1"/>
                <w:sz w:val="24"/>
                <w:szCs w:val="24"/>
              </w:rPr>
              <w:t>Indikator</w:t>
            </w:r>
          </w:p>
        </w:tc>
        <w:tc>
          <w:tcPr>
            <w:tcW w:w="709" w:type="dxa"/>
          </w:tcPr>
          <w:p w:rsidR="005D77D4" w:rsidRPr="00FE6DFA" w:rsidRDefault="005D77D4" w:rsidP="00FD5EDA">
            <w:pPr>
              <w:pStyle w:val="ListParagraph"/>
              <w:ind w:left="0"/>
              <w:jc w:val="center"/>
              <w:rPr>
                <w:rFonts w:ascii="Times New Roman" w:hAnsi="Times New Roman"/>
                <w:b/>
                <w:color w:val="000000" w:themeColor="text1"/>
                <w:sz w:val="24"/>
                <w:szCs w:val="24"/>
              </w:rPr>
            </w:pPr>
            <w:r w:rsidRPr="00FE6DFA">
              <w:rPr>
                <w:rFonts w:ascii="Times New Roman" w:hAnsi="Times New Roman"/>
                <w:b/>
                <w:color w:val="000000" w:themeColor="text1"/>
                <w:sz w:val="24"/>
                <w:szCs w:val="24"/>
              </w:rPr>
              <w:t>Skala</w:t>
            </w:r>
          </w:p>
        </w:tc>
      </w:tr>
      <w:tr w:rsidR="005D77D4" w:rsidRPr="00FE6DFA" w:rsidTr="00FD5EDA">
        <w:trPr>
          <w:jc w:val="center"/>
        </w:trPr>
        <w:tc>
          <w:tcPr>
            <w:tcW w:w="1485" w:type="dxa"/>
          </w:tcPr>
          <w:p w:rsidR="005D77D4" w:rsidRPr="00C67EFB" w:rsidRDefault="005D77D4" w:rsidP="00FD5EDA">
            <w:pPr>
              <w:pStyle w:val="ListParagraph"/>
              <w:ind w:left="0"/>
              <w:rPr>
                <w:rFonts w:ascii="Times New Roman" w:hAnsi="Times New Roman"/>
                <w:color w:val="000000" w:themeColor="text1"/>
                <w:sz w:val="18"/>
                <w:szCs w:val="18"/>
              </w:rPr>
            </w:pPr>
            <w:r w:rsidRPr="00C67EFB">
              <w:rPr>
                <w:rFonts w:ascii="Times New Roman" w:hAnsi="Times New Roman"/>
                <w:sz w:val="18"/>
                <w:szCs w:val="18"/>
              </w:rPr>
              <w:t>Indeks Harga Saham Gabungan (IHSG)</w:t>
            </w:r>
          </w:p>
        </w:tc>
        <w:tc>
          <w:tcPr>
            <w:tcW w:w="2371" w:type="dxa"/>
          </w:tcPr>
          <w:p w:rsidR="005D77D4" w:rsidRPr="00C67EFB" w:rsidRDefault="005D77D4" w:rsidP="00FD5EDA">
            <w:pPr>
              <w:pStyle w:val="ListParagraph"/>
              <w:ind w:left="0"/>
              <w:jc w:val="both"/>
              <w:rPr>
                <w:rFonts w:ascii="Times New Roman" w:hAnsi="Times New Roman"/>
                <w:color w:val="000000" w:themeColor="text1"/>
                <w:sz w:val="18"/>
                <w:szCs w:val="18"/>
              </w:rPr>
            </w:pPr>
            <w:r w:rsidRPr="00C67EFB">
              <w:rPr>
                <w:rFonts w:ascii="Times New Roman" w:hAnsi="Times New Roman"/>
                <w:sz w:val="18"/>
                <w:szCs w:val="18"/>
              </w:rPr>
              <w:t>Menurut Widoatmodjo (2004:13) “IHSG (Indeks Harga Saham Gabungan) adalah salah satu indeks yang merangkum perkembangan harga-harga saham di BEI.</w:t>
            </w:r>
          </w:p>
          <w:p w:rsidR="005D77D4" w:rsidRPr="00C67EFB" w:rsidRDefault="005D77D4" w:rsidP="00FD5EDA">
            <w:pPr>
              <w:pStyle w:val="ListParagraph"/>
              <w:ind w:left="0"/>
              <w:jc w:val="both"/>
              <w:rPr>
                <w:rFonts w:ascii="Times New Roman" w:hAnsi="Times New Roman"/>
                <w:color w:val="000000" w:themeColor="text1"/>
                <w:sz w:val="18"/>
                <w:szCs w:val="18"/>
              </w:rPr>
            </w:pPr>
          </w:p>
        </w:tc>
        <w:tc>
          <w:tcPr>
            <w:tcW w:w="4928" w:type="dxa"/>
          </w:tcPr>
          <w:p w:rsidR="005D77D4" w:rsidRPr="00C67EFB" w:rsidRDefault="005D77D4" w:rsidP="00FD5EDA">
            <w:pPr>
              <w:pStyle w:val="ListParagraph"/>
              <w:ind w:left="0"/>
              <w:jc w:val="center"/>
              <w:rPr>
                <w:rFonts w:ascii="Times New Roman" w:hAnsi="Times New Roman"/>
                <w:color w:val="000000" w:themeColor="text1"/>
                <w:sz w:val="18"/>
                <w:szCs w:val="18"/>
              </w:rPr>
            </w:pPr>
            <w:r w:rsidRPr="00C67EFB">
              <w:rPr>
                <w:rFonts w:ascii="Times New Roman" w:hAnsi="Times New Roman"/>
                <w:sz w:val="18"/>
                <w:szCs w:val="18"/>
              </w:rPr>
              <w:t>IHSG = IHSG (-30) – IHSG (1)</w:t>
            </w:r>
          </w:p>
        </w:tc>
        <w:tc>
          <w:tcPr>
            <w:tcW w:w="709" w:type="dxa"/>
          </w:tcPr>
          <w:p w:rsidR="005D77D4" w:rsidRPr="00C67EFB" w:rsidRDefault="005D77D4" w:rsidP="00FD5EDA">
            <w:pPr>
              <w:pStyle w:val="ListParagraph"/>
              <w:ind w:left="0"/>
              <w:jc w:val="center"/>
              <w:rPr>
                <w:rFonts w:ascii="Times New Roman" w:hAnsi="Times New Roman"/>
                <w:color w:val="000000" w:themeColor="text1"/>
                <w:sz w:val="18"/>
                <w:szCs w:val="18"/>
              </w:rPr>
            </w:pPr>
            <w:r w:rsidRPr="00C67EFB">
              <w:rPr>
                <w:rFonts w:ascii="Times New Roman" w:hAnsi="Times New Roman"/>
                <w:color w:val="000000" w:themeColor="text1"/>
                <w:sz w:val="18"/>
                <w:szCs w:val="18"/>
              </w:rPr>
              <w:t>Rasio</w:t>
            </w:r>
          </w:p>
        </w:tc>
      </w:tr>
      <w:tr w:rsidR="005D77D4" w:rsidRPr="00FE6DFA" w:rsidTr="00FD5EDA">
        <w:trPr>
          <w:jc w:val="center"/>
        </w:trPr>
        <w:tc>
          <w:tcPr>
            <w:tcW w:w="1485" w:type="dxa"/>
          </w:tcPr>
          <w:p w:rsidR="005D77D4" w:rsidRPr="00C67EFB" w:rsidRDefault="005D77D4" w:rsidP="00FD5EDA">
            <w:pPr>
              <w:pStyle w:val="ListParagraph"/>
              <w:ind w:left="0"/>
              <w:rPr>
                <w:rFonts w:ascii="Times New Roman" w:hAnsi="Times New Roman"/>
                <w:sz w:val="18"/>
                <w:szCs w:val="18"/>
              </w:rPr>
            </w:pPr>
            <w:r w:rsidRPr="00C67EFB">
              <w:rPr>
                <w:rFonts w:ascii="Times New Roman" w:hAnsi="Times New Roman"/>
                <w:sz w:val="18"/>
                <w:szCs w:val="18"/>
              </w:rPr>
              <w:t>Harga Penawaran Saham (Offering Price)</w:t>
            </w:r>
          </w:p>
          <w:p w:rsidR="005D77D4" w:rsidRPr="00C67EFB" w:rsidRDefault="005D77D4" w:rsidP="00FD5EDA">
            <w:pPr>
              <w:pStyle w:val="ListParagraph"/>
              <w:ind w:left="0"/>
              <w:rPr>
                <w:rFonts w:ascii="Times New Roman" w:hAnsi="Times New Roman"/>
                <w:sz w:val="18"/>
                <w:szCs w:val="18"/>
              </w:rPr>
            </w:pPr>
          </w:p>
          <w:p w:rsidR="005D77D4" w:rsidRPr="00C67EFB" w:rsidRDefault="005D77D4" w:rsidP="00FD5EDA">
            <w:pPr>
              <w:pStyle w:val="ListParagraph"/>
              <w:ind w:left="0"/>
              <w:rPr>
                <w:rFonts w:ascii="Times New Roman" w:hAnsi="Times New Roman"/>
                <w:color w:val="000000" w:themeColor="text1"/>
                <w:sz w:val="18"/>
                <w:szCs w:val="18"/>
              </w:rPr>
            </w:pPr>
          </w:p>
        </w:tc>
        <w:tc>
          <w:tcPr>
            <w:tcW w:w="2371" w:type="dxa"/>
          </w:tcPr>
          <w:p w:rsidR="005D77D4" w:rsidRPr="00C67EFB" w:rsidRDefault="005D77D4" w:rsidP="00FD5EDA">
            <w:pPr>
              <w:pStyle w:val="ListParagraph"/>
              <w:ind w:left="0"/>
              <w:jc w:val="both"/>
              <w:rPr>
                <w:rFonts w:ascii="Times New Roman" w:hAnsi="Times New Roman"/>
                <w:color w:val="000000" w:themeColor="text1"/>
                <w:sz w:val="18"/>
                <w:szCs w:val="18"/>
              </w:rPr>
            </w:pPr>
            <w:r w:rsidRPr="00C67EFB">
              <w:rPr>
                <w:rFonts w:ascii="Times New Roman" w:hAnsi="Times New Roman"/>
                <w:sz w:val="18"/>
                <w:szCs w:val="18"/>
              </w:rPr>
              <w:t>Harga penawaran saham (</w:t>
            </w:r>
            <w:r w:rsidRPr="00C67EFB">
              <w:rPr>
                <w:rFonts w:ascii="Times New Roman" w:hAnsi="Times New Roman"/>
                <w:i/>
                <w:sz w:val="18"/>
                <w:szCs w:val="18"/>
              </w:rPr>
              <w:t>offering price</w:t>
            </w:r>
            <w:r w:rsidRPr="00C67EFB">
              <w:rPr>
                <w:rFonts w:ascii="Times New Roman" w:hAnsi="Times New Roman"/>
                <w:sz w:val="18"/>
                <w:szCs w:val="18"/>
              </w:rPr>
              <w:t>) adalah harga saham yang ditawarkan perusahaan pada saat IPO Syarifah Aini (2009).</w:t>
            </w:r>
          </w:p>
        </w:tc>
        <w:tc>
          <w:tcPr>
            <w:tcW w:w="4928" w:type="dxa"/>
          </w:tcPr>
          <w:p w:rsidR="005D77D4" w:rsidRPr="00C67EFB" w:rsidRDefault="005D77D4" w:rsidP="00FD5EDA">
            <w:pPr>
              <w:pStyle w:val="ListParagraph"/>
              <w:ind w:left="0"/>
              <w:jc w:val="center"/>
              <w:rPr>
                <w:rFonts w:ascii="Times New Roman" w:hAnsi="Times New Roman"/>
                <w:color w:val="000000" w:themeColor="text1"/>
                <w:sz w:val="18"/>
                <w:szCs w:val="18"/>
              </w:rPr>
            </w:pPr>
            <w:r w:rsidRPr="00C67EFB">
              <w:rPr>
                <w:rFonts w:ascii="Times New Roman" w:hAnsi="Times New Roman"/>
                <w:color w:val="000000" w:themeColor="text1"/>
                <w:sz w:val="18"/>
                <w:szCs w:val="18"/>
              </w:rPr>
              <w:t>Harga saham (Rp)</w:t>
            </w:r>
          </w:p>
        </w:tc>
        <w:tc>
          <w:tcPr>
            <w:tcW w:w="709" w:type="dxa"/>
          </w:tcPr>
          <w:p w:rsidR="005D77D4" w:rsidRPr="00C67EFB" w:rsidRDefault="005D77D4" w:rsidP="00FD5EDA">
            <w:pPr>
              <w:pStyle w:val="ListParagraph"/>
              <w:ind w:left="0"/>
              <w:jc w:val="center"/>
              <w:rPr>
                <w:rFonts w:ascii="Times New Roman" w:hAnsi="Times New Roman"/>
                <w:color w:val="000000" w:themeColor="text1"/>
                <w:sz w:val="18"/>
                <w:szCs w:val="18"/>
              </w:rPr>
            </w:pPr>
            <w:r w:rsidRPr="00C67EFB">
              <w:rPr>
                <w:rFonts w:ascii="Times New Roman" w:hAnsi="Times New Roman"/>
                <w:color w:val="000000" w:themeColor="text1"/>
                <w:sz w:val="18"/>
                <w:szCs w:val="18"/>
              </w:rPr>
              <w:t xml:space="preserve">Ordinal </w:t>
            </w:r>
          </w:p>
        </w:tc>
      </w:tr>
      <w:tr w:rsidR="005D77D4" w:rsidRPr="00C67EFB" w:rsidTr="00FD5EDA">
        <w:trPr>
          <w:jc w:val="center"/>
        </w:trPr>
        <w:tc>
          <w:tcPr>
            <w:tcW w:w="1485" w:type="dxa"/>
          </w:tcPr>
          <w:p w:rsidR="005D77D4" w:rsidRPr="00C67EFB" w:rsidRDefault="005D77D4" w:rsidP="00FD5EDA">
            <w:pPr>
              <w:pStyle w:val="ListParagraph"/>
              <w:ind w:left="0"/>
              <w:rPr>
                <w:rFonts w:ascii="Times New Roman" w:hAnsi="Times New Roman"/>
                <w:color w:val="000000" w:themeColor="text1"/>
                <w:sz w:val="18"/>
                <w:szCs w:val="18"/>
              </w:rPr>
            </w:pPr>
            <w:r w:rsidRPr="00C67EFB">
              <w:rPr>
                <w:rFonts w:ascii="Times New Roman" w:hAnsi="Times New Roman"/>
                <w:sz w:val="18"/>
                <w:szCs w:val="18"/>
              </w:rPr>
              <w:lastRenderedPageBreak/>
              <w:t>Jangka Waktu Penawaran (</w:t>
            </w:r>
            <w:r w:rsidRPr="00C67EFB">
              <w:rPr>
                <w:rFonts w:ascii="Times New Roman" w:hAnsi="Times New Roman"/>
                <w:i/>
                <w:sz w:val="18"/>
                <w:szCs w:val="18"/>
              </w:rPr>
              <w:t>offer timing</w:t>
            </w:r>
            <w:r w:rsidRPr="00C67EFB">
              <w:rPr>
                <w:rFonts w:ascii="Times New Roman" w:hAnsi="Times New Roman"/>
                <w:sz w:val="18"/>
                <w:szCs w:val="18"/>
              </w:rPr>
              <w:t>)</w:t>
            </w:r>
          </w:p>
        </w:tc>
        <w:tc>
          <w:tcPr>
            <w:tcW w:w="2371" w:type="dxa"/>
          </w:tcPr>
          <w:p w:rsidR="005D77D4" w:rsidRPr="00C67EFB" w:rsidRDefault="005D77D4" w:rsidP="00FD5EDA">
            <w:pPr>
              <w:pStyle w:val="ListParagraph"/>
              <w:ind w:left="0"/>
              <w:jc w:val="both"/>
              <w:rPr>
                <w:rFonts w:ascii="Times New Roman" w:hAnsi="Times New Roman"/>
                <w:color w:val="000000" w:themeColor="text1"/>
                <w:sz w:val="18"/>
                <w:szCs w:val="18"/>
              </w:rPr>
            </w:pPr>
            <w:r w:rsidRPr="00C67EFB">
              <w:rPr>
                <w:rFonts w:ascii="Times New Roman" w:hAnsi="Times New Roman"/>
                <w:sz w:val="18"/>
                <w:szCs w:val="18"/>
              </w:rPr>
              <w:t>Islam, et al (2010) Jangka waktu penawaran (</w:t>
            </w:r>
            <w:r w:rsidRPr="00C67EFB">
              <w:rPr>
                <w:rFonts w:ascii="Times New Roman" w:hAnsi="Times New Roman"/>
                <w:i/>
                <w:sz w:val="18"/>
                <w:szCs w:val="18"/>
              </w:rPr>
              <w:t xml:space="preserve">offer timing) </w:t>
            </w:r>
            <w:r w:rsidRPr="00C67EFB">
              <w:rPr>
                <w:rFonts w:ascii="Times New Roman" w:hAnsi="Times New Roman"/>
                <w:sz w:val="18"/>
                <w:szCs w:val="18"/>
              </w:rPr>
              <w:t>adalah waktu untuk menawarkan saham perdana perusahaan. variabel jangka waktu penawaran diukur dengan waktu yang digunakan perusahaan untuk menawarkan saham perdana</w:t>
            </w:r>
          </w:p>
        </w:tc>
        <w:tc>
          <w:tcPr>
            <w:tcW w:w="4928" w:type="dxa"/>
          </w:tcPr>
          <w:p w:rsidR="005D77D4" w:rsidRPr="00C67EFB" w:rsidRDefault="005D77D4" w:rsidP="00FD5EDA">
            <w:pPr>
              <w:pStyle w:val="ListParagraph"/>
              <w:ind w:left="0"/>
              <w:jc w:val="center"/>
              <w:rPr>
                <w:rFonts w:ascii="Times New Roman" w:hAnsi="Times New Roman"/>
                <w:color w:val="000000" w:themeColor="text1"/>
                <w:sz w:val="18"/>
                <w:szCs w:val="18"/>
              </w:rPr>
            </w:pPr>
            <w:r w:rsidRPr="00C67EFB">
              <w:rPr>
                <w:rFonts w:ascii="Times New Roman" w:hAnsi="Times New Roman"/>
                <w:color w:val="000000" w:themeColor="text1"/>
                <w:sz w:val="18"/>
                <w:szCs w:val="18"/>
              </w:rPr>
              <w:t>Harian (Tanggal Masehi)</w:t>
            </w:r>
          </w:p>
        </w:tc>
        <w:tc>
          <w:tcPr>
            <w:tcW w:w="709" w:type="dxa"/>
          </w:tcPr>
          <w:p w:rsidR="005D77D4" w:rsidRPr="00C67EFB" w:rsidRDefault="005D77D4" w:rsidP="00FD5EDA">
            <w:pPr>
              <w:pStyle w:val="ListParagraph"/>
              <w:ind w:left="0"/>
              <w:jc w:val="center"/>
              <w:rPr>
                <w:rFonts w:ascii="Times New Roman" w:hAnsi="Times New Roman"/>
                <w:color w:val="000000" w:themeColor="text1"/>
                <w:sz w:val="18"/>
                <w:szCs w:val="18"/>
              </w:rPr>
            </w:pPr>
            <w:r w:rsidRPr="00C67EFB">
              <w:rPr>
                <w:rFonts w:ascii="Times New Roman" w:hAnsi="Times New Roman"/>
                <w:color w:val="000000" w:themeColor="text1"/>
                <w:sz w:val="18"/>
                <w:szCs w:val="18"/>
              </w:rPr>
              <w:t xml:space="preserve">Ordinal </w:t>
            </w:r>
          </w:p>
        </w:tc>
      </w:tr>
      <w:tr w:rsidR="005D77D4" w:rsidRPr="00C67EFB" w:rsidTr="00FD5EDA">
        <w:trPr>
          <w:jc w:val="center"/>
        </w:trPr>
        <w:tc>
          <w:tcPr>
            <w:tcW w:w="1485" w:type="dxa"/>
          </w:tcPr>
          <w:p w:rsidR="005D77D4" w:rsidRPr="00C67EFB" w:rsidRDefault="005D77D4" w:rsidP="00FD5EDA">
            <w:pPr>
              <w:pStyle w:val="ListParagraph"/>
              <w:ind w:left="0"/>
              <w:rPr>
                <w:rFonts w:ascii="Times New Roman" w:hAnsi="Times New Roman"/>
                <w:sz w:val="18"/>
                <w:szCs w:val="18"/>
              </w:rPr>
            </w:pPr>
            <w:r w:rsidRPr="00C67EFB">
              <w:rPr>
                <w:rFonts w:ascii="Times New Roman" w:hAnsi="Times New Roman"/>
                <w:sz w:val="18"/>
                <w:szCs w:val="18"/>
              </w:rPr>
              <w:t>Pertumbuhan Pendapatan (</w:t>
            </w:r>
            <w:r w:rsidRPr="00C67EFB">
              <w:rPr>
                <w:rFonts w:ascii="Times New Roman" w:hAnsi="Times New Roman"/>
                <w:i/>
                <w:sz w:val="18"/>
                <w:szCs w:val="18"/>
              </w:rPr>
              <w:t>Revenues Growth</w:t>
            </w:r>
            <w:r w:rsidRPr="00C67EFB">
              <w:rPr>
                <w:rFonts w:ascii="Times New Roman" w:hAnsi="Times New Roman"/>
                <w:sz w:val="18"/>
                <w:szCs w:val="18"/>
              </w:rPr>
              <w:t>)</w:t>
            </w:r>
          </w:p>
        </w:tc>
        <w:tc>
          <w:tcPr>
            <w:tcW w:w="2371" w:type="dxa"/>
          </w:tcPr>
          <w:p w:rsidR="005D77D4" w:rsidRPr="00C67EFB" w:rsidRDefault="005D77D4" w:rsidP="00FD5EDA">
            <w:pPr>
              <w:pStyle w:val="ListParagraph"/>
              <w:ind w:left="0"/>
              <w:jc w:val="both"/>
              <w:rPr>
                <w:rFonts w:ascii="Times New Roman" w:hAnsi="Times New Roman"/>
                <w:sz w:val="18"/>
                <w:szCs w:val="18"/>
              </w:rPr>
            </w:pPr>
            <w:r w:rsidRPr="00C67EFB">
              <w:rPr>
                <w:rFonts w:ascii="Times New Roman" w:hAnsi="Times New Roman"/>
                <w:sz w:val="18"/>
                <w:szCs w:val="18"/>
              </w:rPr>
              <w:t>Pertumbuhan Pendapatan (</w:t>
            </w:r>
            <w:r w:rsidRPr="00C67EFB">
              <w:rPr>
                <w:rFonts w:ascii="Times New Roman" w:hAnsi="Times New Roman"/>
                <w:i/>
                <w:sz w:val="18"/>
                <w:szCs w:val="18"/>
              </w:rPr>
              <w:t>Revenues Growth</w:t>
            </w:r>
            <w:r w:rsidRPr="00C67EFB">
              <w:rPr>
                <w:rFonts w:ascii="Times New Roman" w:hAnsi="Times New Roman"/>
                <w:sz w:val="18"/>
                <w:szCs w:val="18"/>
              </w:rPr>
              <w:t>) diartikan sebagai kenaikan jumlah pendapatan perusahaan dari tahun ke tahun atau dari waktu ke waktu</w:t>
            </w:r>
          </w:p>
        </w:tc>
        <w:tc>
          <w:tcPr>
            <w:tcW w:w="4928" w:type="dxa"/>
          </w:tcPr>
          <w:p w:rsidR="005D77D4" w:rsidRPr="00C67EFB" w:rsidRDefault="005D77D4" w:rsidP="00FD5EDA">
            <w:pPr>
              <w:tabs>
                <w:tab w:val="left" w:pos="8931"/>
              </w:tabs>
              <w:ind w:right="95"/>
              <w:jc w:val="both"/>
              <w:rPr>
                <w:sz w:val="18"/>
                <w:szCs w:val="18"/>
              </w:rPr>
            </w:pPr>
            <w:r w:rsidRPr="00C67EFB">
              <w:rPr>
                <w:sz w:val="18"/>
                <w:szCs w:val="18"/>
              </w:rPr>
              <w:t xml:space="preserve">SG= </w:t>
            </w:r>
            <w:r w:rsidRPr="00C67EFB">
              <w:rPr>
                <w:sz w:val="18"/>
                <w:szCs w:val="18"/>
                <w:u w:val="single"/>
              </w:rPr>
              <w:t>Total Pendapatan IPO-1 – Total Pendapatan IPO-2</w:t>
            </w:r>
            <w:r w:rsidRPr="00C67EFB">
              <w:rPr>
                <w:sz w:val="18"/>
                <w:szCs w:val="18"/>
              </w:rPr>
              <w:t xml:space="preserve"> x 100%</w:t>
            </w:r>
          </w:p>
          <w:p w:rsidR="005D77D4" w:rsidRPr="00C67EFB" w:rsidRDefault="005D77D4" w:rsidP="00FD5EDA">
            <w:pPr>
              <w:pStyle w:val="ListParagraph"/>
              <w:ind w:left="0"/>
              <w:jc w:val="center"/>
              <w:rPr>
                <w:rFonts w:ascii="Times New Roman" w:hAnsi="Times New Roman"/>
                <w:color w:val="000000" w:themeColor="text1"/>
                <w:sz w:val="18"/>
                <w:szCs w:val="18"/>
              </w:rPr>
            </w:pPr>
            <w:r w:rsidRPr="00C67EFB">
              <w:rPr>
                <w:rFonts w:ascii="Times New Roman" w:hAnsi="Times New Roman"/>
                <w:sz w:val="18"/>
                <w:szCs w:val="18"/>
              </w:rPr>
              <w:t xml:space="preserve">                               Total Pendapatan IPO-2</w:t>
            </w:r>
          </w:p>
        </w:tc>
        <w:tc>
          <w:tcPr>
            <w:tcW w:w="709" w:type="dxa"/>
          </w:tcPr>
          <w:p w:rsidR="005D77D4" w:rsidRPr="00C67EFB" w:rsidRDefault="005D77D4" w:rsidP="00FD5EDA">
            <w:pPr>
              <w:pStyle w:val="ListParagraph"/>
              <w:ind w:left="0"/>
              <w:jc w:val="center"/>
              <w:rPr>
                <w:rFonts w:ascii="Times New Roman" w:hAnsi="Times New Roman"/>
                <w:color w:val="000000" w:themeColor="text1"/>
                <w:sz w:val="18"/>
                <w:szCs w:val="18"/>
              </w:rPr>
            </w:pPr>
            <w:r w:rsidRPr="00C67EFB">
              <w:rPr>
                <w:rFonts w:ascii="Times New Roman" w:hAnsi="Times New Roman"/>
                <w:color w:val="000000" w:themeColor="text1"/>
                <w:sz w:val="18"/>
                <w:szCs w:val="18"/>
              </w:rPr>
              <w:t>Rasio</w:t>
            </w:r>
          </w:p>
        </w:tc>
      </w:tr>
      <w:tr w:rsidR="005D77D4" w:rsidRPr="00C67EFB" w:rsidTr="00FD5EDA">
        <w:trPr>
          <w:jc w:val="center"/>
        </w:trPr>
        <w:tc>
          <w:tcPr>
            <w:tcW w:w="1485" w:type="dxa"/>
          </w:tcPr>
          <w:p w:rsidR="005D77D4" w:rsidRPr="00C67EFB" w:rsidRDefault="005D77D4" w:rsidP="00FD5EDA">
            <w:pPr>
              <w:pStyle w:val="ListParagraph"/>
              <w:ind w:left="0"/>
              <w:rPr>
                <w:rFonts w:ascii="Times New Roman" w:hAnsi="Times New Roman"/>
                <w:color w:val="000000" w:themeColor="text1"/>
                <w:sz w:val="18"/>
                <w:szCs w:val="18"/>
              </w:rPr>
            </w:pPr>
            <w:r w:rsidRPr="00C67EFB">
              <w:rPr>
                <w:rFonts w:ascii="Times New Roman" w:hAnsi="Times New Roman"/>
                <w:i/>
                <w:color w:val="000000" w:themeColor="text1"/>
                <w:sz w:val="18"/>
                <w:szCs w:val="18"/>
              </w:rPr>
              <w:t>Underpricing</w:t>
            </w:r>
          </w:p>
        </w:tc>
        <w:tc>
          <w:tcPr>
            <w:tcW w:w="2371" w:type="dxa"/>
          </w:tcPr>
          <w:p w:rsidR="005D77D4" w:rsidRPr="00C67EFB" w:rsidRDefault="005D77D4" w:rsidP="00FD5EDA">
            <w:pPr>
              <w:ind w:hanging="17"/>
              <w:jc w:val="both"/>
              <w:rPr>
                <w:color w:val="000000" w:themeColor="text1"/>
                <w:sz w:val="18"/>
                <w:szCs w:val="18"/>
              </w:rPr>
            </w:pPr>
            <w:r w:rsidRPr="00C67EFB">
              <w:rPr>
                <w:sz w:val="18"/>
                <w:szCs w:val="18"/>
              </w:rPr>
              <w:t>selisih positif antara harga saham di pasar sekunder dengan harga saham di pasar perdana (Yolana dan Dwi Martani, 2015)</w:t>
            </w:r>
          </w:p>
          <w:p w:rsidR="005D77D4" w:rsidRPr="00C67EFB" w:rsidRDefault="005D77D4" w:rsidP="00FD5EDA">
            <w:pPr>
              <w:pStyle w:val="ListParagraph"/>
              <w:ind w:left="0"/>
              <w:jc w:val="both"/>
              <w:rPr>
                <w:rFonts w:ascii="Times New Roman" w:hAnsi="Times New Roman"/>
                <w:color w:val="000000" w:themeColor="text1"/>
                <w:sz w:val="18"/>
                <w:szCs w:val="18"/>
              </w:rPr>
            </w:pPr>
          </w:p>
        </w:tc>
        <w:tc>
          <w:tcPr>
            <w:tcW w:w="4928" w:type="dxa"/>
          </w:tcPr>
          <w:p w:rsidR="005D77D4" w:rsidRPr="00C67EFB" w:rsidRDefault="005D77D4" w:rsidP="00FD5EDA">
            <w:pPr>
              <w:autoSpaceDE w:val="0"/>
              <w:autoSpaceDN w:val="0"/>
              <w:adjustRightInd w:val="0"/>
              <w:jc w:val="both"/>
              <w:rPr>
                <w:sz w:val="18"/>
                <w:szCs w:val="18"/>
              </w:rPr>
            </w:pPr>
            <w:r w:rsidRPr="00C67EFB">
              <w:rPr>
                <w:i/>
                <w:iCs/>
                <w:sz w:val="18"/>
                <w:szCs w:val="18"/>
              </w:rPr>
              <w:t xml:space="preserve">Initial Return </w:t>
            </w:r>
            <w:r w:rsidRPr="00C67EFB">
              <w:rPr>
                <w:sz w:val="18"/>
                <w:szCs w:val="18"/>
              </w:rPr>
              <w:t xml:space="preserve">= </w:t>
            </w:r>
            <w:r w:rsidRPr="00C67EFB">
              <w:rPr>
                <w:i/>
                <w:iCs/>
                <w:sz w:val="18"/>
                <w:szCs w:val="18"/>
                <w:u w:val="single"/>
              </w:rPr>
              <w:t xml:space="preserve">Closing Price </w:t>
            </w:r>
            <w:r w:rsidRPr="00C67EFB">
              <w:rPr>
                <w:sz w:val="18"/>
                <w:szCs w:val="18"/>
                <w:u w:val="single"/>
              </w:rPr>
              <w:t xml:space="preserve">– </w:t>
            </w:r>
            <w:r w:rsidRPr="00C67EFB">
              <w:rPr>
                <w:i/>
                <w:iCs/>
                <w:sz w:val="18"/>
                <w:szCs w:val="18"/>
                <w:u w:val="single"/>
              </w:rPr>
              <w:t>Offering Price</w:t>
            </w:r>
            <w:r w:rsidRPr="00C67EFB">
              <w:rPr>
                <w:i/>
                <w:iCs/>
                <w:sz w:val="18"/>
                <w:szCs w:val="18"/>
              </w:rPr>
              <w:t xml:space="preserve"> </w:t>
            </w:r>
            <w:r w:rsidRPr="00C67EFB">
              <w:rPr>
                <w:sz w:val="18"/>
                <w:szCs w:val="18"/>
              </w:rPr>
              <w:t xml:space="preserve">x 100%          </w:t>
            </w:r>
          </w:p>
          <w:p w:rsidR="005D77D4" w:rsidRPr="00C67EFB" w:rsidRDefault="005D77D4" w:rsidP="00FD5EDA">
            <w:pPr>
              <w:pStyle w:val="ListParagraph"/>
              <w:ind w:left="0"/>
              <w:jc w:val="both"/>
              <w:rPr>
                <w:rFonts w:ascii="Times New Roman" w:hAnsi="Times New Roman"/>
                <w:color w:val="000000" w:themeColor="text1"/>
                <w:sz w:val="18"/>
                <w:szCs w:val="18"/>
              </w:rPr>
            </w:pPr>
            <w:r w:rsidRPr="00C67EFB">
              <w:rPr>
                <w:rFonts w:ascii="Times New Roman" w:hAnsi="Times New Roman"/>
                <w:sz w:val="18"/>
                <w:szCs w:val="18"/>
              </w:rPr>
              <w:t xml:space="preserve">                                           </w:t>
            </w:r>
            <w:r w:rsidRPr="00C67EFB">
              <w:rPr>
                <w:rFonts w:ascii="Times New Roman" w:hAnsi="Times New Roman"/>
                <w:i/>
                <w:iCs/>
                <w:sz w:val="18"/>
                <w:szCs w:val="18"/>
              </w:rPr>
              <w:t>Offering Price</w:t>
            </w:r>
          </w:p>
          <w:p w:rsidR="005D77D4" w:rsidRPr="00C67EFB" w:rsidRDefault="005D77D4" w:rsidP="00FD5EDA">
            <w:pPr>
              <w:pStyle w:val="ListParagraph"/>
              <w:ind w:left="0"/>
              <w:jc w:val="center"/>
              <w:rPr>
                <w:rFonts w:ascii="Times New Roman" w:hAnsi="Times New Roman"/>
                <w:color w:val="000000" w:themeColor="text1"/>
                <w:sz w:val="18"/>
                <w:szCs w:val="18"/>
              </w:rPr>
            </w:pPr>
          </w:p>
        </w:tc>
        <w:tc>
          <w:tcPr>
            <w:tcW w:w="709" w:type="dxa"/>
          </w:tcPr>
          <w:p w:rsidR="005D77D4" w:rsidRPr="00C67EFB" w:rsidRDefault="005D77D4" w:rsidP="00FD5EDA">
            <w:pPr>
              <w:pStyle w:val="ListParagraph"/>
              <w:ind w:left="0"/>
              <w:jc w:val="center"/>
              <w:rPr>
                <w:rFonts w:ascii="Times New Roman" w:hAnsi="Times New Roman"/>
                <w:color w:val="000000" w:themeColor="text1"/>
                <w:sz w:val="18"/>
                <w:szCs w:val="18"/>
              </w:rPr>
            </w:pPr>
            <w:r w:rsidRPr="00C67EFB">
              <w:rPr>
                <w:rFonts w:ascii="Times New Roman" w:hAnsi="Times New Roman"/>
                <w:color w:val="000000" w:themeColor="text1"/>
                <w:sz w:val="18"/>
                <w:szCs w:val="18"/>
              </w:rPr>
              <w:t>Rasio</w:t>
            </w:r>
          </w:p>
        </w:tc>
      </w:tr>
    </w:tbl>
    <w:p w:rsidR="005D77D4" w:rsidRDefault="005D77D4" w:rsidP="005D77D4">
      <w:pPr>
        <w:pStyle w:val="ListParagraph"/>
        <w:ind w:left="0"/>
        <w:jc w:val="both"/>
        <w:rPr>
          <w:rFonts w:ascii="Times New Roman" w:hAnsi="Times New Roman"/>
          <w:color w:val="000000" w:themeColor="text1"/>
          <w:sz w:val="18"/>
          <w:szCs w:val="18"/>
          <w:lang w:val="en-US"/>
        </w:rPr>
      </w:pPr>
      <w:r w:rsidRPr="00C67EFB">
        <w:rPr>
          <w:rFonts w:ascii="Times New Roman" w:hAnsi="Times New Roman"/>
          <w:color w:val="000000" w:themeColor="text1"/>
          <w:sz w:val="18"/>
          <w:szCs w:val="18"/>
        </w:rPr>
        <w:t>Sumber: Diolah dari tinjauan pustaka</w:t>
      </w:r>
    </w:p>
    <w:p w:rsidR="005D77D4" w:rsidRPr="005D77D4" w:rsidRDefault="005D77D4" w:rsidP="005D77D4">
      <w:pPr>
        <w:pStyle w:val="ListParagraph"/>
        <w:ind w:left="0"/>
        <w:jc w:val="both"/>
        <w:rPr>
          <w:rFonts w:ascii="Times New Roman" w:hAnsi="Times New Roman"/>
          <w:b/>
          <w:color w:val="000000" w:themeColor="text1"/>
          <w:sz w:val="24"/>
          <w:szCs w:val="24"/>
          <w:lang w:val="en-US"/>
        </w:rPr>
        <w:sectPr w:rsidR="005D77D4" w:rsidRPr="005D77D4" w:rsidSect="005D77D4">
          <w:type w:val="continuous"/>
          <w:pgSz w:w="11906" w:h="16838"/>
          <w:pgMar w:top="1440" w:right="1440" w:bottom="1440" w:left="1440" w:header="510" w:footer="708" w:gutter="0"/>
          <w:pgNumType w:start="1"/>
          <w:cols w:space="708"/>
          <w:docGrid w:linePitch="360"/>
        </w:sectPr>
      </w:pPr>
    </w:p>
    <w:p w:rsidR="005D77D4" w:rsidRPr="005D77D4" w:rsidRDefault="005D77D4" w:rsidP="005D77D4">
      <w:pPr>
        <w:pStyle w:val="ListParagraph"/>
        <w:ind w:left="644" w:hanging="644"/>
        <w:rPr>
          <w:rFonts w:ascii="Times New Roman" w:hAnsi="Times New Roman"/>
          <w:color w:val="000000" w:themeColor="text1"/>
          <w:sz w:val="24"/>
          <w:szCs w:val="24"/>
          <w:lang w:val="en-US"/>
        </w:rPr>
      </w:pPr>
      <w:r w:rsidRPr="005D77D4">
        <w:rPr>
          <w:rFonts w:ascii="Times New Roman" w:hAnsi="Times New Roman"/>
          <w:b/>
          <w:bCs/>
          <w:color w:val="000000" w:themeColor="text1"/>
          <w:sz w:val="24"/>
          <w:szCs w:val="24"/>
          <w:lang w:val="en-US"/>
        </w:rPr>
        <w:lastRenderedPageBreak/>
        <w:t>Teknik Analisis Data</w:t>
      </w:r>
    </w:p>
    <w:p w:rsidR="005D77D4" w:rsidRPr="005D77D4" w:rsidRDefault="005D77D4" w:rsidP="005D77D4">
      <w:pPr>
        <w:pStyle w:val="NoSpacing"/>
        <w:spacing w:line="276" w:lineRule="auto"/>
        <w:ind w:firstLine="644"/>
        <w:jc w:val="both"/>
        <w:rPr>
          <w:rFonts w:ascii="Times New Roman" w:hAnsi="Times New Roman"/>
          <w:sz w:val="24"/>
          <w:szCs w:val="24"/>
          <w:lang w:val="en-US"/>
        </w:rPr>
      </w:pPr>
      <w:r w:rsidRPr="005D77D4">
        <w:rPr>
          <w:rFonts w:ascii="Times New Roman" w:hAnsi="Times New Roman"/>
          <w:sz w:val="24"/>
          <w:szCs w:val="24"/>
          <w:lang w:val="en-US"/>
        </w:rPr>
        <w:t xml:space="preserve">Teknik analisis data Teknik yang digunakan sebagai alat </w:t>
      </w:r>
      <w:proofErr w:type="gramStart"/>
      <w:r w:rsidRPr="005D77D4">
        <w:rPr>
          <w:rFonts w:ascii="Times New Roman" w:hAnsi="Times New Roman"/>
          <w:sz w:val="24"/>
          <w:szCs w:val="24"/>
          <w:lang w:val="en-US"/>
        </w:rPr>
        <w:t>bantu</w:t>
      </w:r>
      <w:proofErr w:type="gramEnd"/>
      <w:r w:rsidRPr="005D77D4">
        <w:rPr>
          <w:rFonts w:ascii="Times New Roman" w:hAnsi="Times New Roman"/>
          <w:sz w:val="24"/>
          <w:szCs w:val="24"/>
          <w:lang w:val="en-US"/>
        </w:rPr>
        <w:t xml:space="preserve"> bagi peneliti untuk mengambil suatu keputusan atau sejumlah data penelitian yang telah terkumpul. Menurut Ghozali (2018</w:t>
      </w:r>
      <w:proofErr w:type="gramStart"/>
      <w:r w:rsidRPr="005D77D4">
        <w:rPr>
          <w:rFonts w:ascii="Times New Roman" w:hAnsi="Times New Roman"/>
          <w:sz w:val="24"/>
          <w:szCs w:val="24"/>
          <w:lang w:val="en-US"/>
        </w:rPr>
        <w:t>;65</w:t>
      </w:r>
      <w:proofErr w:type="gramEnd"/>
      <w:r w:rsidRPr="005D77D4">
        <w:rPr>
          <w:rFonts w:ascii="Times New Roman" w:hAnsi="Times New Roman"/>
          <w:sz w:val="24"/>
          <w:szCs w:val="24"/>
          <w:lang w:val="en-US"/>
        </w:rPr>
        <w:t>) teknis analisis data, ada dua metode yaitu :</w:t>
      </w:r>
    </w:p>
    <w:p w:rsidR="005D77D4" w:rsidRPr="005D77D4" w:rsidRDefault="005D77D4" w:rsidP="005D77D4">
      <w:pPr>
        <w:pStyle w:val="NoSpacing"/>
        <w:spacing w:line="276" w:lineRule="auto"/>
        <w:jc w:val="both"/>
        <w:rPr>
          <w:rFonts w:ascii="Times New Roman" w:hAnsi="Times New Roman"/>
          <w:sz w:val="24"/>
          <w:szCs w:val="24"/>
          <w:lang w:val="en-US"/>
        </w:rPr>
      </w:pPr>
      <w:r w:rsidRPr="005D77D4">
        <w:rPr>
          <w:rFonts w:ascii="Times New Roman" w:hAnsi="Times New Roman"/>
          <w:sz w:val="24"/>
          <w:szCs w:val="24"/>
          <w:lang w:val="en-US"/>
        </w:rPr>
        <w:t>Analisis Kualitatif</w:t>
      </w:r>
    </w:p>
    <w:p w:rsidR="005D77D4" w:rsidRPr="005D77D4" w:rsidRDefault="005D77D4" w:rsidP="005D77D4">
      <w:pPr>
        <w:pStyle w:val="NoSpacing"/>
        <w:spacing w:line="276" w:lineRule="auto"/>
        <w:ind w:firstLine="720"/>
        <w:jc w:val="both"/>
        <w:rPr>
          <w:rFonts w:ascii="Times New Roman" w:hAnsi="Times New Roman"/>
          <w:sz w:val="24"/>
          <w:szCs w:val="24"/>
          <w:lang w:val="en-US"/>
        </w:rPr>
      </w:pPr>
      <w:proofErr w:type="gramStart"/>
      <w:r w:rsidRPr="005D77D4">
        <w:rPr>
          <w:rFonts w:ascii="Times New Roman" w:hAnsi="Times New Roman"/>
          <w:sz w:val="24"/>
          <w:szCs w:val="24"/>
          <w:lang w:val="en-US"/>
        </w:rPr>
        <w:t>Adalah metode yang menganalisis data bukan berupa angka atau angka yang berbentuk pejelasan yang tidak dapat dinyatakan dalam bentuk angka.</w:t>
      </w:r>
      <w:proofErr w:type="gramEnd"/>
    </w:p>
    <w:p w:rsidR="005D77D4" w:rsidRPr="005D77D4" w:rsidRDefault="005D77D4" w:rsidP="005D77D4">
      <w:pPr>
        <w:pStyle w:val="NoSpacing"/>
        <w:spacing w:line="276" w:lineRule="auto"/>
        <w:jc w:val="both"/>
        <w:rPr>
          <w:rFonts w:ascii="Times New Roman" w:hAnsi="Times New Roman"/>
          <w:sz w:val="24"/>
          <w:szCs w:val="24"/>
          <w:lang w:val="en-US"/>
        </w:rPr>
      </w:pPr>
      <w:r w:rsidRPr="005D77D4">
        <w:rPr>
          <w:rFonts w:ascii="Times New Roman" w:hAnsi="Times New Roman"/>
          <w:sz w:val="24"/>
          <w:szCs w:val="24"/>
          <w:lang w:val="en-US"/>
        </w:rPr>
        <w:t>Analisis Kuantitatif</w:t>
      </w:r>
    </w:p>
    <w:p w:rsidR="005D77D4" w:rsidRPr="005D77D4" w:rsidRDefault="005D77D4" w:rsidP="005D77D4">
      <w:pPr>
        <w:pStyle w:val="NoSpacing"/>
        <w:spacing w:line="276" w:lineRule="auto"/>
        <w:ind w:firstLine="720"/>
        <w:jc w:val="both"/>
        <w:rPr>
          <w:rFonts w:ascii="Times New Roman" w:hAnsi="Times New Roman"/>
          <w:sz w:val="24"/>
          <w:szCs w:val="24"/>
          <w:lang w:val="en-US"/>
        </w:rPr>
      </w:pPr>
      <w:proofErr w:type="gramStart"/>
      <w:r w:rsidRPr="005D77D4">
        <w:rPr>
          <w:rFonts w:ascii="Times New Roman" w:hAnsi="Times New Roman"/>
          <w:sz w:val="24"/>
          <w:szCs w:val="24"/>
          <w:lang w:val="en-US"/>
        </w:rPr>
        <w:t>Adalah metode yang meganalisis yang dilakukan terhadap data dalam bentuk angka untuk menerapkan suatu penjelasan dari angka-angka tersebut.</w:t>
      </w:r>
      <w:proofErr w:type="gramEnd"/>
    </w:p>
    <w:p w:rsidR="005D77D4" w:rsidRPr="005D77D4" w:rsidRDefault="005D77D4" w:rsidP="005D77D4">
      <w:pPr>
        <w:pStyle w:val="NoSpacing"/>
        <w:spacing w:line="276" w:lineRule="auto"/>
        <w:jc w:val="both"/>
        <w:rPr>
          <w:rFonts w:ascii="Times New Roman" w:hAnsi="Times New Roman"/>
          <w:b/>
          <w:sz w:val="24"/>
          <w:szCs w:val="24"/>
        </w:rPr>
      </w:pPr>
    </w:p>
    <w:p w:rsidR="005D77D4" w:rsidRPr="005D77D4" w:rsidRDefault="005D77D4" w:rsidP="005D77D4">
      <w:pPr>
        <w:pStyle w:val="NoSpacing"/>
        <w:spacing w:line="276" w:lineRule="auto"/>
        <w:jc w:val="both"/>
        <w:rPr>
          <w:rFonts w:ascii="Times New Roman" w:hAnsi="Times New Roman"/>
          <w:b/>
          <w:sz w:val="24"/>
          <w:szCs w:val="24"/>
        </w:rPr>
      </w:pPr>
      <w:r w:rsidRPr="005D77D4">
        <w:rPr>
          <w:rFonts w:ascii="Times New Roman" w:hAnsi="Times New Roman"/>
          <w:b/>
          <w:sz w:val="24"/>
          <w:szCs w:val="24"/>
        </w:rPr>
        <w:t xml:space="preserve">Regresi </w:t>
      </w:r>
      <w:r w:rsidRPr="005D77D4">
        <w:rPr>
          <w:rFonts w:ascii="Times New Roman" w:hAnsi="Times New Roman"/>
          <w:b/>
          <w:sz w:val="24"/>
          <w:szCs w:val="24"/>
          <w:lang w:val="en-US"/>
        </w:rPr>
        <w:t xml:space="preserve">Linear </w:t>
      </w:r>
      <w:r w:rsidRPr="005D77D4">
        <w:rPr>
          <w:rFonts w:ascii="Times New Roman" w:hAnsi="Times New Roman"/>
          <w:b/>
          <w:sz w:val="24"/>
          <w:szCs w:val="24"/>
        </w:rPr>
        <w:t>Berganda</w:t>
      </w:r>
    </w:p>
    <w:p w:rsidR="005D77D4" w:rsidRPr="005D77D4" w:rsidRDefault="005D77D4" w:rsidP="005D77D4">
      <w:pPr>
        <w:pStyle w:val="NoSpacing"/>
        <w:spacing w:line="276" w:lineRule="auto"/>
        <w:jc w:val="both"/>
        <w:rPr>
          <w:rFonts w:ascii="Times New Roman" w:hAnsi="Times New Roman"/>
          <w:sz w:val="24"/>
          <w:szCs w:val="24"/>
          <w:lang w:val="en-US"/>
        </w:rPr>
      </w:pPr>
      <w:r w:rsidRPr="005D77D4">
        <w:rPr>
          <w:rFonts w:ascii="Times New Roman" w:hAnsi="Times New Roman"/>
          <w:sz w:val="24"/>
          <w:szCs w:val="24"/>
        </w:rPr>
        <w:tab/>
      </w:r>
      <w:r w:rsidRPr="005D77D4">
        <w:rPr>
          <w:rFonts w:ascii="Times New Roman" w:hAnsi="Times New Roman"/>
          <w:sz w:val="24"/>
          <w:szCs w:val="24"/>
          <w:lang w:val="en-US"/>
        </w:rPr>
        <w:t xml:space="preserve">Menurut Sugiyono (2018:277) Model analisis yang digunakan dalam penelitian ini adalah regresi berganda karena penelitian ini dirancang untuk meneliti pengaruh variable independent </w:t>
      </w:r>
      <w:r w:rsidRPr="005D77D4">
        <w:rPr>
          <w:rFonts w:ascii="Times New Roman" w:hAnsi="Times New Roman"/>
          <w:sz w:val="24"/>
          <w:szCs w:val="24"/>
          <w:lang w:val="en-US"/>
        </w:rPr>
        <w:lastRenderedPageBreak/>
        <w:t xml:space="preserve">terhadap variable dependen. </w:t>
      </w:r>
      <w:proofErr w:type="gramStart"/>
      <w:r w:rsidRPr="005D77D4">
        <w:rPr>
          <w:rFonts w:ascii="Times New Roman" w:hAnsi="Times New Roman"/>
          <w:sz w:val="24"/>
          <w:szCs w:val="24"/>
          <w:lang w:val="en-US"/>
        </w:rPr>
        <w:t>Analisis regresi berganda digunakan oleh peneliti, bila peneliti bermaksud meramalkan bagaimana keadaan (naik turunnya) variable dependen (kriterium), bila dua atau lebih variable independent sebagai faktor prediktor dimanipulasi (naik turun nilainya).</w:t>
      </w:r>
      <w:proofErr w:type="gramEnd"/>
    </w:p>
    <w:p w:rsidR="005D77D4" w:rsidRPr="005D77D4" w:rsidRDefault="005D77D4" w:rsidP="005D77D4">
      <w:pPr>
        <w:pStyle w:val="NoSpacing"/>
        <w:spacing w:line="276" w:lineRule="auto"/>
        <w:jc w:val="both"/>
        <w:rPr>
          <w:rFonts w:ascii="Times New Roman" w:hAnsi="Times New Roman"/>
          <w:sz w:val="24"/>
          <w:szCs w:val="24"/>
        </w:rPr>
      </w:pPr>
      <w:r w:rsidRPr="005D77D4">
        <w:rPr>
          <w:rFonts w:ascii="Times New Roman" w:hAnsi="Times New Roman"/>
          <w:sz w:val="24"/>
          <w:szCs w:val="24"/>
          <w:lang w:val="en-US"/>
        </w:rPr>
        <w:t xml:space="preserve">Rumus yang digunakan untuk menentukan persamaan regresi berganda sebagai </w:t>
      </w:r>
      <w:proofErr w:type="gramStart"/>
      <w:r w:rsidRPr="005D77D4">
        <w:rPr>
          <w:rFonts w:ascii="Times New Roman" w:hAnsi="Times New Roman"/>
          <w:sz w:val="24"/>
          <w:szCs w:val="24"/>
          <w:lang w:val="en-US"/>
        </w:rPr>
        <w:t>berikut :</w:t>
      </w:r>
      <w:proofErr w:type="gramEnd"/>
    </w:p>
    <w:p w:rsidR="005D77D4" w:rsidRPr="005D77D4" w:rsidRDefault="005D77D4" w:rsidP="005D77D4">
      <w:pPr>
        <w:pStyle w:val="ListParagraph"/>
        <w:ind w:left="0"/>
        <w:jc w:val="center"/>
        <w:rPr>
          <w:rFonts w:ascii="Times New Roman" w:hAnsi="Times New Roman"/>
          <w:b/>
          <w:color w:val="000000" w:themeColor="text1"/>
          <w:sz w:val="24"/>
          <w:szCs w:val="24"/>
        </w:rPr>
      </w:pPr>
      <w:r w:rsidRPr="005D77D4">
        <w:rPr>
          <w:rFonts w:ascii="Times New Roman" w:hAnsi="Times New Roman"/>
          <w:b/>
          <w:color w:val="000000" w:themeColor="text1"/>
          <w:sz w:val="24"/>
          <w:szCs w:val="24"/>
        </w:rPr>
        <w:t>Y</w:t>
      </w:r>
      <w:r w:rsidRPr="005D77D4">
        <w:rPr>
          <w:rFonts w:ascii="Times New Roman" w:hAnsi="Times New Roman"/>
          <w:b/>
          <w:color w:val="000000" w:themeColor="text1"/>
          <w:sz w:val="24"/>
          <w:szCs w:val="24"/>
          <w:vertAlign w:val="subscript"/>
        </w:rPr>
        <w:t xml:space="preserve"> </w:t>
      </w:r>
      <w:r w:rsidRPr="005D77D4">
        <w:rPr>
          <w:rFonts w:ascii="Times New Roman" w:hAnsi="Times New Roman"/>
          <w:b/>
          <w:color w:val="000000" w:themeColor="text1"/>
          <w:sz w:val="24"/>
          <w:szCs w:val="24"/>
        </w:rPr>
        <w:t>= α +β</w:t>
      </w:r>
      <w:r w:rsidRPr="005D77D4">
        <w:rPr>
          <w:rFonts w:ascii="Times New Roman" w:hAnsi="Times New Roman"/>
          <w:b/>
          <w:color w:val="000000" w:themeColor="text1"/>
          <w:sz w:val="24"/>
          <w:szCs w:val="24"/>
          <w:vertAlign w:val="subscript"/>
        </w:rPr>
        <w:t xml:space="preserve"> </w:t>
      </w:r>
      <w:r w:rsidRPr="005D77D4">
        <w:rPr>
          <w:rFonts w:ascii="Times New Roman" w:hAnsi="Times New Roman"/>
          <w:b/>
          <w:color w:val="000000" w:themeColor="text1"/>
          <w:sz w:val="24"/>
          <w:szCs w:val="24"/>
        </w:rPr>
        <w:t>X</w:t>
      </w:r>
      <w:r w:rsidRPr="005D77D4">
        <w:rPr>
          <w:rFonts w:ascii="Times New Roman" w:hAnsi="Times New Roman"/>
          <w:b/>
          <w:color w:val="000000" w:themeColor="text1"/>
          <w:sz w:val="24"/>
          <w:szCs w:val="24"/>
          <w:vertAlign w:val="subscript"/>
        </w:rPr>
        <w:t>1</w:t>
      </w:r>
      <w:r w:rsidRPr="005D77D4">
        <w:rPr>
          <w:rFonts w:ascii="Times New Roman" w:hAnsi="Times New Roman"/>
          <w:b/>
          <w:color w:val="000000" w:themeColor="text1"/>
          <w:sz w:val="24"/>
          <w:szCs w:val="24"/>
        </w:rPr>
        <w:t>+β</w:t>
      </w:r>
      <w:r w:rsidRPr="005D77D4">
        <w:rPr>
          <w:rFonts w:ascii="Times New Roman" w:hAnsi="Times New Roman"/>
          <w:b/>
          <w:color w:val="000000" w:themeColor="text1"/>
          <w:sz w:val="24"/>
          <w:szCs w:val="24"/>
          <w:vertAlign w:val="subscript"/>
        </w:rPr>
        <w:t xml:space="preserve"> </w:t>
      </w:r>
      <w:r w:rsidRPr="005D77D4">
        <w:rPr>
          <w:rFonts w:ascii="Times New Roman" w:hAnsi="Times New Roman"/>
          <w:b/>
          <w:color w:val="000000" w:themeColor="text1"/>
          <w:sz w:val="24"/>
          <w:szCs w:val="24"/>
        </w:rPr>
        <w:t>X</w:t>
      </w:r>
      <w:r w:rsidRPr="005D77D4">
        <w:rPr>
          <w:rFonts w:ascii="Times New Roman" w:hAnsi="Times New Roman"/>
          <w:b/>
          <w:color w:val="000000" w:themeColor="text1"/>
          <w:sz w:val="24"/>
          <w:szCs w:val="24"/>
          <w:vertAlign w:val="subscript"/>
        </w:rPr>
        <w:t>2</w:t>
      </w:r>
      <w:r w:rsidRPr="005D77D4">
        <w:rPr>
          <w:rFonts w:ascii="Times New Roman" w:hAnsi="Times New Roman"/>
          <w:b/>
          <w:color w:val="000000" w:themeColor="text1"/>
          <w:sz w:val="24"/>
          <w:szCs w:val="24"/>
        </w:rPr>
        <w:t>+β</w:t>
      </w:r>
      <w:r w:rsidRPr="005D77D4">
        <w:rPr>
          <w:rFonts w:ascii="Times New Roman" w:hAnsi="Times New Roman"/>
          <w:b/>
          <w:color w:val="000000" w:themeColor="text1"/>
          <w:sz w:val="24"/>
          <w:szCs w:val="24"/>
          <w:vertAlign w:val="subscript"/>
        </w:rPr>
        <w:t xml:space="preserve"> </w:t>
      </w:r>
      <w:r w:rsidRPr="005D77D4">
        <w:rPr>
          <w:rFonts w:ascii="Times New Roman" w:hAnsi="Times New Roman"/>
          <w:b/>
          <w:color w:val="000000" w:themeColor="text1"/>
          <w:sz w:val="24"/>
          <w:szCs w:val="24"/>
        </w:rPr>
        <w:t>X</w:t>
      </w:r>
      <w:r w:rsidRPr="005D77D4">
        <w:rPr>
          <w:rFonts w:ascii="Times New Roman" w:hAnsi="Times New Roman"/>
          <w:b/>
          <w:color w:val="000000" w:themeColor="text1"/>
          <w:sz w:val="24"/>
          <w:szCs w:val="24"/>
          <w:vertAlign w:val="subscript"/>
        </w:rPr>
        <w:t>3</w:t>
      </w:r>
      <w:r w:rsidRPr="005D77D4">
        <w:rPr>
          <w:rFonts w:ascii="Times New Roman" w:hAnsi="Times New Roman"/>
          <w:b/>
          <w:color w:val="000000" w:themeColor="text1"/>
          <w:sz w:val="24"/>
          <w:szCs w:val="24"/>
        </w:rPr>
        <w:t>+β</w:t>
      </w:r>
      <w:r w:rsidRPr="005D77D4">
        <w:rPr>
          <w:rFonts w:ascii="Times New Roman" w:hAnsi="Times New Roman"/>
          <w:b/>
          <w:color w:val="000000" w:themeColor="text1"/>
          <w:sz w:val="24"/>
          <w:szCs w:val="24"/>
          <w:vertAlign w:val="subscript"/>
        </w:rPr>
        <w:t xml:space="preserve"> </w:t>
      </w:r>
      <w:r w:rsidRPr="005D77D4">
        <w:rPr>
          <w:rFonts w:ascii="Times New Roman" w:hAnsi="Times New Roman"/>
          <w:b/>
          <w:color w:val="000000" w:themeColor="text1"/>
          <w:sz w:val="24"/>
          <w:szCs w:val="24"/>
        </w:rPr>
        <w:t>X</w:t>
      </w:r>
      <w:r w:rsidRPr="005D77D4">
        <w:rPr>
          <w:rFonts w:ascii="Times New Roman" w:hAnsi="Times New Roman"/>
          <w:b/>
          <w:color w:val="000000" w:themeColor="text1"/>
          <w:sz w:val="24"/>
          <w:szCs w:val="24"/>
          <w:vertAlign w:val="subscript"/>
        </w:rPr>
        <w:t>4</w:t>
      </w:r>
      <w:r w:rsidRPr="005D77D4">
        <w:rPr>
          <w:rFonts w:ascii="Times New Roman" w:hAnsi="Times New Roman"/>
          <w:b/>
          <w:color w:val="000000" w:themeColor="text1"/>
          <w:sz w:val="24"/>
          <w:szCs w:val="24"/>
        </w:rPr>
        <w:t>+ ɛ</w:t>
      </w:r>
    </w:p>
    <w:p w:rsidR="005D77D4" w:rsidRPr="005D77D4" w:rsidRDefault="005D77D4" w:rsidP="005D77D4">
      <w:pPr>
        <w:pStyle w:val="ListParagraph"/>
        <w:ind w:left="0"/>
        <w:jc w:val="both"/>
        <w:rPr>
          <w:rFonts w:ascii="Times New Roman" w:hAnsi="Times New Roman"/>
          <w:color w:val="000000" w:themeColor="text1"/>
          <w:sz w:val="24"/>
          <w:szCs w:val="24"/>
        </w:rPr>
      </w:pPr>
      <w:r w:rsidRPr="005D77D4">
        <w:rPr>
          <w:rFonts w:ascii="Times New Roman" w:hAnsi="Times New Roman"/>
          <w:color w:val="000000" w:themeColor="text1"/>
          <w:sz w:val="24"/>
          <w:szCs w:val="24"/>
        </w:rPr>
        <w:t>Dimana :</w:t>
      </w:r>
    </w:p>
    <w:p w:rsidR="005D77D4" w:rsidRPr="005D77D4" w:rsidRDefault="005D77D4" w:rsidP="005D77D4">
      <w:pPr>
        <w:pStyle w:val="ListParagraph"/>
        <w:ind w:left="0"/>
        <w:jc w:val="both"/>
        <w:rPr>
          <w:rFonts w:ascii="Times New Roman" w:hAnsi="Times New Roman"/>
          <w:color w:val="000000" w:themeColor="text1"/>
          <w:sz w:val="24"/>
          <w:szCs w:val="24"/>
        </w:rPr>
      </w:pPr>
      <w:r w:rsidRPr="005D77D4">
        <w:rPr>
          <w:rFonts w:ascii="Times New Roman" w:hAnsi="Times New Roman"/>
          <w:color w:val="000000" w:themeColor="text1"/>
          <w:sz w:val="24"/>
          <w:szCs w:val="24"/>
        </w:rPr>
        <w:t>α</w:t>
      </w:r>
      <w:r w:rsidRPr="005D77D4">
        <w:rPr>
          <w:rFonts w:ascii="Times New Roman" w:hAnsi="Times New Roman"/>
          <w:color w:val="000000" w:themeColor="text1"/>
          <w:sz w:val="24"/>
          <w:szCs w:val="24"/>
        </w:rPr>
        <w:tab/>
        <w:t>= konstanta</w:t>
      </w:r>
    </w:p>
    <w:p w:rsidR="005D77D4" w:rsidRPr="005D77D4" w:rsidRDefault="005D77D4" w:rsidP="005D77D4">
      <w:pPr>
        <w:pStyle w:val="ListParagraph"/>
        <w:ind w:left="0"/>
        <w:jc w:val="both"/>
        <w:rPr>
          <w:rFonts w:ascii="Times New Roman" w:hAnsi="Times New Roman"/>
          <w:color w:val="000000" w:themeColor="text1"/>
          <w:sz w:val="24"/>
          <w:szCs w:val="24"/>
        </w:rPr>
      </w:pPr>
      <w:r w:rsidRPr="005D77D4">
        <w:rPr>
          <w:rFonts w:ascii="Times New Roman" w:hAnsi="Times New Roman"/>
          <w:color w:val="000000" w:themeColor="text1"/>
          <w:sz w:val="24"/>
          <w:szCs w:val="24"/>
        </w:rPr>
        <w:t>β</w:t>
      </w:r>
      <w:r w:rsidRPr="005D77D4">
        <w:rPr>
          <w:rFonts w:ascii="Times New Roman" w:hAnsi="Times New Roman"/>
          <w:color w:val="000000" w:themeColor="text1"/>
          <w:sz w:val="24"/>
          <w:szCs w:val="24"/>
        </w:rPr>
        <w:tab/>
        <w:t>= koefisien regresi</w:t>
      </w:r>
    </w:p>
    <w:p w:rsidR="005D77D4" w:rsidRPr="005D77D4" w:rsidRDefault="005D77D4" w:rsidP="005D77D4">
      <w:pPr>
        <w:pStyle w:val="ListParagraph"/>
        <w:ind w:left="0"/>
        <w:jc w:val="both"/>
        <w:rPr>
          <w:rFonts w:ascii="Times New Roman" w:hAnsi="Times New Roman"/>
          <w:color w:val="000000" w:themeColor="text1"/>
          <w:sz w:val="24"/>
          <w:szCs w:val="24"/>
        </w:rPr>
      </w:pPr>
      <w:r w:rsidRPr="005D77D4">
        <w:rPr>
          <w:rFonts w:ascii="Times New Roman" w:hAnsi="Times New Roman"/>
          <w:color w:val="000000" w:themeColor="text1"/>
          <w:sz w:val="24"/>
          <w:szCs w:val="24"/>
        </w:rPr>
        <w:t>Y</w:t>
      </w:r>
      <w:r w:rsidRPr="005D77D4">
        <w:rPr>
          <w:rFonts w:ascii="Times New Roman" w:hAnsi="Times New Roman"/>
          <w:color w:val="000000" w:themeColor="text1"/>
          <w:sz w:val="24"/>
          <w:szCs w:val="24"/>
        </w:rPr>
        <w:tab/>
        <w:t xml:space="preserve">= </w:t>
      </w:r>
      <w:r w:rsidRPr="005D77D4">
        <w:rPr>
          <w:rFonts w:ascii="Times New Roman" w:hAnsi="Times New Roman"/>
          <w:i/>
          <w:color w:val="000000" w:themeColor="text1"/>
          <w:sz w:val="24"/>
          <w:szCs w:val="24"/>
        </w:rPr>
        <w:t>Underpricing</w:t>
      </w:r>
    </w:p>
    <w:p w:rsidR="005D77D4" w:rsidRPr="005D77D4" w:rsidRDefault="005D77D4" w:rsidP="005D77D4">
      <w:pPr>
        <w:pStyle w:val="ListParagraph"/>
        <w:ind w:left="0"/>
        <w:jc w:val="both"/>
        <w:rPr>
          <w:rFonts w:ascii="Times New Roman" w:hAnsi="Times New Roman"/>
          <w:color w:val="000000" w:themeColor="text1"/>
          <w:sz w:val="24"/>
          <w:szCs w:val="24"/>
        </w:rPr>
      </w:pPr>
      <w:r w:rsidRPr="005D77D4">
        <w:rPr>
          <w:rFonts w:ascii="Times New Roman" w:hAnsi="Times New Roman"/>
          <w:color w:val="000000" w:themeColor="text1"/>
          <w:sz w:val="24"/>
          <w:szCs w:val="24"/>
        </w:rPr>
        <w:t>X</w:t>
      </w:r>
      <w:r w:rsidRPr="005D77D4">
        <w:rPr>
          <w:rFonts w:ascii="Times New Roman" w:hAnsi="Times New Roman"/>
          <w:color w:val="000000" w:themeColor="text1"/>
          <w:sz w:val="24"/>
          <w:szCs w:val="24"/>
          <w:vertAlign w:val="subscript"/>
        </w:rPr>
        <w:t>1</w:t>
      </w:r>
      <w:r w:rsidRPr="005D77D4">
        <w:rPr>
          <w:rFonts w:ascii="Times New Roman" w:hAnsi="Times New Roman"/>
          <w:color w:val="000000" w:themeColor="text1"/>
          <w:sz w:val="24"/>
          <w:szCs w:val="24"/>
          <w:vertAlign w:val="subscript"/>
        </w:rPr>
        <w:tab/>
      </w:r>
      <w:r w:rsidRPr="005D77D4">
        <w:rPr>
          <w:rFonts w:ascii="Times New Roman" w:hAnsi="Times New Roman"/>
          <w:color w:val="000000" w:themeColor="text1"/>
          <w:sz w:val="24"/>
          <w:szCs w:val="24"/>
        </w:rPr>
        <w:t xml:space="preserve">= </w:t>
      </w:r>
      <w:r w:rsidRPr="005D77D4">
        <w:rPr>
          <w:rFonts w:ascii="Times New Roman" w:hAnsi="Times New Roman"/>
          <w:sz w:val="24"/>
          <w:szCs w:val="24"/>
        </w:rPr>
        <w:t>Indeks Harga Saham Gabungan (IHSG)</w:t>
      </w:r>
    </w:p>
    <w:p w:rsidR="005D77D4" w:rsidRPr="005D77D4" w:rsidRDefault="005D77D4" w:rsidP="005D77D4">
      <w:pPr>
        <w:pStyle w:val="ListParagraph"/>
        <w:ind w:left="0"/>
        <w:rPr>
          <w:rFonts w:ascii="Times New Roman" w:hAnsi="Times New Roman"/>
          <w:sz w:val="24"/>
          <w:szCs w:val="24"/>
        </w:rPr>
      </w:pPr>
      <w:r w:rsidRPr="005D77D4">
        <w:rPr>
          <w:rFonts w:ascii="Times New Roman" w:hAnsi="Times New Roman"/>
          <w:color w:val="000000" w:themeColor="text1"/>
          <w:sz w:val="24"/>
          <w:szCs w:val="24"/>
        </w:rPr>
        <w:t>X</w:t>
      </w:r>
      <w:r w:rsidRPr="005D77D4">
        <w:rPr>
          <w:rFonts w:ascii="Times New Roman" w:hAnsi="Times New Roman"/>
          <w:color w:val="000000" w:themeColor="text1"/>
          <w:sz w:val="24"/>
          <w:szCs w:val="24"/>
          <w:vertAlign w:val="subscript"/>
        </w:rPr>
        <w:t>2</w:t>
      </w:r>
      <w:r w:rsidRPr="005D77D4">
        <w:rPr>
          <w:rFonts w:ascii="Times New Roman" w:hAnsi="Times New Roman"/>
          <w:color w:val="000000" w:themeColor="text1"/>
          <w:sz w:val="24"/>
          <w:szCs w:val="24"/>
          <w:vertAlign w:val="subscript"/>
        </w:rPr>
        <w:tab/>
      </w:r>
      <w:r w:rsidRPr="005D77D4">
        <w:rPr>
          <w:rFonts w:ascii="Times New Roman" w:hAnsi="Times New Roman"/>
          <w:color w:val="000000" w:themeColor="text1"/>
          <w:sz w:val="24"/>
          <w:szCs w:val="24"/>
        </w:rPr>
        <w:t xml:space="preserve">= </w:t>
      </w:r>
      <w:r w:rsidRPr="005D77D4">
        <w:rPr>
          <w:rFonts w:ascii="Times New Roman" w:hAnsi="Times New Roman"/>
          <w:sz w:val="24"/>
          <w:szCs w:val="24"/>
        </w:rPr>
        <w:t>Harga Penawaran Saham (Offering Price)</w:t>
      </w:r>
    </w:p>
    <w:p w:rsidR="005D77D4" w:rsidRPr="005D77D4" w:rsidRDefault="005D77D4" w:rsidP="005D77D4">
      <w:pPr>
        <w:pStyle w:val="ListParagraph"/>
        <w:ind w:left="0"/>
        <w:jc w:val="both"/>
        <w:rPr>
          <w:rFonts w:ascii="Times New Roman" w:hAnsi="Times New Roman"/>
          <w:sz w:val="24"/>
          <w:szCs w:val="24"/>
        </w:rPr>
      </w:pPr>
      <w:r w:rsidRPr="005D77D4">
        <w:rPr>
          <w:rFonts w:ascii="Times New Roman" w:hAnsi="Times New Roman"/>
          <w:color w:val="000000" w:themeColor="text1"/>
          <w:sz w:val="24"/>
          <w:szCs w:val="24"/>
        </w:rPr>
        <w:t>X</w:t>
      </w:r>
      <w:r w:rsidRPr="005D77D4">
        <w:rPr>
          <w:rFonts w:ascii="Times New Roman" w:hAnsi="Times New Roman"/>
          <w:color w:val="000000" w:themeColor="text1"/>
          <w:sz w:val="24"/>
          <w:szCs w:val="24"/>
          <w:vertAlign w:val="subscript"/>
        </w:rPr>
        <w:t>3</w:t>
      </w:r>
      <w:r w:rsidRPr="005D77D4">
        <w:rPr>
          <w:rFonts w:ascii="Times New Roman" w:hAnsi="Times New Roman"/>
          <w:color w:val="000000" w:themeColor="text1"/>
          <w:sz w:val="24"/>
          <w:szCs w:val="24"/>
        </w:rPr>
        <w:tab/>
        <w:t xml:space="preserve">= </w:t>
      </w:r>
      <w:r w:rsidRPr="005D77D4">
        <w:rPr>
          <w:rFonts w:ascii="Times New Roman" w:hAnsi="Times New Roman"/>
          <w:sz w:val="24"/>
          <w:szCs w:val="24"/>
        </w:rPr>
        <w:t>Jangka Waktu Penawaran (</w:t>
      </w:r>
      <w:r w:rsidRPr="005D77D4">
        <w:rPr>
          <w:rFonts w:ascii="Times New Roman" w:hAnsi="Times New Roman"/>
          <w:i/>
          <w:sz w:val="24"/>
          <w:szCs w:val="24"/>
        </w:rPr>
        <w:t>offer timing</w:t>
      </w:r>
      <w:r w:rsidRPr="005D77D4">
        <w:rPr>
          <w:rFonts w:ascii="Times New Roman" w:hAnsi="Times New Roman"/>
          <w:sz w:val="24"/>
          <w:szCs w:val="24"/>
        </w:rPr>
        <w:t>)</w:t>
      </w:r>
    </w:p>
    <w:p w:rsidR="005D77D4" w:rsidRPr="005D77D4" w:rsidRDefault="005D77D4" w:rsidP="005D77D4">
      <w:pPr>
        <w:pStyle w:val="ListParagraph"/>
        <w:ind w:left="0"/>
        <w:jc w:val="both"/>
        <w:rPr>
          <w:rFonts w:ascii="Times New Roman" w:hAnsi="Times New Roman"/>
          <w:color w:val="000000" w:themeColor="text1"/>
          <w:sz w:val="24"/>
          <w:szCs w:val="24"/>
        </w:rPr>
      </w:pPr>
      <w:r w:rsidRPr="005D77D4">
        <w:rPr>
          <w:rFonts w:ascii="Times New Roman" w:hAnsi="Times New Roman"/>
          <w:color w:val="000000" w:themeColor="text1"/>
          <w:sz w:val="24"/>
          <w:szCs w:val="24"/>
        </w:rPr>
        <w:t>X</w:t>
      </w:r>
      <w:r w:rsidRPr="005D77D4">
        <w:rPr>
          <w:rFonts w:ascii="Times New Roman" w:hAnsi="Times New Roman"/>
          <w:color w:val="000000" w:themeColor="text1"/>
          <w:sz w:val="24"/>
          <w:szCs w:val="24"/>
          <w:vertAlign w:val="subscript"/>
        </w:rPr>
        <w:t>4</w:t>
      </w:r>
      <w:r w:rsidRPr="005D77D4">
        <w:rPr>
          <w:rFonts w:ascii="Times New Roman" w:hAnsi="Times New Roman"/>
          <w:color w:val="000000" w:themeColor="text1"/>
          <w:sz w:val="24"/>
          <w:szCs w:val="24"/>
        </w:rPr>
        <w:tab/>
        <w:t xml:space="preserve">= </w:t>
      </w:r>
      <w:r w:rsidRPr="005D77D4">
        <w:rPr>
          <w:rFonts w:ascii="Times New Roman" w:hAnsi="Times New Roman"/>
          <w:sz w:val="24"/>
          <w:szCs w:val="24"/>
        </w:rPr>
        <w:t>Pertumbuhan Pendapatan (</w:t>
      </w:r>
      <w:r w:rsidRPr="005D77D4">
        <w:rPr>
          <w:rFonts w:ascii="Times New Roman" w:hAnsi="Times New Roman"/>
          <w:i/>
          <w:sz w:val="24"/>
          <w:szCs w:val="24"/>
        </w:rPr>
        <w:t>Revenues Growth</w:t>
      </w:r>
      <w:r w:rsidRPr="005D77D4">
        <w:rPr>
          <w:rFonts w:ascii="Times New Roman" w:hAnsi="Times New Roman"/>
          <w:sz w:val="24"/>
          <w:szCs w:val="24"/>
        </w:rPr>
        <w:t>)</w:t>
      </w:r>
    </w:p>
    <w:p w:rsidR="005D77D4" w:rsidRPr="005D77D4" w:rsidRDefault="005D77D4" w:rsidP="005D77D4">
      <w:pPr>
        <w:tabs>
          <w:tab w:val="left" w:pos="0"/>
        </w:tabs>
        <w:spacing w:line="276" w:lineRule="auto"/>
        <w:jc w:val="both"/>
        <w:rPr>
          <w:b/>
          <w:color w:val="000000" w:themeColor="text1"/>
        </w:rPr>
      </w:pPr>
      <w:r w:rsidRPr="005D77D4">
        <w:rPr>
          <w:color w:val="000000" w:themeColor="text1"/>
        </w:rPr>
        <w:lastRenderedPageBreak/>
        <w:t>ɛ</w:t>
      </w:r>
      <w:r w:rsidRPr="005D77D4">
        <w:rPr>
          <w:color w:val="000000" w:themeColor="text1"/>
        </w:rPr>
        <w:tab/>
        <w:t xml:space="preserve">= </w:t>
      </w:r>
      <w:r w:rsidRPr="005D77D4">
        <w:rPr>
          <w:i/>
          <w:color w:val="000000" w:themeColor="text1"/>
        </w:rPr>
        <w:t>error term</w:t>
      </w:r>
    </w:p>
    <w:p w:rsidR="005D77D4" w:rsidRDefault="005D77D4" w:rsidP="005D77D4">
      <w:pPr>
        <w:pStyle w:val="NoSpacing"/>
        <w:spacing w:line="276" w:lineRule="auto"/>
        <w:jc w:val="both"/>
        <w:rPr>
          <w:rFonts w:ascii="Times New Roman" w:hAnsi="Times New Roman"/>
          <w:sz w:val="24"/>
          <w:szCs w:val="24"/>
          <w:lang w:val="en-US"/>
        </w:rPr>
      </w:pPr>
    </w:p>
    <w:p w:rsidR="005D77D4" w:rsidRPr="005D77D4" w:rsidRDefault="005D77D4" w:rsidP="005D77D4">
      <w:pPr>
        <w:pStyle w:val="NoSpacing"/>
        <w:spacing w:line="276" w:lineRule="auto"/>
        <w:jc w:val="both"/>
        <w:rPr>
          <w:rFonts w:ascii="Times New Roman" w:hAnsi="Times New Roman"/>
          <w:b/>
          <w:sz w:val="24"/>
          <w:szCs w:val="24"/>
        </w:rPr>
      </w:pPr>
      <w:proofErr w:type="gramStart"/>
      <w:r w:rsidRPr="005D77D4">
        <w:rPr>
          <w:rFonts w:ascii="Times New Roman" w:hAnsi="Times New Roman"/>
          <w:b/>
          <w:sz w:val="24"/>
          <w:szCs w:val="24"/>
          <w:lang w:val="en-US"/>
        </w:rPr>
        <w:t xml:space="preserve">Pengujian </w:t>
      </w:r>
      <w:r w:rsidRPr="005D77D4">
        <w:rPr>
          <w:rFonts w:ascii="Times New Roman" w:hAnsi="Times New Roman"/>
          <w:b/>
          <w:sz w:val="24"/>
          <w:szCs w:val="24"/>
        </w:rPr>
        <w:t xml:space="preserve"> Hipotesis</w:t>
      </w:r>
      <w:proofErr w:type="gramEnd"/>
    </w:p>
    <w:p w:rsidR="005D77D4" w:rsidRPr="005D77D4" w:rsidRDefault="005D77D4" w:rsidP="005D77D4">
      <w:pPr>
        <w:pStyle w:val="NoSpacing"/>
        <w:spacing w:line="276" w:lineRule="auto"/>
        <w:jc w:val="both"/>
        <w:rPr>
          <w:rFonts w:ascii="Times New Roman" w:hAnsi="Times New Roman"/>
          <w:bCs/>
          <w:sz w:val="24"/>
          <w:szCs w:val="24"/>
        </w:rPr>
      </w:pPr>
      <w:r w:rsidRPr="005D77D4">
        <w:rPr>
          <w:rFonts w:ascii="Times New Roman" w:hAnsi="Times New Roman"/>
          <w:bCs/>
          <w:sz w:val="24"/>
          <w:szCs w:val="24"/>
        </w:rPr>
        <w:t>Uji Parsial (Uji t)</w:t>
      </w:r>
    </w:p>
    <w:p w:rsidR="005D77D4" w:rsidRPr="005D77D4" w:rsidRDefault="005D77D4" w:rsidP="005D77D4">
      <w:pPr>
        <w:pStyle w:val="NoSpacing"/>
        <w:spacing w:line="276" w:lineRule="auto"/>
        <w:ind w:firstLine="720"/>
        <w:jc w:val="both"/>
        <w:rPr>
          <w:rFonts w:ascii="Times New Roman" w:hAnsi="Times New Roman"/>
          <w:sz w:val="24"/>
          <w:szCs w:val="24"/>
          <w:lang w:val="en-US"/>
        </w:rPr>
      </w:pPr>
      <w:proofErr w:type="gramStart"/>
      <w:r w:rsidRPr="005D77D4">
        <w:rPr>
          <w:rFonts w:ascii="Times New Roman" w:hAnsi="Times New Roman"/>
          <w:sz w:val="24"/>
          <w:szCs w:val="24"/>
          <w:lang w:val="en-US"/>
        </w:rPr>
        <w:t xml:space="preserve">Menurut Sugiyono (2018:279) untuk membuktikan hipotesis diterima atau ditolak dilakukan pengujian hipotesis, yaitu terdiri dari uji parsial (uji t) dan uji simultan (uji F hitung dari </w:t>
      </w:r>
      <m:oMath>
        <m:sSup>
          <m:sSupPr>
            <m:ctrlPr>
              <w:rPr>
                <w:rFonts w:ascii="Cambria Math" w:hAnsi="Cambria Math"/>
                <w:i/>
                <w:sz w:val="24"/>
                <w:szCs w:val="24"/>
              </w:rPr>
            </m:ctrlPr>
          </m:sSupPr>
          <m:e>
            <m:r>
              <m:rPr>
                <m:nor/>
              </m:rPr>
              <w:rPr>
                <w:rFonts w:ascii="Times New Roman" w:hAnsi="Times New Roman"/>
                <w:i/>
                <w:sz w:val="24"/>
                <w:szCs w:val="24"/>
              </w:rPr>
              <m:t>R</m:t>
            </m:r>
          </m:e>
          <m:sup>
            <m:r>
              <m:rPr>
                <m:nor/>
              </m:rPr>
              <w:rPr>
                <w:rFonts w:ascii="Times New Roman" w:hAnsi="Times New Roman"/>
                <w:i/>
                <w:sz w:val="24"/>
                <w:szCs w:val="24"/>
              </w:rPr>
              <m:t>2</m:t>
            </m:r>
          </m:sup>
        </m:sSup>
      </m:oMath>
      <w:r w:rsidRPr="005D77D4">
        <w:rPr>
          <w:rFonts w:ascii="Times New Roman" w:hAnsi="Times New Roman"/>
          <w:sz w:val="24"/>
          <w:szCs w:val="24"/>
          <w:lang w:val="en-US"/>
        </w:rPr>
        <w:t>).</w:t>
      </w:r>
      <w:proofErr w:type="gramEnd"/>
    </w:p>
    <w:p w:rsidR="005D77D4" w:rsidRPr="005D77D4" w:rsidRDefault="005D77D4" w:rsidP="005D77D4">
      <w:pPr>
        <w:pStyle w:val="NoSpacing"/>
        <w:spacing w:line="276" w:lineRule="auto"/>
        <w:jc w:val="both"/>
        <w:rPr>
          <w:rFonts w:ascii="Times New Roman" w:hAnsi="Times New Roman"/>
          <w:sz w:val="24"/>
          <w:szCs w:val="24"/>
        </w:rPr>
      </w:pPr>
    </w:p>
    <w:p w:rsidR="005D77D4" w:rsidRPr="005D77D4" w:rsidRDefault="005D77D4" w:rsidP="005D77D4">
      <w:pPr>
        <w:pStyle w:val="NoSpacing"/>
        <w:spacing w:line="276" w:lineRule="auto"/>
        <w:jc w:val="both"/>
        <w:rPr>
          <w:rFonts w:ascii="Times New Roman" w:hAnsi="Times New Roman"/>
          <w:bCs/>
          <w:sz w:val="24"/>
          <w:szCs w:val="24"/>
        </w:rPr>
      </w:pPr>
      <w:r w:rsidRPr="005D77D4">
        <w:rPr>
          <w:rFonts w:ascii="Times New Roman" w:hAnsi="Times New Roman"/>
          <w:bCs/>
          <w:sz w:val="24"/>
          <w:szCs w:val="24"/>
        </w:rPr>
        <w:t>Uji Simultan (Uji F)</w:t>
      </w:r>
    </w:p>
    <w:p w:rsidR="005D77D4" w:rsidRPr="005D77D4" w:rsidRDefault="005D77D4" w:rsidP="005D77D4">
      <w:pPr>
        <w:pStyle w:val="NoSpacing"/>
        <w:spacing w:line="276" w:lineRule="auto"/>
        <w:ind w:firstLine="720"/>
        <w:jc w:val="both"/>
        <w:rPr>
          <w:rFonts w:ascii="Times New Roman" w:hAnsi="Times New Roman"/>
          <w:sz w:val="24"/>
          <w:szCs w:val="24"/>
        </w:rPr>
      </w:pPr>
      <w:r w:rsidRPr="005D77D4">
        <w:rPr>
          <w:rFonts w:ascii="Times New Roman" w:hAnsi="Times New Roman"/>
          <w:sz w:val="24"/>
          <w:szCs w:val="24"/>
        </w:rPr>
        <w:t>Pengujian ini digunakan untuk mengetahui apakah koefisien regresi tersebut mempunyai pengaruh yang signifikan atau tidak secara bersama-sama antara variabel independen (X) terhadap variabel dependen (Y). Derajat kepercayaan yang digunakan adalah 0,05. Apabila nilai F hasil perhitungan lebih besar dari nilai F tabel maka hipotesis alternatif yang menyatakan bahwa semua variabel independen secara simultan terhadapn dependen.</w:t>
      </w:r>
    </w:p>
    <w:p w:rsidR="005D77D4" w:rsidRPr="005D77D4" w:rsidRDefault="005D77D4" w:rsidP="005D77D4">
      <w:pPr>
        <w:pStyle w:val="NoSpacing"/>
        <w:spacing w:line="276" w:lineRule="auto"/>
        <w:jc w:val="both"/>
        <w:rPr>
          <w:rFonts w:ascii="Times New Roman" w:hAnsi="Times New Roman"/>
          <w:sz w:val="24"/>
          <w:szCs w:val="24"/>
        </w:rPr>
      </w:pPr>
      <w:r w:rsidRPr="005D77D4">
        <w:rPr>
          <w:rFonts w:ascii="Times New Roman" w:hAnsi="Times New Roman"/>
          <w:sz w:val="24"/>
          <w:szCs w:val="24"/>
        </w:rPr>
        <w:t>Prosedur pengujian hipotesis sebagai berikut :</w:t>
      </w:r>
    </w:p>
    <w:p w:rsidR="005D77D4" w:rsidRPr="005D77D4" w:rsidRDefault="005D77D4" w:rsidP="005D77D4">
      <w:pPr>
        <w:pStyle w:val="NoSpacing"/>
        <w:spacing w:line="276" w:lineRule="auto"/>
        <w:jc w:val="both"/>
        <w:rPr>
          <w:rFonts w:ascii="Times New Roman" w:hAnsi="Times New Roman"/>
          <w:sz w:val="24"/>
          <w:szCs w:val="24"/>
        </w:rPr>
      </w:pPr>
      <w:r w:rsidRPr="005D77D4">
        <w:rPr>
          <w:rFonts w:ascii="Times New Roman" w:hAnsi="Times New Roman"/>
          <w:sz w:val="24"/>
          <w:szCs w:val="24"/>
        </w:rPr>
        <w:t>1. Ho : artinya tidak adanya pengaruh secara simultan yang nyata IHSG (Indeks Harga Saham Gabungan), harga penawaran saham (</w:t>
      </w:r>
      <w:r w:rsidRPr="005D77D4">
        <w:rPr>
          <w:rFonts w:ascii="Times New Roman" w:hAnsi="Times New Roman"/>
          <w:i/>
          <w:sz w:val="24"/>
          <w:szCs w:val="24"/>
        </w:rPr>
        <w:t>offering price</w:t>
      </w:r>
      <w:r w:rsidRPr="005D77D4">
        <w:rPr>
          <w:rFonts w:ascii="Times New Roman" w:hAnsi="Times New Roman"/>
          <w:sz w:val="24"/>
          <w:szCs w:val="24"/>
        </w:rPr>
        <w:t>), jangka waktu penawaran (</w:t>
      </w:r>
      <w:r w:rsidRPr="005D77D4">
        <w:rPr>
          <w:rFonts w:ascii="Times New Roman" w:hAnsi="Times New Roman"/>
          <w:i/>
          <w:sz w:val="24"/>
          <w:szCs w:val="24"/>
        </w:rPr>
        <w:t>offer timing)</w:t>
      </w:r>
      <w:r w:rsidRPr="005D77D4">
        <w:rPr>
          <w:rFonts w:ascii="Times New Roman" w:hAnsi="Times New Roman"/>
          <w:sz w:val="24"/>
          <w:szCs w:val="24"/>
        </w:rPr>
        <w:t>, dan pertumbuhan pendapatan (</w:t>
      </w:r>
      <w:r w:rsidRPr="005D77D4">
        <w:rPr>
          <w:rFonts w:ascii="Times New Roman" w:hAnsi="Times New Roman"/>
          <w:i/>
          <w:sz w:val="24"/>
          <w:szCs w:val="24"/>
        </w:rPr>
        <w:t xml:space="preserve">revenues growth) </w:t>
      </w:r>
      <w:r w:rsidRPr="005D77D4">
        <w:rPr>
          <w:rFonts w:ascii="Times New Roman" w:hAnsi="Times New Roman"/>
          <w:sz w:val="24"/>
          <w:szCs w:val="24"/>
        </w:rPr>
        <w:t xml:space="preserve">terhadap </w:t>
      </w:r>
      <w:r w:rsidRPr="005D77D4">
        <w:rPr>
          <w:rFonts w:ascii="Times New Roman" w:hAnsi="Times New Roman"/>
          <w:i/>
          <w:sz w:val="24"/>
          <w:szCs w:val="24"/>
        </w:rPr>
        <w:t xml:space="preserve">underpricing </w:t>
      </w:r>
      <w:r w:rsidRPr="005D77D4">
        <w:rPr>
          <w:rFonts w:ascii="Times New Roman" w:hAnsi="Times New Roman"/>
          <w:sz w:val="24"/>
          <w:szCs w:val="24"/>
        </w:rPr>
        <w:t xml:space="preserve">pada perusahaan yang melakukan IPO di Indonesia </w:t>
      </w:r>
      <w:r w:rsidRPr="005D77D4">
        <w:rPr>
          <w:rFonts w:ascii="Times New Roman" w:hAnsi="Times New Roman"/>
          <w:i/>
          <w:sz w:val="24"/>
          <w:szCs w:val="24"/>
        </w:rPr>
        <w:t xml:space="preserve">Stock Exchange </w:t>
      </w:r>
      <w:r w:rsidRPr="005D77D4">
        <w:rPr>
          <w:rFonts w:ascii="Times New Roman" w:hAnsi="Times New Roman"/>
          <w:sz w:val="24"/>
          <w:szCs w:val="24"/>
        </w:rPr>
        <w:t>(IDX).</w:t>
      </w:r>
    </w:p>
    <w:p w:rsidR="005D77D4" w:rsidRPr="005D77D4" w:rsidRDefault="005D77D4" w:rsidP="005D77D4">
      <w:pPr>
        <w:pStyle w:val="NoSpacing"/>
        <w:spacing w:line="276" w:lineRule="auto"/>
        <w:jc w:val="both"/>
        <w:rPr>
          <w:rFonts w:ascii="Times New Roman" w:hAnsi="Times New Roman"/>
          <w:sz w:val="24"/>
          <w:szCs w:val="24"/>
        </w:rPr>
      </w:pPr>
      <w:r w:rsidRPr="005D77D4">
        <w:rPr>
          <w:rFonts w:ascii="Times New Roman" w:hAnsi="Times New Roman"/>
          <w:sz w:val="24"/>
          <w:szCs w:val="24"/>
        </w:rPr>
        <w:t>2. Ha : artinya adanya pengaruh secara simultan yang nyata IHSG (Indeks Harga Saham Gabungan) , harga penawaran saham (</w:t>
      </w:r>
      <w:r w:rsidRPr="005D77D4">
        <w:rPr>
          <w:rFonts w:ascii="Times New Roman" w:hAnsi="Times New Roman"/>
          <w:i/>
          <w:sz w:val="24"/>
          <w:szCs w:val="24"/>
        </w:rPr>
        <w:t>offering price</w:t>
      </w:r>
      <w:r w:rsidRPr="005D77D4">
        <w:rPr>
          <w:rFonts w:ascii="Times New Roman" w:hAnsi="Times New Roman"/>
          <w:sz w:val="24"/>
          <w:szCs w:val="24"/>
        </w:rPr>
        <w:t xml:space="preserve">), jangka waktu </w:t>
      </w:r>
      <w:r w:rsidRPr="005D77D4">
        <w:rPr>
          <w:rFonts w:ascii="Times New Roman" w:hAnsi="Times New Roman"/>
          <w:sz w:val="24"/>
          <w:szCs w:val="24"/>
        </w:rPr>
        <w:lastRenderedPageBreak/>
        <w:t>penawaran (</w:t>
      </w:r>
      <w:r w:rsidRPr="005D77D4">
        <w:rPr>
          <w:rFonts w:ascii="Times New Roman" w:hAnsi="Times New Roman"/>
          <w:i/>
          <w:sz w:val="24"/>
          <w:szCs w:val="24"/>
        </w:rPr>
        <w:t>offer timing)</w:t>
      </w:r>
      <w:r w:rsidRPr="005D77D4">
        <w:rPr>
          <w:rFonts w:ascii="Times New Roman" w:hAnsi="Times New Roman"/>
          <w:sz w:val="24"/>
          <w:szCs w:val="24"/>
        </w:rPr>
        <w:t>, dan pertumbuhan pendapatan (</w:t>
      </w:r>
      <w:r w:rsidRPr="005D77D4">
        <w:rPr>
          <w:rFonts w:ascii="Times New Roman" w:hAnsi="Times New Roman"/>
          <w:i/>
          <w:sz w:val="24"/>
          <w:szCs w:val="24"/>
        </w:rPr>
        <w:t xml:space="preserve">revenues growth) </w:t>
      </w:r>
      <w:r w:rsidRPr="005D77D4">
        <w:rPr>
          <w:rFonts w:ascii="Times New Roman" w:hAnsi="Times New Roman"/>
          <w:sz w:val="24"/>
          <w:szCs w:val="24"/>
        </w:rPr>
        <w:t xml:space="preserve">terhadap </w:t>
      </w:r>
      <w:r w:rsidRPr="005D77D4">
        <w:rPr>
          <w:rFonts w:ascii="Times New Roman" w:hAnsi="Times New Roman"/>
          <w:i/>
          <w:sz w:val="24"/>
          <w:szCs w:val="24"/>
        </w:rPr>
        <w:t xml:space="preserve">underpricing </w:t>
      </w:r>
      <w:r w:rsidRPr="005D77D4">
        <w:rPr>
          <w:rFonts w:ascii="Times New Roman" w:hAnsi="Times New Roman"/>
          <w:sz w:val="24"/>
          <w:szCs w:val="24"/>
        </w:rPr>
        <w:t xml:space="preserve">pada perusahaan yang melakukan IPO di Indonesia </w:t>
      </w:r>
      <w:r w:rsidRPr="005D77D4">
        <w:rPr>
          <w:rFonts w:ascii="Times New Roman" w:hAnsi="Times New Roman"/>
          <w:i/>
          <w:sz w:val="24"/>
          <w:szCs w:val="24"/>
        </w:rPr>
        <w:t xml:space="preserve">Stock Exchange </w:t>
      </w:r>
      <w:r w:rsidRPr="005D77D4">
        <w:rPr>
          <w:rFonts w:ascii="Times New Roman" w:hAnsi="Times New Roman"/>
          <w:sz w:val="24"/>
          <w:szCs w:val="24"/>
        </w:rPr>
        <w:t>(IDX).</w:t>
      </w:r>
    </w:p>
    <w:p w:rsidR="005D77D4" w:rsidRPr="005D77D4" w:rsidRDefault="005D77D4" w:rsidP="005D77D4">
      <w:pPr>
        <w:pStyle w:val="NoSpacing"/>
        <w:spacing w:line="276" w:lineRule="auto"/>
        <w:jc w:val="both"/>
        <w:rPr>
          <w:rFonts w:ascii="Times New Roman" w:hAnsi="Times New Roman"/>
          <w:sz w:val="24"/>
          <w:szCs w:val="24"/>
        </w:rPr>
      </w:pPr>
      <w:r w:rsidRPr="005D77D4">
        <w:rPr>
          <w:rFonts w:ascii="Times New Roman" w:hAnsi="Times New Roman"/>
          <w:sz w:val="24"/>
          <w:szCs w:val="24"/>
        </w:rPr>
        <w:t>Dengan pengambilan keputusan sebagai berikut :</w:t>
      </w:r>
    </w:p>
    <w:p w:rsidR="005D77D4" w:rsidRPr="005D77D4" w:rsidRDefault="005D77D4" w:rsidP="005D77D4">
      <w:pPr>
        <w:pStyle w:val="NoSpacing"/>
        <w:spacing w:line="276" w:lineRule="auto"/>
        <w:jc w:val="both"/>
        <w:rPr>
          <w:rFonts w:ascii="Times New Roman" w:hAnsi="Times New Roman"/>
          <w:sz w:val="24"/>
          <w:szCs w:val="24"/>
        </w:rPr>
      </w:pPr>
      <w:r w:rsidRPr="005D77D4">
        <w:rPr>
          <w:rFonts w:ascii="Times New Roman" w:hAnsi="Times New Roman"/>
          <w:sz w:val="24"/>
          <w:szCs w:val="24"/>
        </w:rPr>
        <w:t>a. Jika Sig. &gt; α (0,05), maka H0 diterima.</w:t>
      </w:r>
    </w:p>
    <w:p w:rsidR="005D77D4" w:rsidRPr="005D77D4" w:rsidRDefault="005D77D4" w:rsidP="005D77D4">
      <w:pPr>
        <w:pStyle w:val="ListParagraph"/>
        <w:ind w:left="0"/>
        <w:jc w:val="both"/>
        <w:rPr>
          <w:rFonts w:ascii="Times New Roman" w:hAnsi="Times New Roman"/>
          <w:b/>
          <w:color w:val="000000" w:themeColor="text1"/>
          <w:sz w:val="24"/>
          <w:szCs w:val="24"/>
          <w:lang w:val="en-US"/>
        </w:rPr>
      </w:pPr>
      <w:r w:rsidRPr="005D77D4">
        <w:rPr>
          <w:rFonts w:ascii="Times New Roman" w:hAnsi="Times New Roman"/>
          <w:sz w:val="24"/>
          <w:szCs w:val="24"/>
        </w:rPr>
        <w:t>b. Jika Sig. &lt; α (0,05), maka H0 ditolak dan Ha diterima</w:t>
      </w:r>
    </w:p>
    <w:p w:rsidR="003958BE" w:rsidRPr="00B67DBE" w:rsidRDefault="003958BE" w:rsidP="005D77D4">
      <w:pPr>
        <w:spacing w:line="276" w:lineRule="auto"/>
        <w:jc w:val="center"/>
        <w:rPr>
          <w:b/>
          <w:color w:val="FF0000"/>
        </w:rPr>
      </w:pPr>
      <w:r w:rsidRPr="00B67DBE">
        <w:rPr>
          <w:b/>
          <w:color w:val="FF0000"/>
        </w:rPr>
        <w:t>HASIL PENELITIAN DAN PEMBAHASAN</w:t>
      </w:r>
    </w:p>
    <w:p w:rsidR="005D77D4" w:rsidRPr="00FE6DFA" w:rsidRDefault="005D77D4" w:rsidP="005D77D4">
      <w:pPr>
        <w:spacing w:line="276" w:lineRule="auto"/>
        <w:rPr>
          <w:b/>
        </w:rPr>
      </w:pPr>
      <w:r w:rsidRPr="006E6872">
        <w:rPr>
          <w:b/>
        </w:rPr>
        <w:t>Statistik Deskriptif</w:t>
      </w:r>
    </w:p>
    <w:p w:rsidR="005D77D4" w:rsidRDefault="005D77D4" w:rsidP="005D77D4">
      <w:pPr>
        <w:pStyle w:val="NoSpacing"/>
        <w:spacing w:line="276" w:lineRule="auto"/>
        <w:jc w:val="both"/>
        <w:rPr>
          <w:rFonts w:ascii="Times New Roman" w:hAnsi="Times New Roman"/>
          <w:sz w:val="24"/>
          <w:szCs w:val="24"/>
          <w:lang w:val="en-US"/>
        </w:rPr>
      </w:pPr>
      <w:r w:rsidRPr="00FE6DFA">
        <w:rPr>
          <w:b/>
        </w:rPr>
        <w:tab/>
      </w:r>
      <w:r w:rsidRPr="00C913CE">
        <w:rPr>
          <w:rFonts w:ascii="Times New Roman" w:hAnsi="Times New Roman"/>
          <w:sz w:val="24"/>
          <w:szCs w:val="24"/>
        </w:rPr>
        <w:t>Menurut Imam Ghozali (2013:19) statistik deskriptif memberikan gambaran atau deskripsi suatu data yang dilihat dari nilai rata-rata (mean), standar deviasi, maksimum, dan minimum. Statistik deskriptif menyajikan ukuran-ukuran numerik yang sangat penting bagi data sampel yang memberikan gambaran terhadap objek yang diteliti melalui data sampel dan membuat kesimpulan yang berlaku umum. Nilai rata-rata (</w:t>
      </w:r>
      <w:r w:rsidRPr="00C913CE">
        <w:rPr>
          <w:rFonts w:ascii="Times New Roman" w:hAnsi="Times New Roman"/>
          <w:i/>
          <w:sz w:val="24"/>
          <w:szCs w:val="24"/>
        </w:rPr>
        <w:t>mean</w:t>
      </w:r>
      <w:r w:rsidRPr="00C913CE">
        <w:rPr>
          <w:rFonts w:ascii="Times New Roman" w:hAnsi="Times New Roman"/>
          <w:sz w:val="24"/>
          <w:szCs w:val="24"/>
        </w:rPr>
        <w:t xml:space="preserve">), yang digunakan untuk mengukur rata-rata dari setiap variabel-variabel yang diamati dan diukur. Standar deviasi adalah variabilitas dari penyimpangan terhadap nilai rata-rata. Maksimum adalah nilai tertinggi dari setiap variabel-variabel yang diamati dan diukur. Minimum adalah nilai terendah dari setiap variabel-variabel yang diamati dan diukur. Berikut ini adalah ringkasan statistik deskriptif dari variabel-variabel yang digunakan dalam penelitian yang disajikan dalam tabel </w:t>
      </w:r>
      <w:r w:rsidRPr="00C913CE">
        <w:rPr>
          <w:rFonts w:ascii="Times New Roman" w:hAnsi="Times New Roman"/>
          <w:sz w:val="24"/>
          <w:szCs w:val="24"/>
          <w:lang w:val="en-US"/>
        </w:rPr>
        <w:t>:</w:t>
      </w:r>
    </w:p>
    <w:p w:rsidR="005D77D4" w:rsidRDefault="005D77D4" w:rsidP="005D77D4">
      <w:pPr>
        <w:pStyle w:val="NoSpacing"/>
        <w:jc w:val="both"/>
        <w:rPr>
          <w:rFonts w:ascii="Times New Roman" w:hAnsi="Times New Roman"/>
          <w:sz w:val="24"/>
          <w:szCs w:val="24"/>
          <w:lang w:val="en-US"/>
        </w:rPr>
      </w:pPr>
    </w:p>
    <w:p w:rsidR="005D77D4" w:rsidRPr="00FE6DFA" w:rsidRDefault="00ED3FD4" w:rsidP="00ED3FD4">
      <w:pPr>
        <w:spacing w:line="480" w:lineRule="auto"/>
      </w:pPr>
      <w:proofErr w:type="gramStart"/>
      <w:r>
        <w:rPr>
          <w:rFonts w:eastAsia="Calibri"/>
        </w:rPr>
        <w:t>Tabel 2.</w:t>
      </w:r>
      <w:proofErr w:type="gramEnd"/>
      <w:r>
        <w:rPr>
          <w:rFonts w:eastAsia="Calibri"/>
        </w:rPr>
        <w:t xml:space="preserve"> </w:t>
      </w:r>
      <w:r w:rsidR="005D77D4" w:rsidRPr="00FE6DFA">
        <w:rPr>
          <w:b/>
        </w:rPr>
        <w:t>Hasil Uji Statistik Deskriptif</w:t>
      </w:r>
    </w:p>
    <w:p w:rsidR="00ED3FD4" w:rsidRDefault="00ED3FD4" w:rsidP="00FD5EDA">
      <w:pPr>
        <w:autoSpaceDE w:val="0"/>
        <w:autoSpaceDN w:val="0"/>
        <w:adjustRightInd w:val="0"/>
        <w:spacing w:line="480" w:lineRule="auto"/>
        <w:ind w:left="60" w:right="60"/>
        <w:rPr>
          <w:b/>
          <w:bCs/>
          <w:color w:val="000000"/>
          <w:sz w:val="18"/>
          <w:szCs w:val="18"/>
        </w:rPr>
        <w:sectPr w:rsidR="00ED3FD4" w:rsidSect="00AC7641">
          <w:type w:val="continuous"/>
          <w:pgSz w:w="11906" w:h="16838"/>
          <w:pgMar w:top="1440" w:right="1440" w:bottom="1440" w:left="1440" w:header="510" w:footer="708" w:gutter="0"/>
          <w:pgNumType w:start="1"/>
          <w:cols w:num="2" w:space="708"/>
          <w:docGrid w:linePitch="360"/>
        </w:sectPr>
      </w:pPr>
    </w:p>
    <w:tbl>
      <w:tblPr>
        <w:tblW w:w="864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27"/>
        <w:gridCol w:w="708"/>
        <w:gridCol w:w="993"/>
        <w:gridCol w:w="992"/>
        <w:gridCol w:w="992"/>
        <w:gridCol w:w="1134"/>
        <w:gridCol w:w="1701"/>
      </w:tblGrid>
      <w:tr w:rsidR="005D77D4" w:rsidRPr="001A7653" w:rsidTr="00ED3FD4">
        <w:trPr>
          <w:cantSplit/>
          <w:jc w:val="center"/>
        </w:trPr>
        <w:tc>
          <w:tcPr>
            <w:tcW w:w="8647" w:type="dxa"/>
            <w:gridSpan w:val="7"/>
            <w:tcBorders>
              <w:top w:val="nil"/>
              <w:left w:val="nil"/>
              <w:bottom w:val="nil"/>
              <w:right w:val="nil"/>
            </w:tcBorders>
            <w:shd w:val="clear" w:color="auto" w:fill="FFFFFF"/>
          </w:tcPr>
          <w:p w:rsidR="005D77D4" w:rsidRPr="001A7653" w:rsidRDefault="005D77D4" w:rsidP="00FD5EDA">
            <w:pPr>
              <w:autoSpaceDE w:val="0"/>
              <w:autoSpaceDN w:val="0"/>
              <w:adjustRightInd w:val="0"/>
              <w:spacing w:line="480" w:lineRule="auto"/>
              <w:ind w:left="60" w:right="60"/>
              <w:rPr>
                <w:sz w:val="18"/>
                <w:szCs w:val="18"/>
              </w:rPr>
            </w:pPr>
            <w:r w:rsidRPr="001A7653">
              <w:rPr>
                <w:b/>
                <w:bCs/>
                <w:color w:val="000000"/>
                <w:sz w:val="18"/>
                <w:szCs w:val="18"/>
              </w:rPr>
              <w:lastRenderedPageBreak/>
              <w:t>Descriptive Statistics</w:t>
            </w:r>
          </w:p>
        </w:tc>
      </w:tr>
      <w:tr w:rsidR="005D77D4" w:rsidRPr="001A7653" w:rsidTr="00ED3FD4">
        <w:trPr>
          <w:gridAfter w:val="1"/>
          <w:wAfter w:w="1701" w:type="dxa"/>
          <w:cantSplit/>
          <w:trHeight w:val="808"/>
          <w:jc w:val="center"/>
        </w:trPr>
        <w:tc>
          <w:tcPr>
            <w:tcW w:w="2127" w:type="dxa"/>
            <w:tcBorders>
              <w:top w:val="single" w:sz="16" w:space="0" w:color="000000"/>
              <w:left w:val="single" w:sz="16" w:space="0" w:color="000000"/>
              <w:bottom w:val="single" w:sz="16" w:space="0" w:color="000000"/>
              <w:right w:val="single" w:sz="16" w:space="0" w:color="000000"/>
            </w:tcBorders>
            <w:shd w:val="clear" w:color="auto" w:fill="FFFFFF"/>
          </w:tcPr>
          <w:p w:rsidR="005D77D4" w:rsidRPr="001A7653" w:rsidRDefault="005D77D4" w:rsidP="00FD5EDA">
            <w:pPr>
              <w:autoSpaceDE w:val="0"/>
              <w:autoSpaceDN w:val="0"/>
              <w:adjustRightInd w:val="0"/>
              <w:spacing w:line="360" w:lineRule="auto"/>
              <w:jc w:val="center"/>
              <w:rPr>
                <w:sz w:val="18"/>
                <w:szCs w:val="18"/>
              </w:rPr>
            </w:pPr>
          </w:p>
        </w:tc>
        <w:tc>
          <w:tcPr>
            <w:tcW w:w="708" w:type="dxa"/>
            <w:tcBorders>
              <w:top w:val="single" w:sz="16" w:space="0" w:color="000000"/>
              <w:left w:val="single" w:sz="16" w:space="0" w:color="000000"/>
              <w:bottom w:val="single" w:sz="16" w:space="0" w:color="000000"/>
            </w:tcBorders>
            <w:shd w:val="clear" w:color="auto" w:fill="FFFFFF"/>
          </w:tcPr>
          <w:p w:rsidR="005D77D4" w:rsidRPr="001A7653" w:rsidRDefault="005D77D4" w:rsidP="00FD5EDA">
            <w:pPr>
              <w:autoSpaceDE w:val="0"/>
              <w:autoSpaceDN w:val="0"/>
              <w:adjustRightInd w:val="0"/>
              <w:spacing w:line="360" w:lineRule="auto"/>
              <w:ind w:left="60" w:right="60"/>
              <w:jc w:val="center"/>
              <w:rPr>
                <w:color w:val="000000"/>
                <w:sz w:val="18"/>
                <w:szCs w:val="18"/>
              </w:rPr>
            </w:pPr>
            <w:r w:rsidRPr="001A7653">
              <w:rPr>
                <w:color w:val="000000"/>
                <w:sz w:val="18"/>
                <w:szCs w:val="18"/>
              </w:rPr>
              <w:t>N</w:t>
            </w:r>
          </w:p>
        </w:tc>
        <w:tc>
          <w:tcPr>
            <w:tcW w:w="993" w:type="dxa"/>
            <w:tcBorders>
              <w:top w:val="single" w:sz="16" w:space="0" w:color="000000"/>
              <w:bottom w:val="single" w:sz="16" w:space="0" w:color="000000"/>
            </w:tcBorders>
            <w:shd w:val="clear" w:color="auto" w:fill="FFFFFF"/>
          </w:tcPr>
          <w:p w:rsidR="005D77D4" w:rsidRPr="001A7653" w:rsidRDefault="005D77D4" w:rsidP="00FD5EDA">
            <w:pPr>
              <w:autoSpaceDE w:val="0"/>
              <w:autoSpaceDN w:val="0"/>
              <w:adjustRightInd w:val="0"/>
              <w:spacing w:line="360" w:lineRule="auto"/>
              <w:ind w:left="60" w:right="60"/>
              <w:jc w:val="center"/>
              <w:rPr>
                <w:color w:val="000000"/>
                <w:sz w:val="18"/>
                <w:szCs w:val="18"/>
              </w:rPr>
            </w:pPr>
            <w:r w:rsidRPr="001A7653">
              <w:rPr>
                <w:color w:val="000000"/>
                <w:sz w:val="18"/>
                <w:szCs w:val="18"/>
              </w:rPr>
              <w:t>Minimum</w:t>
            </w:r>
          </w:p>
        </w:tc>
        <w:tc>
          <w:tcPr>
            <w:tcW w:w="992" w:type="dxa"/>
            <w:tcBorders>
              <w:top w:val="single" w:sz="16" w:space="0" w:color="000000"/>
              <w:bottom w:val="single" w:sz="16" w:space="0" w:color="000000"/>
            </w:tcBorders>
            <w:shd w:val="clear" w:color="auto" w:fill="FFFFFF"/>
          </w:tcPr>
          <w:p w:rsidR="005D77D4" w:rsidRPr="001A7653" w:rsidRDefault="005D77D4" w:rsidP="00FD5EDA">
            <w:pPr>
              <w:autoSpaceDE w:val="0"/>
              <w:autoSpaceDN w:val="0"/>
              <w:adjustRightInd w:val="0"/>
              <w:spacing w:line="360" w:lineRule="auto"/>
              <w:ind w:left="60" w:right="60"/>
              <w:jc w:val="center"/>
              <w:rPr>
                <w:color w:val="000000"/>
                <w:sz w:val="18"/>
                <w:szCs w:val="18"/>
              </w:rPr>
            </w:pPr>
            <w:r w:rsidRPr="001A7653">
              <w:rPr>
                <w:color w:val="000000"/>
                <w:sz w:val="18"/>
                <w:szCs w:val="18"/>
              </w:rPr>
              <w:t>Maximum</w:t>
            </w:r>
          </w:p>
        </w:tc>
        <w:tc>
          <w:tcPr>
            <w:tcW w:w="992" w:type="dxa"/>
            <w:tcBorders>
              <w:top w:val="single" w:sz="16" w:space="0" w:color="000000"/>
              <w:bottom w:val="single" w:sz="16" w:space="0" w:color="000000"/>
            </w:tcBorders>
            <w:shd w:val="clear" w:color="auto" w:fill="FFFFFF"/>
          </w:tcPr>
          <w:p w:rsidR="005D77D4" w:rsidRDefault="005D77D4" w:rsidP="00FD5EDA">
            <w:pPr>
              <w:autoSpaceDE w:val="0"/>
              <w:autoSpaceDN w:val="0"/>
              <w:adjustRightInd w:val="0"/>
              <w:spacing w:line="360" w:lineRule="auto"/>
              <w:ind w:left="60" w:right="60"/>
              <w:jc w:val="center"/>
              <w:rPr>
                <w:color w:val="000000"/>
                <w:sz w:val="18"/>
                <w:szCs w:val="18"/>
              </w:rPr>
            </w:pPr>
            <w:r w:rsidRPr="001A7653">
              <w:rPr>
                <w:color w:val="000000"/>
                <w:sz w:val="18"/>
                <w:szCs w:val="18"/>
              </w:rPr>
              <w:t>Mean</w:t>
            </w:r>
          </w:p>
          <w:p w:rsidR="005D77D4" w:rsidRPr="001A7653" w:rsidRDefault="005D77D4" w:rsidP="00FD5EDA">
            <w:pPr>
              <w:rPr>
                <w:sz w:val="18"/>
                <w:szCs w:val="18"/>
              </w:rPr>
            </w:pPr>
          </w:p>
          <w:p w:rsidR="005D77D4" w:rsidRPr="001A7653" w:rsidRDefault="005D77D4" w:rsidP="00FD5EDA">
            <w:pPr>
              <w:rPr>
                <w:sz w:val="18"/>
                <w:szCs w:val="18"/>
              </w:rPr>
            </w:pPr>
          </w:p>
          <w:p w:rsidR="005D77D4" w:rsidRPr="001A7653" w:rsidRDefault="005D77D4" w:rsidP="00FD5EDA">
            <w:pPr>
              <w:rPr>
                <w:sz w:val="18"/>
                <w:szCs w:val="18"/>
              </w:rPr>
            </w:pPr>
          </w:p>
        </w:tc>
        <w:tc>
          <w:tcPr>
            <w:tcW w:w="1134" w:type="dxa"/>
            <w:tcBorders>
              <w:top w:val="single" w:sz="16" w:space="0" w:color="000000"/>
              <w:bottom w:val="single" w:sz="16" w:space="0" w:color="000000"/>
              <w:right w:val="single" w:sz="16" w:space="0" w:color="000000"/>
            </w:tcBorders>
            <w:shd w:val="clear" w:color="auto" w:fill="FFFFFF"/>
          </w:tcPr>
          <w:p w:rsidR="005D77D4" w:rsidRPr="001A7653" w:rsidRDefault="005D77D4" w:rsidP="00FD5EDA">
            <w:pPr>
              <w:autoSpaceDE w:val="0"/>
              <w:autoSpaceDN w:val="0"/>
              <w:adjustRightInd w:val="0"/>
              <w:spacing w:line="360" w:lineRule="auto"/>
              <w:ind w:left="60" w:right="60"/>
              <w:jc w:val="center"/>
              <w:rPr>
                <w:color w:val="000000"/>
                <w:sz w:val="18"/>
                <w:szCs w:val="18"/>
              </w:rPr>
            </w:pPr>
            <w:r w:rsidRPr="001A7653">
              <w:rPr>
                <w:color w:val="000000"/>
                <w:sz w:val="18"/>
                <w:szCs w:val="18"/>
              </w:rPr>
              <w:t>Std. Deviation</w:t>
            </w:r>
          </w:p>
        </w:tc>
      </w:tr>
      <w:tr w:rsidR="005D77D4" w:rsidRPr="001A7653" w:rsidTr="00ED3FD4">
        <w:trPr>
          <w:gridAfter w:val="1"/>
          <w:wAfter w:w="1701" w:type="dxa"/>
          <w:cantSplit/>
          <w:trHeight w:val="1500"/>
          <w:jc w:val="center"/>
        </w:trPr>
        <w:tc>
          <w:tcPr>
            <w:tcW w:w="2127" w:type="dxa"/>
            <w:tcBorders>
              <w:top w:val="single" w:sz="16" w:space="0" w:color="000000"/>
              <w:left w:val="single" w:sz="16" w:space="0" w:color="000000"/>
              <w:bottom w:val="nil"/>
              <w:right w:val="single" w:sz="16" w:space="0" w:color="000000"/>
            </w:tcBorders>
            <w:shd w:val="clear" w:color="auto" w:fill="FFFFFF"/>
            <w:vAlign w:val="center"/>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lastRenderedPageBreak/>
              <w:t>UNDERPRICING</w:t>
            </w:r>
          </w:p>
        </w:tc>
        <w:tc>
          <w:tcPr>
            <w:tcW w:w="708" w:type="dxa"/>
            <w:tcBorders>
              <w:top w:val="single" w:sz="16" w:space="0" w:color="000000"/>
              <w:left w:val="single" w:sz="16" w:space="0" w:color="000000"/>
              <w:bottom w:val="nil"/>
            </w:tcBorders>
            <w:shd w:val="clear" w:color="auto" w:fill="FFFFFF"/>
          </w:tcPr>
          <w:p w:rsidR="005D77D4" w:rsidRPr="001A7653" w:rsidRDefault="005D77D4" w:rsidP="00FD5EDA">
            <w:pPr>
              <w:autoSpaceDE w:val="0"/>
              <w:autoSpaceDN w:val="0"/>
              <w:adjustRightInd w:val="0"/>
              <w:spacing w:line="360" w:lineRule="auto"/>
              <w:ind w:left="60" w:right="60"/>
              <w:jc w:val="center"/>
              <w:rPr>
                <w:color w:val="000000"/>
                <w:sz w:val="18"/>
                <w:szCs w:val="18"/>
              </w:rPr>
            </w:pPr>
            <w:r w:rsidRPr="001A7653">
              <w:rPr>
                <w:color w:val="000000"/>
                <w:sz w:val="18"/>
                <w:szCs w:val="18"/>
              </w:rPr>
              <w:t>79</w:t>
            </w:r>
          </w:p>
        </w:tc>
        <w:tc>
          <w:tcPr>
            <w:tcW w:w="993" w:type="dxa"/>
            <w:tcBorders>
              <w:top w:val="single" w:sz="16" w:space="0" w:color="000000"/>
              <w:bottom w:val="nil"/>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0,35</w:t>
            </w:r>
          </w:p>
        </w:tc>
        <w:tc>
          <w:tcPr>
            <w:tcW w:w="992" w:type="dxa"/>
            <w:tcBorders>
              <w:top w:val="single" w:sz="16" w:space="0" w:color="000000"/>
              <w:bottom w:val="nil"/>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70,00</w:t>
            </w:r>
          </w:p>
        </w:tc>
        <w:tc>
          <w:tcPr>
            <w:tcW w:w="992" w:type="dxa"/>
            <w:tcBorders>
              <w:top w:val="single" w:sz="16" w:space="0" w:color="000000"/>
              <w:bottom w:val="nil"/>
            </w:tcBorders>
            <w:shd w:val="clear" w:color="auto" w:fill="FFFFFF"/>
          </w:tcPr>
          <w:p w:rsidR="005D77D4"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23,8653</w:t>
            </w:r>
          </w:p>
          <w:p w:rsidR="005D77D4" w:rsidRPr="001A7653" w:rsidRDefault="005D77D4" w:rsidP="00FD5EDA">
            <w:pPr>
              <w:rPr>
                <w:sz w:val="18"/>
                <w:szCs w:val="18"/>
              </w:rPr>
            </w:pPr>
          </w:p>
          <w:p w:rsidR="005D77D4" w:rsidRPr="001A7653" w:rsidRDefault="005D77D4" w:rsidP="00FD5EDA">
            <w:pPr>
              <w:rPr>
                <w:sz w:val="18"/>
                <w:szCs w:val="18"/>
              </w:rPr>
            </w:pPr>
          </w:p>
        </w:tc>
        <w:tc>
          <w:tcPr>
            <w:tcW w:w="1134" w:type="dxa"/>
            <w:tcBorders>
              <w:top w:val="single" w:sz="16" w:space="0" w:color="000000"/>
              <w:bottom w:val="nil"/>
              <w:right w:val="single" w:sz="16" w:space="0" w:color="000000"/>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22,46870</w:t>
            </w:r>
          </w:p>
        </w:tc>
      </w:tr>
      <w:tr w:rsidR="005D77D4" w:rsidRPr="001A7653" w:rsidTr="00ED3FD4">
        <w:trPr>
          <w:gridAfter w:val="1"/>
          <w:wAfter w:w="1701" w:type="dxa"/>
          <w:cantSplit/>
          <w:jc w:val="center"/>
        </w:trPr>
        <w:tc>
          <w:tcPr>
            <w:tcW w:w="2127" w:type="dxa"/>
            <w:tcBorders>
              <w:top w:val="nil"/>
              <w:left w:val="single" w:sz="16" w:space="0" w:color="000000"/>
              <w:bottom w:val="nil"/>
              <w:right w:val="single" w:sz="16" w:space="0" w:color="000000"/>
            </w:tcBorders>
            <w:shd w:val="clear" w:color="auto" w:fill="FFFFFF"/>
            <w:vAlign w:val="center"/>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IHSG</w:t>
            </w:r>
          </w:p>
        </w:tc>
        <w:tc>
          <w:tcPr>
            <w:tcW w:w="708" w:type="dxa"/>
            <w:tcBorders>
              <w:top w:val="nil"/>
              <w:left w:val="single" w:sz="16" w:space="0" w:color="000000"/>
              <w:bottom w:val="nil"/>
            </w:tcBorders>
            <w:shd w:val="clear" w:color="auto" w:fill="FFFFFF"/>
          </w:tcPr>
          <w:p w:rsidR="005D77D4" w:rsidRPr="001A7653" w:rsidRDefault="005D77D4" w:rsidP="00FD5EDA">
            <w:pPr>
              <w:autoSpaceDE w:val="0"/>
              <w:autoSpaceDN w:val="0"/>
              <w:adjustRightInd w:val="0"/>
              <w:spacing w:line="360" w:lineRule="auto"/>
              <w:ind w:left="60" w:right="60"/>
              <w:jc w:val="center"/>
              <w:rPr>
                <w:color w:val="000000"/>
                <w:sz w:val="18"/>
                <w:szCs w:val="18"/>
              </w:rPr>
            </w:pPr>
            <w:r w:rsidRPr="001A7653">
              <w:rPr>
                <w:color w:val="000000"/>
                <w:sz w:val="18"/>
                <w:szCs w:val="18"/>
              </w:rPr>
              <w:t>79</w:t>
            </w:r>
          </w:p>
        </w:tc>
        <w:tc>
          <w:tcPr>
            <w:tcW w:w="993" w:type="dxa"/>
            <w:tcBorders>
              <w:top w:val="nil"/>
              <w:bottom w:val="nil"/>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-464,62</w:t>
            </w:r>
          </w:p>
        </w:tc>
        <w:tc>
          <w:tcPr>
            <w:tcW w:w="992" w:type="dxa"/>
            <w:tcBorders>
              <w:top w:val="nil"/>
              <w:bottom w:val="nil"/>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736,22</w:t>
            </w:r>
          </w:p>
        </w:tc>
        <w:tc>
          <w:tcPr>
            <w:tcW w:w="992" w:type="dxa"/>
            <w:tcBorders>
              <w:top w:val="nil"/>
              <w:bottom w:val="nil"/>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-28,1295</w:t>
            </w:r>
          </w:p>
        </w:tc>
        <w:tc>
          <w:tcPr>
            <w:tcW w:w="1134" w:type="dxa"/>
            <w:tcBorders>
              <w:top w:val="nil"/>
              <w:bottom w:val="nil"/>
              <w:right w:val="single" w:sz="16" w:space="0" w:color="000000"/>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219,05421</w:t>
            </w:r>
          </w:p>
        </w:tc>
      </w:tr>
      <w:tr w:rsidR="005D77D4" w:rsidRPr="001A7653" w:rsidTr="00ED3FD4">
        <w:trPr>
          <w:gridAfter w:val="1"/>
          <w:wAfter w:w="1701" w:type="dxa"/>
          <w:cantSplit/>
          <w:jc w:val="center"/>
        </w:trPr>
        <w:tc>
          <w:tcPr>
            <w:tcW w:w="2127" w:type="dxa"/>
            <w:tcBorders>
              <w:top w:val="nil"/>
              <w:left w:val="single" w:sz="16" w:space="0" w:color="000000"/>
              <w:bottom w:val="nil"/>
              <w:right w:val="single" w:sz="16" w:space="0" w:color="000000"/>
            </w:tcBorders>
            <w:shd w:val="clear" w:color="auto" w:fill="FFFFFF"/>
            <w:vAlign w:val="center"/>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OFFER TIIMING</w:t>
            </w:r>
          </w:p>
        </w:tc>
        <w:tc>
          <w:tcPr>
            <w:tcW w:w="708" w:type="dxa"/>
            <w:tcBorders>
              <w:top w:val="nil"/>
              <w:left w:val="single" w:sz="16" w:space="0" w:color="000000"/>
              <w:bottom w:val="nil"/>
            </w:tcBorders>
            <w:shd w:val="clear" w:color="auto" w:fill="FFFFFF"/>
          </w:tcPr>
          <w:p w:rsidR="005D77D4" w:rsidRPr="001A7653" w:rsidRDefault="005D77D4" w:rsidP="00FD5EDA">
            <w:pPr>
              <w:autoSpaceDE w:val="0"/>
              <w:autoSpaceDN w:val="0"/>
              <w:adjustRightInd w:val="0"/>
              <w:spacing w:line="360" w:lineRule="auto"/>
              <w:ind w:left="60" w:right="60"/>
              <w:jc w:val="center"/>
              <w:rPr>
                <w:color w:val="000000"/>
                <w:sz w:val="18"/>
                <w:szCs w:val="18"/>
              </w:rPr>
            </w:pPr>
            <w:r w:rsidRPr="001A7653">
              <w:rPr>
                <w:color w:val="000000"/>
                <w:sz w:val="18"/>
                <w:szCs w:val="18"/>
              </w:rPr>
              <w:t>79</w:t>
            </w:r>
          </w:p>
        </w:tc>
        <w:tc>
          <w:tcPr>
            <w:tcW w:w="993" w:type="dxa"/>
            <w:tcBorders>
              <w:top w:val="nil"/>
              <w:bottom w:val="nil"/>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1,00</w:t>
            </w:r>
          </w:p>
        </w:tc>
        <w:tc>
          <w:tcPr>
            <w:tcW w:w="992" w:type="dxa"/>
            <w:tcBorders>
              <w:top w:val="nil"/>
              <w:bottom w:val="nil"/>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15,00</w:t>
            </w:r>
          </w:p>
        </w:tc>
        <w:tc>
          <w:tcPr>
            <w:tcW w:w="992" w:type="dxa"/>
            <w:tcBorders>
              <w:top w:val="nil"/>
              <w:bottom w:val="nil"/>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8,1646</w:t>
            </w:r>
          </w:p>
        </w:tc>
        <w:tc>
          <w:tcPr>
            <w:tcW w:w="1134" w:type="dxa"/>
            <w:tcBorders>
              <w:top w:val="nil"/>
              <w:bottom w:val="nil"/>
              <w:right w:val="single" w:sz="16" w:space="0" w:color="000000"/>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2,24996</w:t>
            </w:r>
          </w:p>
        </w:tc>
      </w:tr>
      <w:tr w:rsidR="005D77D4" w:rsidRPr="001A7653" w:rsidTr="00ED3FD4">
        <w:trPr>
          <w:gridAfter w:val="1"/>
          <w:wAfter w:w="1701" w:type="dxa"/>
          <w:cantSplit/>
          <w:jc w:val="center"/>
        </w:trPr>
        <w:tc>
          <w:tcPr>
            <w:tcW w:w="2127" w:type="dxa"/>
            <w:tcBorders>
              <w:top w:val="nil"/>
              <w:left w:val="single" w:sz="16" w:space="0" w:color="000000"/>
              <w:bottom w:val="nil"/>
              <w:right w:val="single" w:sz="16" w:space="0" w:color="000000"/>
            </w:tcBorders>
            <w:shd w:val="clear" w:color="auto" w:fill="FFFFFF"/>
            <w:vAlign w:val="center"/>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OFFERING PRICE</w:t>
            </w:r>
          </w:p>
        </w:tc>
        <w:tc>
          <w:tcPr>
            <w:tcW w:w="708" w:type="dxa"/>
            <w:tcBorders>
              <w:top w:val="nil"/>
              <w:left w:val="single" w:sz="16" w:space="0" w:color="000000"/>
              <w:bottom w:val="nil"/>
            </w:tcBorders>
            <w:shd w:val="clear" w:color="auto" w:fill="FFFFFF"/>
          </w:tcPr>
          <w:p w:rsidR="005D77D4" w:rsidRPr="001A7653" w:rsidRDefault="005D77D4" w:rsidP="00FD5EDA">
            <w:pPr>
              <w:autoSpaceDE w:val="0"/>
              <w:autoSpaceDN w:val="0"/>
              <w:adjustRightInd w:val="0"/>
              <w:spacing w:line="360" w:lineRule="auto"/>
              <w:ind w:left="60" w:right="60"/>
              <w:jc w:val="center"/>
              <w:rPr>
                <w:color w:val="000000"/>
                <w:sz w:val="18"/>
                <w:szCs w:val="18"/>
              </w:rPr>
            </w:pPr>
            <w:r w:rsidRPr="001A7653">
              <w:rPr>
                <w:color w:val="000000"/>
                <w:sz w:val="18"/>
                <w:szCs w:val="18"/>
              </w:rPr>
              <w:t>79</w:t>
            </w:r>
          </w:p>
        </w:tc>
        <w:tc>
          <w:tcPr>
            <w:tcW w:w="993" w:type="dxa"/>
            <w:tcBorders>
              <w:top w:val="nil"/>
              <w:bottom w:val="nil"/>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102,00</w:t>
            </w:r>
          </w:p>
        </w:tc>
        <w:tc>
          <w:tcPr>
            <w:tcW w:w="992" w:type="dxa"/>
            <w:tcBorders>
              <w:top w:val="nil"/>
              <w:bottom w:val="nil"/>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17000,00</w:t>
            </w:r>
          </w:p>
        </w:tc>
        <w:tc>
          <w:tcPr>
            <w:tcW w:w="992" w:type="dxa"/>
            <w:tcBorders>
              <w:top w:val="nil"/>
              <w:bottom w:val="nil"/>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1237,3291</w:t>
            </w:r>
          </w:p>
        </w:tc>
        <w:tc>
          <w:tcPr>
            <w:tcW w:w="1134" w:type="dxa"/>
            <w:tcBorders>
              <w:top w:val="nil"/>
              <w:bottom w:val="nil"/>
              <w:right w:val="single" w:sz="16" w:space="0" w:color="000000"/>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2357,96196</w:t>
            </w:r>
          </w:p>
        </w:tc>
      </w:tr>
      <w:tr w:rsidR="005D77D4" w:rsidRPr="001A7653" w:rsidTr="00ED3FD4">
        <w:trPr>
          <w:gridAfter w:val="1"/>
          <w:wAfter w:w="1701" w:type="dxa"/>
          <w:cantSplit/>
          <w:jc w:val="center"/>
        </w:trPr>
        <w:tc>
          <w:tcPr>
            <w:tcW w:w="2127" w:type="dxa"/>
            <w:tcBorders>
              <w:top w:val="nil"/>
              <w:left w:val="single" w:sz="16" w:space="0" w:color="000000"/>
              <w:bottom w:val="nil"/>
              <w:right w:val="single" w:sz="16" w:space="0" w:color="000000"/>
            </w:tcBorders>
            <w:shd w:val="clear" w:color="auto" w:fill="FFFFFF"/>
            <w:vAlign w:val="center"/>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REVENUES GROWTH</w:t>
            </w:r>
          </w:p>
        </w:tc>
        <w:tc>
          <w:tcPr>
            <w:tcW w:w="708" w:type="dxa"/>
            <w:tcBorders>
              <w:top w:val="nil"/>
              <w:left w:val="single" w:sz="16" w:space="0" w:color="000000"/>
              <w:bottom w:val="nil"/>
            </w:tcBorders>
            <w:shd w:val="clear" w:color="auto" w:fill="FFFFFF"/>
          </w:tcPr>
          <w:p w:rsidR="005D77D4" w:rsidRPr="001A7653" w:rsidRDefault="005D77D4" w:rsidP="00FD5EDA">
            <w:pPr>
              <w:autoSpaceDE w:val="0"/>
              <w:autoSpaceDN w:val="0"/>
              <w:adjustRightInd w:val="0"/>
              <w:spacing w:line="360" w:lineRule="auto"/>
              <w:ind w:left="60" w:right="60"/>
              <w:jc w:val="center"/>
              <w:rPr>
                <w:color w:val="000000"/>
                <w:sz w:val="18"/>
                <w:szCs w:val="18"/>
              </w:rPr>
            </w:pPr>
            <w:r w:rsidRPr="001A7653">
              <w:rPr>
                <w:color w:val="000000"/>
                <w:sz w:val="18"/>
                <w:szCs w:val="18"/>
              </w:rPr>
              <w:t>79</w:t>
            </w:r>
          </w:p>
        </w:tc>
        <w:tc>
          <w:tcPr>
            <w:tcW w:w="993" w:type="dxa"/>
            <w:tcBorders>
              <w:top w:val="nil"/>
              <w:bottom w:val="nil"/>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-71,69</w:t>
            </w:r>
          </w:p>
        </w:tc>
        <w:tc>
          <w:tcPr>
            <w:tcW w:w="992" w:type="dxa"/>
            <w:tcBorders>
              <w:top w:val="nil"/>
              <w:bottom w:val="nil"/>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47694,56</w:t>
            </w:r>
          </w:p>
        </w:tc>
        <w:tc>
          <w:tcPr>
            <w:tcW w:w="992" w:type="dxa"/>
            <w:tcBorders>
              <w:top w:val="nil"/>
              <w:bottom w:val="nil"/>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682,0897</w:t>
            </w:r>
          </w:p>
        </w:tc>
        <w:tc>
          <w:tcPr>
            <w:tcW w:w="1134" w:type="dxa"/>
            <w:tcBorders>
              <w:top w:val="nil"/>
              <w:bottom w:val="nil"/>
              <w:right w:val="single" w:sz="16" w:space="0" w:color="000000"/>
            </w:tcBorders>
            <w:shd w:val="clear" w:color="auto" w:fill="FFFFFF"/>
          </w:tcPr>
          <w:p w:rsidR="005D77D4" w:rsidRPr="001A7653" w:rsidRDefault="005D77D4" w:rsidP="00FD5EDA">
            <w:pPr>
              <w:autoSpaceDE w:val="0"/>
              <w:autoSpaceDN w:val="0"/>
              <w:adjustRightInd w:val="0"/>
              <w:spacing w:line="360" w:lineRule="auto"/>
              <w:ind w:left="60" w:right="60"/>
              <w:rPr>
                <w:color w:val="000000"/>
                <w:sz w:val="18"/>
                <w:szCs w:val="18"/>
              </w:rPr>
            </w:pPr>
            <w:r w:rsidRPr="001A7653">
              <w:rPr>
                <w:color w:val="000000"/>
                <w:sz w:val="18"/>
                <w:szCs w:val="18"/>
              </w:rPr>
              <w:t>5364,05598</w:t>
            </w:r>
          </w:p>
        </w:tc>
      </w:tr>
      <w:tr w:rsidR="005D77D4" w:rsidRPr="001A7653" w:rsidTr="00ED3FD4">
        <w:trPr>
          <w:gridAfter w:val="1"/>
          <w:wAfter w:w="1701" w:type="dxa"/>
          <w:cantSplit/>
          <w:trHeight w:val="207"/>
          <w:jc w:val="center"/>
        </w:trPr>
        <w:tc>
          <w:tcPr>
            <w:tcW w:w="2127" w:type="dxa"/>
            <w:tcBorders>
              <w:top w:val="nil"/>
              <w:left w:val="single" w:sz="16" w:space="0" w:color="000000"/>
              <w:bottom w:val="single" w:sz="16" w:space="0" w:color="000000"/>
              <w:right w:val="single" w:sz="16" w:space="0" w:color="000000"/>
            </w:tcBorders>
            <w:shd w:val="clear" w:color="auto" w:fill="FFFFFF"/>
            <w:vAlign w:val="center"/>
          </w:tcPr>
          <w:p w:rsidR="005D77D4" w:rsidRPr="001A7653" w:rsidRDefault="005D77D4" w:rsidP="00FD5EDA">
            <w:pPr>
              <w:autoSpaceDE w:val="0"/>
              <w:autoSpaceDN w:val="0"/>
              <w:adjustRightInd w:val="0"/>
              <w:spacing w:line="360" w:lineRule="auto"/>
              <w:ind w:right="60"/>
              <w:rPr>
                <w:color w:val="000000"/>
                <w:sz w:val="18"/>
                <w:szCs w:val="18"/>
              </w:rPr>
            </w:pPr>
          </w:p>
        </w:tc>
        <w:tc>
          <w:tcPr>
            <w:tcW w:w="708" w:type="dxa"/>
            <w:tcBorders>
              <w:top w:val="nil"/>
              <w:left w:val="single" w:sz="16" w:space="0" w:color="000000"/>
              <w:bottom w:val="single" w:sz="16" w:space="0" w:color="000000"/>
            </w:tcBorders>
            <w:shd w:val="clear" w:color="auto" w:fill="FFFFFF"/>
          </w:tcPr>
          <w:p w:rsidR="005D77D4" w:rsidRPr="001A7653" w:rsidRDefault="005D77D4" w:rsidP="00FD5EDA">
            <w:pPr>
              <w:autoSpaceDE w:val="0"/>
              <w:autoSpaceDN w:val="0"/>
              <w:adjustRightInd w:val="0"/>
              <w:spacing w:line="360" w:lineRule="auto"/>
              <w:ind w:left="60" w:right="60"/>
              <w:jc w:val="right"/>
              <w:rPr>
                <w:color w:val="000000"/>
                <w:sz w:val="18"/>
                <w:szCs w:val="18"/>
              </w:rPr>
            </w:pPr>
          </w:p>
        </w:tc>
        <w:tc>
          <w:tcPr>
            <w:tcW w:w="993" w:type="dxa"/>
            <w:tcBorders>
              <w:top w:val="nil"/>
              <w:bottom w:val="single" w:sz="16" w:space="0" w:color="000000"/>
            </w:tcBorders>
            <w:shd w:val="clear" w:color="auto" w:fill="FFFFFF"/>
          </w:tcPr>
          <w:p w:rsidR="005D77D4" w:rsidRPr="001A7653" w:rsidRDefault="005D77D4" w:rsidP="00FD5EDA">
            <w:pPr>
              <w:autoSpaceDE w:val="0"/>
              <w:autoSpaceDN w:val="0"/>
              <w:adjustRightInd w:val="0"/>
              <w:spacing w:line="360" w:lineRule="auto"/>
              <w:rPr>
                <w:sz w:val="18"/>
                <w:szCs w:val="18"/>
              </w:rPr>
            </w:pPr>
          </w:p>
        </w:tc>
        <w:tc>
          <w:tcPr>
            <w:tcW w:w="992" w:type="dxa"/>
            <w:tcBorders>
              <w:top w:val="nil"/>
              <w:bottom w:val="single" w:sz="16" w:space="0" w:color="000000"/>
            </w:tcBorders>
            <w:shd w:val="clear" w:color="auto" w:fill="FFFFFF"/>
          </w:tcPr>
          <w:p w:rsidR="005D77D4" w:rsidRPr="001A7653" w:rsidRDefault="005D77D4" w:rsidP="00FD5EDA">
            <w:pPr>
              <w:autoSpaceDE w:val="0"/>
              <w:autoSpaceDN w:val="0"/>
              <w:adjustRightInd w:val="0"/>
              <w:spacing w:line="360" w:lineRule="auto"/>
              <w:rPr>
                <w:sz w:val="18"/>
                <w:szCs w:val="18"/>
              </w:rPr>
            </w:pPr>
          </w:p>
        </w:tc>
        <w:tc>
          <w:tcPr>
            <w:tcW w:w="992" w:type="dxa"/>
            <w:tcBorders>
              <w:top w:val="nil"/>
              <w:bottom w:val="single" w:sz="16" w:space="0" w:color="000000"/>
            </w:tcBorders>
            <w:shd w:val="clear" w:color="auto" w:fill="FFFFFF"/>
          </w:tcPr>
          <w:p w:rsidR="005D77D4" w:rsidRPr="001A7653" w:rsidRDefault="005D77D4" w:rsidP="00FD5EDA">
            <w:pPr>
              <w:autoSpaceDE w:val="0"/>
              <w:autoSpaceDN w:val="0"/>
              <w:adjustRightInd w:val="0"/>
              <w:spacing w:line="360" w:lineRule="auto"/>
              <w:rPr>
                <w:sz w:val="18"/>
                <w:szCs w:val="18"/>
              </w:rPr>
            </w:pPr>
          </w:p>
        </w:tc>
        <w:tc>
          <w:tcPr>
            <w:tcW w:w="1134" w:type="dxa"/>
            <w:tcBorders>
              <w:top w:val="nil"/>
              <w:bottom w:val="single" w:sz="16" w:space="0" w:color="000000"/>
              <w:right w:val="single" w:sz="16" w:space="0" w:color="000000"/>
            </w:tcBorders>
            <w:shd w:val="clear" w:color="auto" w:fill="FFFFFF"/>
          </w:tcPr>
          <w:p w:rsidR="005D77D4" w:rsidRPr="001A7653" w:rsidRDefault="005D77D4" w:rsidP="00FD5EDA">
            <w:pPr>
              <w:autoSpaceDE w:val="0"/>
              <w:autoSpaceDN w:val="0"/>
              <w:adjustRightInd w:val="0"/>
              <w:spacing w:line="360" w:lineRule="auto"/>
              <w:rPr>
                <w:sz w:val="18"/>
                <w:szCs w:val="18"/>
              </w:rPr>
            </w:pPr>
          </w:p>
        </w:tc>
      </w:tr>
    </w:tbl>
    <w:p w:rsidR="00ED3FD4" w:rsidRDefault="00ED3FD4" w:rsidP="005D77D4">
      <w:pPr>
        <w:spacing w:line="480" w:lineRule="auto"/>
        <w:jc w:val="both"/>
        <w:sectPr w:rsidR="00ED3FD4" w:rsidSect="00ED3FD4">
          <w:type w:val="continuous"/>
          <w:pgSz w:w="11906" w:h="16838"/>
          <w:pgMar w:top="1440" w:right="1440" w:bottom="1440" w:left="1440" w:header="510" w:footer="708" w:gutter="0"/>
          <w:pgNumType w:start="1"/>
          <w:cols w:space="708"/>
          <w:docGrid w:linePitch="360"/>
        </w:sectPr>
      </w:pPr>
    </w:p>
    <w:p w:rsidR="005D77D4" w:rsidRPr="00FE6DFA" w:rsidRDefault="005D77D4" w:rsidP="005D77D4">
      <w:pPr>
        <w:spacing w:line="480" w:lineRule="auto"/>
        <w:jc w:val="both"/>
      </w:pPr>
    </w:p>
    <w:p w:rsidR="005D77D4" w:rsidRPr="005D77D4" w:rsidRDefault="005D77D4" w:rsidP="005D77D4">
      <w:pPr>
        <w:pStyle w:val="NoSpacing"/>
        <w:spacing w:line="276" w:lineRule="auto"/>
        <w:ind w:firstLine="720"/>
        <w:jc w:val="both"/>
        <w:rPr>
          <w:rFonts w:ascii="Times New Roman" w:hAnsi="Times New Roman"/>
          <w:sz w:val="24"/>
          <w:szCs w:val="24"/>
        </w:rPr>
      </w:pPr>
      <w:r w:rsidRPr="005D77D4">
        <w:rPr>
          <w:rFonts w:ascii="Times New Roman" w:hAnsi="Times New Roman"/>
          <w:sz w:val="24"/>
          <w:szCs w:val="24"/>
        </w:rPr>
        <w:t xml:space="preserve">Dari tabel </w:t>
      </w:r>
      <w:r w:rsidRPr="005D77D4">
        <w:rPr>
          <w:rFonts w:ascii="Times New Roman" w:hAnsi="Times New Roman"/>
          <w:sz w:val="24"/>
          <w:szCs w:val="24"/>
          <w:lang w:val="en-US"/>
        </w:rPr>
        <w:t>diatas</w:t>
      </w:r>
      <w:r w:rsidRPr="005D77D4">
        <w:rPr>
          <w:rFonts w:ascii="Times New Roman" w:hAnsi="Times New Roman"/>
          <w:sz w:val="24"/>
          <w:szCs w:val="24"/>
        </w:rPr>
        <w:t xml:space="preserve"> menunjukkan bahwa nilai variabel </w:t>
      </w:r>
      <w:r w:rsidRPr="005D77D4">
        <w:rPr>
          <w:rFonts w:ascii="Times New Roman" w:hAnsi="Times New Roman"/>
          <w:i/>
          <w:sz w:val="24"/>
          <w:szCs w:val="24"/>
        </w:rPr>
        <w:t xml:space="preserve">underpricing </w:t>
      </w:r>
      <w:r w:rsidRPr="005D77D4">
        <w:rPr>
          <w:rFonts w:ascii="Times New Roman" w:hAnsi="Times New Roman"/>
          <w:sz w:val="24"/>
          <w:szCs w:val="24"/>
        </w:rPr>
        <w:t xml:space="preserve">berkisar antara 0,35%  sampai dengan 70,00% dengan rata-rata sebesar 23,8653% dan standar deviasi 22,46870%. Dari data tersebut dapat dilihat bahwa tingkat </w:t>
      </w:r>
      <w:r w:rsidRPr="005D77D4">
        <w:rPr>
          <w:rFonts w:ascii="Times New Roman" w:hAnsi="Times New Roman"/>
          <w:i/>
          <w:sz w:val="24"/>
          <w:szCs w:val="24"/>
        </w:rPr>
        <w:t xml:space="preserve">underpricing </w:t>
      </w:r>
      <w:r w:rsidRPr="005D77D4">
        <w:rPr>
          <w:rFonts w:ascii="Times New Roman" w:hAnsi="Times New Roman"/>
          <w:sz w:val="24"/>
          <w:szCs w:val="24"/>
        </w:rPr>
        <w:t>masih sangat tinggi dan terus terjadi sampai sekarang. Pada nilai variabel IHSG (Indeks Harga Saham Gabungan) berkisar antara -464,62 sampai dengan 736,22 dengan rata-rata sebesar -28,1295 dan standar deviasi 219,05421 . Data tersebut menjelaskan bahwa sebagian besar perusahaan lebih memilih melakukan IPO pada saat kondisi pasar dalam keadaan baik hal ini terlihat dari nilai negatif rata-rata IHSG yang mana mencerminkan kondisi IHSG yang sedang baik.</w:t>
      </w:r>
    </w:p>
    <w:p w:rsidR="005D77D4" w:rsidRPr="005D77D4" w:rsidRDefault="005D77D4" w:rsidP="005D77D4">
      <w:pPr>
        <w:pStyle w:val="NoSpacing"/>
        <w:spacing w:line="276" w:lineRule="auto"/>
        <w:ind w:firstLine="720"/>
        <w:jc w:val="both"/>
        <w:rPr>
          <w:rFonts w:ascii="Times New Roman" w:hAnsi="Times New Roman"/>
          <w:sz w:val="24"/>
          <w:szCs w:val="24"/>
        </w:rPr>
      </w:pPr>
      <w:r w:rsidRPr="005D77D4">
        <w:rPr>
          <w:rFonts w:ascii="Times New Roman" w:hAnsi="Times New Roman"/>
          <w:sz w:val="24"/>
          <w:szCs w:val="24"/>
        </w:rPr>
        <w:t>Nilai variabel jangka waktu penawaran (</w:t>
      </w:r>
      <w:r w:rsidRPr="005D77D4">
        <w:rPr>
          <w:rFonts w:ascii="Times New Roman" w:hAnsi="Times New Roman"/>
          <w:i/>
          <w:sz w:val="24"/>
          <w:szCs w:val="24"/>
        </w:rPr>
        <w:t>offer timing</w:t>
      </w:r>
      <w:r w:rsidRPr="005D77D4">
        <w:rPr>
          <w:rFonts w:ascii="Times New Roman" w:hAnsi="Times New Roman"/>
          <w:sz w:val="24"/>
          <w:szCs w:val="24"/>
        </w:rPr>
        <w:t>) berkisar antara 1 hari sampai 15 hari dengan rata-rata sebesar 8,16 dan standar deviasi 2,24996 . Dari data tersebut terlihat bahwa jangka waktu penawaran (</w:t>
      </w:r>
      <w:r w:rsidRPr="005D77D4">
        <w:rPr>
          <w:rFonts w:ascii="Times New Roman" w:hAnsi="Times New Roman"/>
          <w:i/>
          <w:sz w:val="24"/>
          <w:szCs w:val="24"/>
        </w:rPr>
        <w:t>offer timing</w:t>
      </w:r>
      <w:r w:rsidRPr="005D77D4">
        <w:rPr>
          <w:rFonts w:ascii="Times New Roman" w:hAnsi="Times New Roman"/>
          <w:sz w:val="24"/>
          <w:szCs w:val="24"/>
        </w:rPr>
        <w:t>) yang ditawarkan masing-masing perusahaan bervariasi dan sangat berbeda. Sedangkan pada nilai variabel harga penawaran saham (</w:t>
      </w:r>
      <w:r w:rsidRPr="005D77D4">
        <w:rPr>
          <w:rFonts w:ascii="Times New Roman" w:hAnsi="Times New Roman"/>
          <w:i/>
          <w:sz w:val="24"/>
          <w:szCs w:val="24"/>
        </w:rPr>
        <w:t>offering price</w:t>
      </w:r>
      <w:r w:rsidRPr="005D77D4">
        <w:rPr>
          <w:rFonts w:ascii="Times New Roman" w:hAnsi="Times New Roman"/>
          <w:sz w:val="24"/>
          <w:szCs w:val="24"/>
        </w:rPr>
        <w:t>) berkisar antara Rp 102,00 sampai  dengan Rp 17.000,00 dengan rata-</w:t>
      </w:r>
      <w:r w:rsidRPr="005D77D4">
        <w:rPr>
          <w:rFonts w:ascii="Times New Roman" w:hAnsi="Times New Roman"/>
          <w:sz w:val="24"/>
          <w:szCs w:val="24"/>
        </w:rPr>
        <w:lastRenderedPageBreak/>
        <w:t xml:space="preserve">rata sebesar Rp </w:t>
      </w:r>
      <w:r w:rsidRPr="005D77D4">
        <w:rPr>
          <w:rFonts w:ascii="Times New Roman" w:hAnsi="Times New Roman"/>
          <w:color w:val="000000"/>
          <w:sz w:val="24"/>
          <w:szCs w:val="24"/>
        </w:rPr>
        <w:t xml:space="preserve">1.237,3291 dan </w:t>
      </w:r>
      <w:r w:rsidRPr="005D77D4">
        <w:rPr>
          <w:rFonts w:ascii="Times New Roman" w:hAnsi="Times New Roman"/>
          <w:sz w:val="24"/>
          <w:szCs w:val="24"/>
        </w:rPr>
        <w:t xml:space="preserve">standar deviasi Rp </w:t>
      </w:r>
      <w:r w:rsidRPr="005D77D4">
        <w:rPr>
          <w:rFonts w:ascii="Times New Roman" w:hAnsi="Times New Roman"/>
          <w:color w:val="000000"/>
          <w:sz w:val="24"/>
          <w:szCs w:val="24"/>
        </w:rPr>
        <w:t xml:space="preserve">2.357,96196 </w:t>
      </w:r>
      <w:r w:rsidRPr="005D77D4">
        <w:rPr>
          <w:rFonts w:ascii="Times New Roman" w:hAnsi="Times New Roman"/>
          <w:sz w:val="24"/>
          <w:szCs w:val="24"/>
        </w:rPr>
        <w:t>secara rata-rata sebagian besar perusahaan menawarkan harga penawaran saham (</w:t>
      </w:r>
      <w:r w:rsidRPr="005D77D4">
        <w:rPr>
          <w:rFonts w:ascii="Times New Roman" w:hAnsi="Times New Roman"/>
          <w:i/>
          <w:sz w:val="24"/>
          <w:szCs w:val="24"/>
        </w:rPr>
        <w:t>offering price)</w:t>
      </w:r>
      <w:r w:rsidRPr="005D77D4">
        <w:rPr>
          <w:rFonts w:ascii="Times New Roman" w:hAnsi="Times New Roman"/>
          <w:sz w:val="24"/>
          <w:szCs w:val="24"/>
        </w:rPr>
        <w:t xml:space="preserve"> yang relatif rendah.</w:t>
      </w:r>
    </w:p>
    <w:p w:rsidR="005D77D4" w:rsidRPr="005D77D4" w:rsidRDefault="005D77D4" w:rsidP="005D77D4">
      <w:pPr>
        <w:pStyle w:val="NoSpacing"/>
        <w:spacing w:line="276" w:lineRule="auto"/>
        <w:jc w:val="both"/>
        <w:rPr>
          <w:rFonts w:ascii="Times New Roman" w:hAnsi="Times New Roman"/>
          <w:sz w:val="24"/>
          <w:szCs w:val="24"/>
        </w:rPr>
      </w:pPr>
      <w:r w:rsidRPr="005D77D4">
        <w:rPr>
          <w:rFonts w:ascii="Times New Roman" w:hAnsi="Times New Roman"/>
          <w:sz w:val="24"/>
          <w:szCs w:val="24"/>
        </w:rPr>
        <w:tab/>
        <w:t>Untuk nilai variabel pertumbuhan pendapatan (</w:t>
      </w:r>
      <w:r w:rsidRPr="005D77D4">
        <w:rPr>
          <w:rFonts w:ascii="Times New Roman" w:hAnsi="Times New Roman"/>
          <w:i/>
          <w:sz w:val="24"/>
          <w:szCs w:val="24"/>
        </w:rPr>
        <w:t>revenues growth</w:t>
      </w:r>
      <w:r w:rsidRPr="005D77D4">
        <w:rPr>
          <w:rFonts w:ascii="Times New Roman" w:hAnsi="Times New Roman"/>
          <w:sz w:val="24"/>
          <w:szCs w:val="24"/>
        </w:rPr>
        <w:t>) berkisar antara -</w:t>
      </w:r>
      <w:r w:rsidRPr="005D77D4">
        <w:rPr>
          <w:rFonts w:ascii="Times New Roman" w:hAnsi="Times New Roman"/>
          <w:color w:val="000000"/>
          <w:sz w:val="24"/>
          <w:szCs w:val="24"/>
        </w:rPr>
        <w:t xml:space="preserve">71,69% </w:t>
      </w:r>
      <w:r w:rsidRPr="005D77D4">
        <w:rPr>
          <w:rFonts w:ascii="Times New Roman" w:hAnsi="Times New Roman"/>
          <w:sz w:val="24"/>
          <w:szCs w:val="24"/>
        </w:rPr>
        <w:t xml:space="preserve">sampai dengan 47694,56% dengan rata-rata sebesar </w:t>
      </w:r>
      <w:r w:rsidRPr="005D77D4">
        <w:rPr>
          <w:rFonts w:ascii="Times New Roman" w:hAnsi="Times New Roman"/>
          <w:color w:val="000000"/>
          <w:sz w:val="24"/>
          <w:szCs w:val="24"/>
        </w:rPr>
        <w:t xml:space="preserve">682,0897% </w:t>
      </w:r>
      <w:r w:rsidRPr="005D77D4">
        <w:rPr>
          <w:rFonts w:ascii="Times New Roman" w:hAnsi="Times New Roman"/>
          <w:sz w:val="24"/>
          <w:szCs w:val="24"/>
        </w:rPr>
        <w:t xml:space="preserve">dan standar deviasi </w:t>
      </w:r>
      <w:r w:rsidRPr="005D77D4">
        <w:rPr>
          <w:rFonts w:ascii="Times New Roman" w:hAnsi="Times New Roman"/>
          <w:color w:val="000000"/>
          <w:sz w:val="24"/>
          <w:szCs w:val="24"/>
        </w:rPr>
        <w:t>5364,05598%</w:t>
      </w:r>
      <w:r w:rsidRPr="005D77D4">
        <w:rPr>
          <w:rFonts w:ascii="Times New Roman" w:hAnsi="Times New Roman"/>
          <w:sz w:val="24"/>
          <w:szCs w:val="24"/>
        </w:rPr>
        <w:t xml:space="preserve">. </w:t>
      </w:r>
    </w:p>
    <w:p w:rsidR="005D77D4" w:rsidRPr="005D77D4" w:rsidRDefault="005D77D4" w:rsidP="005D77D4">
      <w:pPr>
        <w:pStyle w:val="NoSpacing"/>
        <w:spacing w:line="276" w:lineRule="auto"/>
        <w:jc w:val="both"/>
        <w:rPr>
          <w:rFonts w:ascii="Times New Roman" w:hAnsi="Times New Roman"/>
          <w:sz w:val="24"/>
          <w:szCs w:val="24"/>
        </w:rPr>
      </w:pPr>
    </w:p>
    <w:p w:rsidR="005D77D4" w:rsidRPr="005D77D4" w:rsidRDefault="005D77D4" w:rsidP="005D77D4">
      <w:pPr>
        <w:pStyle w:val="NoSpacing"/>
        <w:spacing w:line="276" w:lineRule="auto"/>
        <w:jc w:val="both"/>
        <w:rPr>
          <w:rFonts w:ascii="Times New Roman" w:hAnsi="Times New Roman"/>
          <w:b/>
          <w:i/>
          <w:sz w:val="24"/>
          <w:szCs w:val="24"/>
        </w:rPr>
      </w:pPr>
      <w:r w:rsidRPr="005D77D4">
        <w:rPr>
          <w:rFonts w:ascii="Times New Roman" w:hAnsi="Times New Roman"/>
          <w:b/>
          <w:sz w:val="24"/>
          <w:szCs w:val="24"/>
        </w:rPr>
        <w:t>Pengaruh Indeks Harga Saham Gabungan (IHSG), Jangka Waktu Penawaran (</w:t>
      </w:r>
      <w:r w:rsidRPr="005D77D4">
        <w:rPr>
          <w:rFonts w:ascii="Times New Roman" w:hAnsi="Times New Roman"/>
          <w:b/>
          <w:i/>
          <w:sz w:val="24"/>
          <w:szCs w:val="24"/>
        </w:rPr>
        <w:t>Offer Timing),</w:t>
      </w:r>
      <w:r w:rsidRPr="005D77D4">
        <w:rPr>
          <w:rFonts w:ascii="Times New Roman" w:hAnsi="Times New Roman"/>
          <w:b/>
          <w:sz w:val="24"/>
          <w:szCs w:val="24"/>
        </w:rPr>
        <w:t xml:space="preserve"> Harga Penawaran Saham (</w:t>
      </w:r>
      <w:r w:rsidRPr="005D77D4">
        <w:rPr>
          <w:rFonts w:ascii="Times New Roman" w:hAnsi="Times New Roman"/>
          <w:b/>
          <w:i/>
          <w:sz w:val="24"/>
          <w:szCs w:val="24"/>
        </w:rPr>
        <w:t>Offering Price</w:t>
      </w:r>
      <w:r w:rsidRPr="005D77D4">
        <w:rPr>
          <w:rFonts w:ascii="Times New Roman" w:hAnsi="Times New Roman"/>
          <w:b/>
          <w:sz w:val="24"/>
          <w:szCs w:val="24"/>
        </w:rPr>
        <w:t>), Pertumbuhan Pendapatan (</w:t>
      </w:r>
      <w:r w:rsidRPr="005D77D4">
        <w:rPr>
          <w:rFonts w:ascii="Times New Roman" w:hAnsi="Times New Roman"/>
          <w:b/>
          <w:i/>
          <w:sz w:val="24"/>
          <w:szCs w:val="24"/>
        </w:rPr>
        <w:t>Revenues Growth</w:t>
      </w:r>
      <w:r w:rsidRPr="005D77D4">
        <w:rPr>
          <w:rFonts w:ascii="Times New Roman" w:hAnsi="Times New Roman"/>
          <w:b/>
          <w:sz w:val="24"/>
          <w:szCs w:val="24"/>
        </w:rPr>
        <w:t xml:space="preserve">) Secara   Parsial  terhadap </w:t>
      </w:r>
      <w:r w:rsidRPr="005D77D4">
        <w:rPr>
          <w:rFonts w:ascii="Times New Roman" w:hAnsi="Times New Roman"/>
          <w:b/>
          <w:i/>
          <w:sz w:val="24"/>
          <w:szCs w:val="24"/>
        </w:rPr>
        <w:t>Underpricing.</w:t>
      </w:r>
    </w:p>
    <w:p w:rsidR="005D77D4" w:rsidRPr="005D77D4" w:rsidRDefault="005D77D4" w:rsidP="005D77D4">
      <w:pPr>
        <w:pStyle w:val="NoSpacing"/>
        <w:spacing w:line="276" w:lineRule="auto"/>
        <w:jc w:val="both"/>
        <w:rPr>
          <w:rFonts w:ascii="Times New Roman" w:hAnsi="Times New Roman"/>
          <w:sz w:val="24"/>
          <w:szCs w:val="24"/>
        </w:rPr>
      </w:pPr>
      <w:r w:rsidRPr="005D77D4">
        <w:rPr>
          <w:rFonts w:ascii="Times New Roman" w:hAnsi="Times New Roman"/>
          <w:sz w:val="24"/>
          <w:szCs w:val="24"/>
        </w:rPr>
        <w:t>Berdasarkan pengujian secara parsial paada variabel Indeks Harga Saham Gabungan (IHSG), jangka waktu penawaran (</w:t>
      </w:r>
      <w:r w:rsidRPr="005D77D4">
        <w:rPr>
          <w:rFonts w:ascii="Times New Roman" w:hAnsi="Times New Roman"/>
          <w:i/>
          <w:sz w:val="24"/>
          <w:szCs w:val="24"/>
        </w:rPr>
        <w:t>Offer Timing),</w:t>
      </w:r>
      <w:r w:rsidRPr="005D77D4">
        <w:rPr>
          <w:rFonts w:ascii="Times New Roman" w:hAnsi="Times New Roman"/>
          <w:sz w:val="24"/>
          <w:szCs w:val="24"/>
        </w:rPr>
        <w:t xml:space="preserve"> harga penawaran saham (</w:t>
      </w:r>
      <w:r w:rsidRPr="005D77D4">
        <w:rPr>
          <w:rFonts w:ascii="Times New Roman" w:hAnsi="Times New Roman"/>
          <w:i/>
          <w:sz w:val="24"/>
          <w:szCs w:val="24"/>
        </w:rPr>
        <w:t>offering price</w:t>
      </w:r>
      <w:r w:rsidRPr="005D77D4">
        <w:rPr>
          <w:rFonts w:ascii="Times New Roman" w:hAnsi="Times New Roman"/>
          <w:sz w:val="24"/>
          <w:szCs w:val="24"/>
        </w:rPr>
        <w:t>), pertumbuhan pendapatan (</w:t>
      </w:r>
      <w:r w:rsidRPr="005D77D4">
        <w:rPr>
          <w:rFonts w:ascii="Times New Roman" w:hAnsi="Times New Roman"/>
          <w:i/>
          <w:sz w:val="24"/>
          <w:szCs w:val="24"/>
        </w:rPr>
        <w:t>revenues growth</w:t>
      </w:r>
      <w:r w:rsidRPr="005D77D4">
        <w:rPr>
          <w:rFonts w:ascii="Times New Roman" w:hAnsi="Times New Roman"/>
          <w:sz w:val="24"/>
          <w:szCs w:val="24"/>
        </w:rPr>
        <w:t xml:space="preserve">) secara   parsial  terhadap </w:t>
      </w:r>
      <w:r w:rsidRPr="005D77D4">
        <w:rPr>
          <w:rFonts w:ascii="Times New Roman" w:hAnsi="Times New Roman"/>
          <w:i/>
          <w:sz w:val="24"/>
          <w:szCs w:val="24"/>
        </w:rPr>
        <w:t>underpricing</w:t>
      </w:r>
      <w:r w:rsidRPr="005D77D4">
        <w:rPr>
          <w:rFonts w:ascii="Times New Roman" w:hAnsi="Times New Roman"/>
          <w:sz w:val="24"/>
          <w:szCs w:val="24"/>
        </w:rPr>
        <w:t xml:space="preserve"> dapat dilihat dengan menggunakan SPSS versi 21 didapat hasil sebagai berikut :</w:t>
      </w:r>
    </w:p>
    <w:p w:rsidR="005D77D4" w:rsidRPr="00ED3FD4" w:rsidRDefault="00ED3FD4" w:rsidP="005D77D4">
      <w:pPr>
        <w:pStyle w:val="NoSpacing"/>
        <w:jc w:val="both"/>
        <w:rPr>
          <w:rFonts w:ascii="Times New Roman" w:hAnsi="Times New Roman"/>
          <w:sz w:val="24"/>
          <w:szCs w:val="24"/>
          <w:lang w:val="en-US"/>
        </w:rPr>
      </w:pPr>
      <w:proofErr w:type="gramStart"/>
      <w:r>
        <w:rPr>
          <w:rFonts w:ascii="Times New Roman" w:hAnsi="Times New Roman"/>
          <w:sz w:val="24"/>
          <w:szCs w:val="24"/>
          <w:lang w:val="en-US"/>
        </w:rPr>
        <w:t>Tabel 3.</w:t>
      </w:r>
      <w:proofErr w:type="gramEnd"/>
      <w:r>
        <w:rPr>
          <w:rFonts w:ascii="Times New Roman" w:hAnsi="Times New Roman"/>
          <w:sz w:val="24"/>
          <w:szCs w:val="24"/>
          <w:lang w:val="en-US"/>
        </w:rPr>
        <w:t xml:space="preserve"> Pengujian hipotesis Uji t</w:t>
      </w:r>
    </w:p>
    <w:p w:rsidR="00ED3FD4" w:rsidRDefault="00ED3FD4" w:rsidP="00FD5EDA">
      <w:pPr>
        <w:autoSpaceDE w:val="0"/>
        <w:autoSpaceDN w:val="0"/>
        <w:adjustRightInd w:val="0"/>
        <w:ind w:left="60" w:right="60"/>
        <w:jc w:val="center"/>
        <w:rPr>
          <w:color w:val="000000"/>
          <w:sz w:val="18"/>
          <w:szCs w:val="18"/>
        </w:rPr>
        <w:sectPr w:rsidR="00ED3FD4" w:rsidSect="00AC7641">
          <w:type w:val="continuous"/>
          <w:pgSz w:w="11906" w:h="16838"/>
          <w:pgMar w:top="1440" w:right="1440" w:bottom="1440" w:left="1440" w:header="510" w:footer="708" w:gutter="0"/>
          <w:pgNumType w:start="1"/>
          <w:cols w:num="2" w:space="708"/>
          <w:docGrid w:linePitch="360"/>
        </w:sectPr>
      </w:pPr>
    </w:p>
    <w:tbl>
      <w:tblPr>
        <w:tblW w:w="69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15"/>
        <w:gridCol w:w="1675"/>
        <w:gridCol w:w="992"/>
        <w:gridCol w:w="851"/>
        <w:gridCol w:w="1417"/>
        <w:gridCol w:w="709"/>
        <w:gridCol w:w="567"/>
      </w:tblGrid>
      <w:tr w:rsidR="005D77D4" w:rsidRPr="00FE6DFA" w:rsidTr="00ED3FD4">
        <w:trPr>
          <w:cantSplit/>
          <w:trHeight w:val="814"/>
          <w:jc w:val="center"/>
        </w:trPr>
        <w:tc>
          <w:tcPr>
            <w:tcW w:w="2390" w:type="dxa"/>
            <w:gridSpan w:val="2"/>
            <w:vMerge w:val="restart"/>
            <w:tcBorders>
              <w:top w:val="single" w:sz="16" w:space="0" w:color="000000"/>
              <w:left w:val="single" w:sz="16" w:space="0" w:color="000000"/>
              <w:bottom w:val="nil"/>
              <w:right w:val="nil"/>
            </w:tcBorders>
            <w:shd w:val="clear" w:color="auto" w:fill="FFFFFF"/>
          </w:tcPr>
          <w:p w:rsidR="005D77D4" w:rsidRPr="00305654" w:rsidRDefault="005D77D4" w:rsidP="00FD5EDA">
            <w:pPr>
              <w:autoSpaceDE w:val="0"/>
              <w:autoSpaceDN w:val="0"/>
              <w:adjustRightInd w:val="0"/>
              <w:ind w:left="60" w:right="60"/>
              <w:jc w:val="center"/>
              <w:rPr>
                <w:color w:val="000000"/>
                <w:sz w:val="18"/>
                <w:szCs w:val="18"/>
              </w:rPr>
            </w:pPr>
            <w:r w:rsidRPr="00305654">
              <w:rPr>
                <w:color w:val="000000"/>
                <w:sz w:val="18"/>
                <w:szCs w:val="18"/>
              </w:rPr>
              <w:lastRenderedPageBreak/>
              <w:t>Model</w:t>
            </w:r>
          </w:p>
        </w:tc>
        <w:tc>
          <w:tcPr>
            <w:tcW w:w="1843" w:type="dxa"/>
            <w:gridSpan w:val="2"/>
            <w:tcBorders>
              <w:top w:val="single" w:sz="16" w:space="0" w:color="000000"/>
              <w:left w:val="single" w:sz="16" w:space="0" w:color="000000"/>
            </w:tcBorders>
            <w:shd w:val="clear" w:color="auto" w:fill="FFFFFF"/>
          </w:tcPr>
          <w:p w:rsidR="005D77D4" w:rsidRPr="00305654" w:rsidRDefault="005D77D4" w:rsidP="00FD5EDA">
            <w:pPr>
              <w:autoSpaceDE w:val="0"/>
              <w:autoSpaceDN w:val="0"/>
              <w:adjustRightInd w:val="0"/>
              <w:ind w:left="60" w:right="60"/>
              <w:jc w:val="center"/>
              <w:rPr>
                <w:color w:val="000000"/>
                <w:sz w:val="18"/>
                <w:szCs w:val="18"/>
              </w:rPr>
            </w:pPr>
            <w:r w:rsidRPr="00305654">
              <w:rPr>
                <w:color w:val="000000"/>
                <w:sz w:val="18"/>
                <w:szCs w:val="18"/>
              </w:rPr>
              <w:t>Unstandardized Coefficients</w:t>
            </w:r>
          </w:p>
        </w:tc>
        <w:tc>
          <w:tcPr>
            <w:tcW w:w="1417" w:type="dxa"/>
            <w:tcBorders>
              <w:top w:val="single" w:sz="16" w:space="0" w:color="000000"/>
            </w:tcBorders>
            <w:shd w:val="clear" w:color="auto" w:fill="FFFFFF"/>
          </w:tcPr>
          <w:p w:rsidR="005D77D4" w:rsidRPr="00305654" w:rsidRDefault="005D77D4" w:rsidP="00FD5EDA">
            <w:pPr>
              <w:autoSpaceDE w:val="0"/>
              <w:autoSpaceDN w:val="0"/>
              <w:adjustRightInd w:val="0"/>
              <w:ind w:left="60" w:right="60"/>
              <w:jc w:val="center"/>
              <w:rPr>
                <w:color w:val="000000"/>
                <w:sz w:val="18"/>
                <w:szCs w:val="18"/>
              </w:rPr>
            </w:pPr>
            <w:r w:rsidRPr="00305654">
              <w:rPr>
                <w:color w:val="000000"/>
                <w:sz w:val="18"/>
                <w:szCs w:val="18"/>
              </w:rPr>
              <w:t>Standardized Coefficients</w:t>
            </w:r>
          </w:p>
        </w:tc>
        <w:tc>
          <w:tcPr>
            <w:tcW w:w="709" w:type="dxa"/>
            <w:vMerge w:val="restart"/>
            <w:tcBorders>
              <w:top w:val="single" w:sz="16" w:space="0" w:color="000000"/>
            </w:tcBorders>
            <w:shd w:val="clear" w:color="auto" w:fill="FFFFFF"/>
          </w:tcPr>
          <w:p w:rsidR="005D77D4" w:rsidRPr="00305654" w:rsidRDefault="005D77D4" w:rsidP="00FD5EDA">
            <w:pPr>
              <w:autoSpaceDE w:val="0"/>
              <w:autoSpaceDN w:val="0"/>
              <w:adjustRightInd w:val="0"/>
              <w:ind w:left="60" w:right="60"/>
              <w:jc w:val="center"/>
              <w:rPr>
                <w:color w:val="000000"/>
                <w:sz w:val="18"/>
                <w:szCs w:val="18"/>
              </w:rPr>
            </w:pPr>
            <w:r w:rsidRPr="00305654">
              <w:rPr>
                <w:color w:val="000000"/>
                <w:sz w:val="18"/>
                <w:szCs w:val="18"/>
              </w:rPr>
              <w:t>T</w:t>
            </w:r>
          </w:p>
        </w:tc>
        <w:tc>
          <w:tcPr>
            <w:tcW w:w="567" w:type="dxa"/>
            <w:vMerge w:val="restart"/>
            <w:tcBorders>
              <w:top w:val="single" w:sz="16" w:space="0" w:color="000000"/>
              <w:right w:val="single" w:sz="16" w:space="0" w:color="000000"/>
            </w:tcBorders>
            <w:shd w:val="clear" w:color="auto" w:fill="FFFFFF"/>
          </w:tcPr>
          <w:p w:rsidR="005D77D4" w:rsidRPr="00305654" w:rsidRDefault="005D77D4" w:rsidP="00FD5EDA">
            <w:pPr>
              <w:autoSpaceDE w:val="0"/>
              <w:autoSpaceDN w:val="0"/>
              <w:adjustRightInd w:val="0"/>
              <w:ind w:left="60" w:right="60"/>
              <w:jc w:val="center"/>
              <w:rPr>
                <w:color w:val="000000"/>
                <w:sz w:val="18"/>
                <w:szCs w:val="18"/>
              </w:rPr>
            </w:pPr>
            <w:r w:rsidRPr="00305654">
              <w:rPr>
                <w:color w:val="000000"/>
                <w:sz w:val="18"/>
                <w:szCs w:val="18"/>
              </w:rPr>
              <w:t>Sig.</w:t>
            </w:r>
          </w:p>
        </w:tc>
      </w:tr>
      <w:tr w:rsidR="005D77D4" w:rsidRPr="00FE6DFA" w:rsidTr="00ED3FD4">
        <w:trPr>
          <w:cantSplit/>
          <w:trHeight w:val="106"/>
          <w:jc w:val="center"/>
        </w:trPr>
        <w:tc>
          <w:tcPr>
            <w:tcW w:w="2390" w:type="dxa"/>
            <w:gridSpan w:val="2"/>
            <w:vMerge/>
            <w:tcBorders>
              <w:top w:val="single" w:sz="16" w:space="0" w:color="000000"/>
              <w:left w:val="single" w:sz="16" w:space="0" w:color="000000"/>
              <w:bottom w:val="nil"/>
              <w:right w:val="nil"/>
            </w:tcBorders>
            <w:shd w:val="clear" w:color="auto" w:fill="FFFFFF"/>
          </w:tcPr>
          <w:p w:rsidR="005D77D4" w:rsidRPr="00305654" w:rsidRDefault="005D77D4" w:rsidP="00FD5EDA">
            <w:pPr>
              <w:autoSpaceDE w:val="0"/>
              <w:autoSpaceDN w:val="0"/>
              <w:adjustRightInd w:val="0"/>
              <w:spacing w:line="480" w:lineRule="auto"/>
              <w:rPr>
                <w:color w:val="000000"/>
                <w:sz w:val="18"/>
                <w:szCs w:val="18"/>
              </w:rPr>
            </w:pPr>
          </w:p>
        </w:tc>
        <w:tc>
          <w:tcPr>
            <w:tcW w:w="992" w:type="dxa"/>
            <w:tcBorders>
              <w:left w:val="single" w:sz="16" w:space="0" w:color="000000"/>
              <w:bottom w:val="single" w:sz="16" w:space="0" w:color="000000"/>
            </w:tcBorders>
            <w:shd w:val="clear" w:color="auto" w:fill="FFFFFF"/>
          </w:tcPr>
          <w:p w:rsidR="005D77D4" w:rsidRPr="00305654" w:rsidRDefault="005D77D4" w:rsidP="00FD5EDA">
            <w:pPr>
              <w:autoSpaceDE w:val="0"/>
              <w:autoSpaceDN w:val="0"/>
              <w:adjustRightInd w:val="0"/>
              <w:ind w:left="60" w:right="60"/>
              <w:jc w:val="center"/>
              <w:rPr>
                <w:color w:val="000000"/>
                <w:sz w:val="18"/>
                <w:szCs w:val="18"/>
              </w:rPr>
            </w:pPr>
            <w:r w:rsidRPr="00305654">
              <w:rPr>
                <w:color w:val="000000"/>
                <w:sz w:val="18"/>
                <w:szCs w:val="18"/>
              </w:rPr>
              <w:t>B</w:t>
            </w:r>
          </w:p>
        </w:tc>
        <w:tc>
          <w:tcPr>
            <w:tcW w:w="851" w:type="dxa"/>
            <w:tcBorders>
              <w:bottom w:val="single" w:sz="16" w:space="0" w:color="000000"/>
            </w:tcBorders>
            <w:shd w:val="clear" w:color="auto" w:fill="FFFFFF"/>
          </w:tcPr>
          <w:p w:rsidR="005D77D4" w:rsidRPr="00305654" w:rsidRDefault="005D77D4" w:rsidP="00FD5EDA">
            <w:pPr>
              <w:autoSpaceDE w:val="0"/>
              <w:autoSpaceDN w:val="0"/>
              <w:adjustRightInd w:val="0"/>
              <w:ind w:left="60" w:right="60"/>
              <w:jc w:val="center"/>
              <w:rPr>
                <w:color w:val="000000"/>
                <w:sz w:val="18"/>
                <w:szCs w:val="18"/>
              </w:rPr>
            </w:pPr>
            <w:r w:rsidRPr="00305654">
              <w:rPr>
                <w:color w:val="000000"/>
                <w:sz w:val="18"/>
                <w:szCs w:val="18"/>
              </w:rPr>
              <w:t>Std. Error</w:t>
            </w:r>
          </w:p>
        </w:tc>
        <w:tc>
          <w:tcPr>
            <w:tcW w:w="1417" w:type="dxa"/>
            <w:tcBorders>
              <w:bottom w:val="single" w:sz="16" w:space="0" w:color="000000"/>
            </w:tcBorders>
            <w:shd w:val="clear" w:color="auto" w:fill="FFFFFF"/>
          </w:tcPr>
          <w:p w:rsidR="005D77D4" w:rsidRPr="00305654" w:rsidRDefault="005D77D4" w:rsidP="00FD5EDA">
            <w:pPr>
              <w:autoSpaceDE w:val="0"/>
              <w:autoSpaceDN w:val="0"/>
              <w:adjustRightInd w:val="0"/>
              <w:ind w:left="60" w:right="60"/>
              <w:jc w:val="center"/>
              <w:rPr>
                <w:color w:val="000000"/>
                <w:sz w:val="18"/>
                <w:szCs w:val="18"/>
              </w:rPr>
            </w:pPr>
            <w:r w:rsidRPr="00305654">
              <w:rPr>
                <w:color w:val="000000"/>
                <w:sz w:val="18"/>
                <w:szCs w:val="18"/>
              </w:rPr>
              <w:t>Beta</w:t>
            </w:r>
          </w:p>
        </w:tc>
        <w:tc>
          <w:tcPr>
            <w:tcW w:w="709" w:type="dxa"/>
            <w:vMerge/>
            <w:tcBorders>
              <w:top w:val="single" w:sz="16" w:space="0" w:color="000000"/>
            </w:tcBorders>
            <w:shd w:val="clear" w:color="auto" w:fill="FFFFFF"/>
          </w:tcPr>
          <w:p w:rsidR="005D77D4" w:rsidRPr="00305654" w:rsidRDefault="005D77D4" w:rsidP="00FD5EDA">
            <w:pPr>
              <w:autoSpaceDE w:val="0"/>
              <w:autoSpaceDN w:val="0"/>
              <w:adjustRightInd w:val="0"/>
              <w:spacing w:line="480" w:lineRule="auto"/>
              <w:rPr>
                <w:color w:val="000000"/>
                <w:sz w:val="18"/>
                <w:szCs w:val="18"/>
              </w:rPr>
            </w:pPr>
          </w:p>
        </w:tc>
        <w:tc>
          <w:tcPr>
            <w:tcW w:w="567" w:type="dxa"/>
            <w:vMerge/>
            <w:tcBorders>
              <w:top w:val="single" w:sz="16" w:space="0" w:color="000000"/>
              <w:right w:val="single" w:sz="16" w:space="0" w:color="000000"/>
            </w:tcBorders>
            <w:shd w:val="clear" w:color="auto" w:fill="FFFFFF"/>
          </w:tcPr>
          <w:p w:rsidR="005D77D4" w:rsidRPr="00305654" w:rsidRDefault="005D77D4" w:rsidP="00FD5EDA">
            <w:pPr>
              <w:autoSpaceDE w:val="0"/>
              <w:autoSpaceDN w:val="0"/>
              <w:adjustRightInd w:val="0"/>
              <w:spacing w:line="480" w:lineRule="auto"/>
              <w:rPr>
                <w:color w:val="000000"/>
                <w:sz w:val="18"/>
                <w:szCs w:val="18"/>
              </w:rPr>
            </w:pPr>
          </w:p>
        </w:tc>
      </w:tr>
      <w:tr w:rsidR="005D77D4" w:rsidRPr="00FE6DFA" w:rsidTr="00ED3FD4">
        <w:trPr>
          <w:cantSplit/>
          <w:trHeight w:val="259"/>
          <w:jc w:val="center"/>
        </w:trPr>
        <w:tc>
          <w:tcPr>
            <w:tcW w:w="715" w:type="dxa"/>
            <w:vMerge w:val="restart"/>
            <w:tcBorders>
              <w:top w:val="single" w:sz="16" w:space="0" w:color="000000"/>
              <w:left w:val="single" w:sz="16" w:space="0" w:color="000000"/>
              <w:bottom w:val="single" w:sz="16" w:space="0" w:color="000000"/>
              <w:right w:val="nil"/>
            </w:tcBorders>
            <w:shd w:val="clear" w:color="auto" w:fill="FFFFFF"/>
            <w:vAlign w:val="center"/>
          </w:tcPr>
          <w:p w:rsidR="005D77D4" w:rsidRPr="00305654" w:rsidRDefault="005D77D4" w:rsidP="00FD5EDA">
            <w:pPr>
              <w:autoSpaceDE w:val="0"/>
              <w:autoSpaceDN w:val="0"/>
              <w:adjustRightInd w:val="0"/>
              <w:spacing w:line="480" w:lineRule="auto"/>
              <w:ind w:left="60" w:right="60"/>
              <w:rPr>
                <w:color w:val="000000"/>
                <w:sz w:val="18"/>
                <w:szCs w:val="18"/>
              </w:rPr>
            </w:pPr>
          </w:p>
        </w:tc>
        <w:tc>
          <w:tcPr>
            <w:tcW w:w="1675" w:type="dxa"/>
            <w:tcBorders>
              <w:top w:val="single" w:sz="16" w:space="0" w:color="000000"/>
              <w:left w:val="nil"/>
              <w:bottom w:val="nil"/>
              <w:right w:val="single" w:sz="16" w:space="0" w:color="000000"/>
            </w:tcBorders>
            <w:shd w:val="clear" w:color="auto" w:fill="FFFFFF"/>
            <w:vAlign w:val="center"/>
          </w:tcPr>
          <w:p w:rsidR="005D77D4" w:rsidRPr="00305654" w:rsidRDefault="005D77D4" w:rsidP="00FD5EDA">
            <w:pPr>
              <w:autoSpaceDE w:val="0"/>
              <w:autoSpaceDN w:val="0"/>
              <w:adjustRightInd w:val="0"/>
              <w:spacing w:line="360" w:lineRule="auto"/>
              <w:ind w:left="60" w:right="60"/>
              <w:rPr>
                <w:color w:val="000000"/>
                <w:sz w:val="18"/>
                <w:szCs w:val="18"/>
              </w:rPr>
            </w:pPr>
            <w:r w:rsidRPr="00305654">
              <w:rPr>
                <w:color w:val="000000"/>
                <w:sz w:val="18"/>
                <w:szCs w:val="18"/>
              </w:rPr>
              <w:t>(Constant)</w:t>
            </w:r>
          </w:p>
        </w:tc>
        <w:tc>
          <w:tcPr>
            <w:tcW w:w="992" w:type="dxa"/>
            <w:tcBorders>
              <w:top w:val="single" w:sz="16" w:space="0" w:color="000000"/>
              <w:left w:val="single" w:sz="16" w:space="0" w:color="000000"/>
              <w:bottom w:val="nil"/>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2.280</w:t>
            </w:r>
          </w:p>
        </w:tc>
        <w:tc>
          <w:tcPr>
            <w:tcW w:w="851" w:type="dxa"/>
            <w:tcBorders>
              <w:top w:val="single" w:sz="16" w:space="0" w:color="000000"/>
              <w:bottom w:val="nil"/>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.538</w:t>
            </w:r>
          </w:p>
        </w:tc>
        <w:tc>
          <w:tcPr>
            <w:tcW w:w="1417" w:type="dxa"/>
            <w:tcBorders>
              <w:top w:val="single" w:sz="16" w:space="0" w:color="000000"/>
              <w:bottom w:val="nil"/>
            </w:tcBorders>
            <w:shd w:val="clear" w:color="auto" w:fill="FFFFFF"/>
          </w:tcPr>
          <w:p w:rsidR="005D77D4" w:rsidRPr="00305654" w:rsidRDefault="005D77D4" w:rsidP="00FD5EDA">
            <w:pPr>
              <w:autoSpaceDE w:val="0"/>
              <w:autoSpaceDN w:val="0"/>
              <w:adjustRightInd w:val="0"/>
              <w:spacing w:line="360" w:lineRule="auto"/>
              <w:rPr>
                <w:sz w:val="18"/>
                <w:szCs w:val="18"/>
              </w:rPr>
            </w:pPr>
          </w:p>
        </w:tc>
        <w:tc>
          <w:tcPr>
            <w:tcW w:w="709" w:type="dxa"/>
            <w:tcBorders>
              <w:top w:val="single" w:sz="16" w:space="0" w:color="000000"/>
              <w:bottom w:val="nil"/>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4.236</w:t>
            </w:r>
          </w:p>
        </w:tc>
        <w:tc>
          <w:tcPr>
            <w:tcW w:w="567" w:type="dxa"/>
            <w:tcBorders>
              <w:top w:val="single" w:sz="16" w:space="0" w:color="000000"/>
              <w:bottom w:val="nil"/>
              <w:right w:val="single" w:sz="16" w:space="0" w:color="000000"/>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.000</w:t>
            </w:r>
          </w:p>
        </w:tc>
      </w:tr>
      <w:tr w:rsidR="005D77D4" w:rsidRPr="00FE6DFA" w:rsidTr="00ED3FD4">
        <w:trPr>
          <w:cantSplit/>
          <w:trHeight w:val="106"/>
          <w:jc w:val="center"/>
        </w:trPr>
        <w:tc>
          <w:tcPr>
            <w:tcW w:w="715" w:type="dxa"/>
            <w:vMerge/>
            <w:tcBorders>
              <w:top w:val="single" w:sz="16" w:space="0" w:color="000000"/>
              <w:left w:val="single" w:sz="16" w:space="0" w:color="000000"/>
              <w:bottom w:val="single" w:sz="16" w:space="0" w:color="000000"/>
              <w:right w:val="nil"/>
            </w:tcBorders>
            <w:shd w:val="clear" w:color="auto" w:fill="FFFFFF"/>
            <w:vAlign w:val="center"/>
          </w:tcPr>
          <w:p w:rsidR="005D77D4" w:rsidRPr="00305654" w:rsidRDefault="005D77D4" w:rsidP="00FD5EDA">
            <w:pPr>
              <w:autoSpaceDE w:val="0"/>
              <w:autoSpaceDN w:val="0"/>
              <w:adjustRightInd w:val="0"/>
              <w:spacing w:line="480" w:lineRule="auto"/>
              <w:rPr>
                <w:color w:val="000000"/>
                <w:sz w:val="18"/>
                <w:szCs w:val="18"/>
              </w:rPr>
            </w:pPr>
          </w:p>
        </w:tc>
        <w:tc>
          <w:tcPr>
            <w:tcW w:w="1675" w:type="dxa"/>
            <w:tcBorders>
              <w:top w:val="nil"/>
              <w:left w:val="nil"/>
              <w:bottom w:val="nil"/>
              <w:right w:val="single" w:sz="16" w:space="0" w:color="000000"/>
            </w:tcBorders>
            <w:shd w:val="clear" w:color="auto" w:fill="FFFFFF"/>
            <w:vAlign w:val="center"/>
          </w:tcPr>
          <w:p w:rsidR="005D77D4" w:rsidRPr="00305654" w:rsidRDefault="005D77D4" w:rsidP="00FD5EDA">
            <w:pPr>
              <w:autoSpaceDE w:val="0"/>
              <w:autoSpaceDN w:val="0"/>
              <w:adjustRightInd w:val="0"/>
              <w:spacing w:line="360" w:lineRule="auto"/>
              <w:ind w:left="60" w:right="60"/>
              <w:rPr>
                <w:color w:val="000000"/>
                <w:sz w:val="18"/>
                <w:szCs w:val="18"/>
              </w:rPr>
            </w:pPr>
            <w:r w:rsidRPr="00305654">
              <w:rPr>
                <w:color w:val="000000"/>
                <w:sz w:val="18"/>
                <w:szCs w:val="18"/>
              </w:rPr>
              <w:t>IHSG</w:t>
            </w:r>
          </w:p>
        </w:tc>
        <w:tc>
          <w:tcPr>
            <w:tcW w:w="992" w:type="dxa"/>
            <w:tcBorders>
              <w:top w:val="nil"/>
              <w:left w:val="single" w:sz="16" w:space="0" w:color="000000"/>
              <w:bottom w:val="nil"/>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.000</w:t>
            </w:r>
          </w:p>
        </w:tc>
        <w:tc>
          <w:tcPr>
            <w:tcW w:w="851" w:type="dxa"/>
            <w:tcBorders>
              <w:top w:val="nil"/>
              <w:bottom w:val="nil"/>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.001</w:t>
            </w:r>
          </w:p>
        </w:tc>
        <w:tc>
          <w:tcPr>
            <w:tcW w:w="1417" w:type="dxa"/>
            <w:tcBorders>
              <w:top w:val="nil"/>
              <w:bottom w:val="nil"/>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-.090</w:t>
            </w:r>
          </w:p>
        </w:tc>
        <w:tc>
          <w:tcPr>
            <w:tcW w:w="709" w:type="dxa"/>
            <w:tcBorders>
              <w:top w:val="nil"/>
              <w:bottom w:val="nil"/>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-.769</w:t>
            </w:r>
          </w:p>
        </w:tc>
        <w:tc>
          <w:tcPr>
            <w:tcW w:w="567" w:type="dxa"/>
            <w:tcBorders>
              <w:top w:val="nil"/>
              <w:bottom w:val="nil"/>
              <w:right w:val="single" w:sz="16" w:space="0" w:color="000000"/>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.444</w:t>
            </w:r>
          </w:p>
        </w:tc>
      </w:tr>
      <w:tr w:rsidR="005D77D4" w:rsidRPr="00FE6DFA" w:rsidTr="00ED3FD4">
        <w:trPr>
          <w:cantSplit/>
          <w:trHeight w:val="106"/>
          <w:jc w:val="center"/>
        </w:trPr>
        <w:tc>
          <w:tcPr>
            <w:tcW w:w="715" w:type="dxa"/>
            <w:vMerge/>
            <w:tcBorders>
              <w:top w:val="single" w:sz="16" w:space="0" w:color="000000"/>
              <w:left w:val="single" w:sz="16" w:space="0" w:color="000000"/>
              <w:bottom w:val="single" w:sz="16" w:space="0" w:color="000000"/>
              <w:right w:val="nil"/>
            </w:tcBorders>
            <w:shd w:val="clear" w:color="auto" w:fill="FFFFFF"/>
            <w:vAlign w:val="center"/>
          </w:tcPr>
          <w:p w:rsidR="005D77D4" w:rsidRPr="00305654" w:rsidRDefault="005D77D4" w:rsidP="00FD5EDA">
            <w:pPr>
              <w:autoSpaceDE w:val="0"/>
              <w:autoSpaceDN w:val="0"/>
              <w:adjustRightInd w:val="0"/>
              <w:spacing w:line="480" w:lineRule="auto"/>
              <w:rPr>
                <w:color w:val="000000"/>
                <w:sz w:val="18"/>
                <w:szCs w:val="18"/>
              </w:rPr>
            </w:pPr>
          </w:p>
        </w:tc>
        <w:tc>
          <w:tcPr>
            <w:tcW w:w="1675" w:type="dxa"/>
            <w:tcBorders>
              <w:top w:val="nil"/>
              <w:left w:val="nil"/>
              <w:bottom w:val="nil"/>
              <w:right w:val="single" w:sz="16" w:space="0" w:color="000000"/>
            </w:tcBorders>
            <w:shd w:val="clear" w:color="auto" w:fill="FFFFFF"/>
            <w:vAlign w:val="center"/>
          </w:tcPr>
          <w:p w:rsidR="005D77D4" w:rsidRPr="00305654" w:rsidRDefault="005D77D4" w:rsidP="00FD5EDA">
            <w:pPr>
              <w:autoSpaceDE w:val="0"/>
              <w:autoSpaceDN w:val="0"/>
              <w:adjustRightInd w:val="0"/>
              <w:spacing w:line="360" w:lineRule="auto"/>
              <w:ind w:left="60" w:right="60"/>
              <w:rPr>
                <w:color w:val="000000"/>
                <w:sz w:val="18"/>
                <w:szCs w:val="18"/>
              </w:rPr>
            </w:pPr>
            <w:r w:rsidRPr="00305654">
              <w:rPr>
                <w:color w:val="000000"/>
                <w:sz w:val="18"/>
                <w:szCs w:val="18"/>
              </w:rPr>
              <w:t>OFFER TIIMING</w:t>
            </w:r>
          </w:p>
        </w:tc>
        <w:tc>
          <w:tcPr>
            <w:tcW w:w="992" w:type="dxa"/>
            <w:tcBorders>
              <w:top w:val="nil"/>
              <w:left w:val="single" w:sz="16" w:space="0" w:color="000000"/>
              <w:bottom w:val="nil"/>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.042</w:t>
            </w:r>
          </w:p>
        </w:tc>
        <w:tc>
          <w:tcPr>
            <w:tcW w:w="851" w:type="dxa"/>
            <w:tcBorders>
              <w:top w:val="nil"/>
              <w:bottom w:val="nil"/>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.062</w:t>
            </w:r>
          </w:p>
        </w:tc>
        <w:tc>
          <w:tcPr>
            <w:tcW w:w="1417" w:type="dxa"/>
            <w:tcBorders>
              <w:top w:val="nil"/>
              <w:bottom w:val="nil"/>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.078</w:t>
            </w:r>
          </w:p>
        </w:tc>
        <w:tc>
          <w:tcPr>
            <w:tcW w:w="709" w:type="dxa"/>
            <w:tcBorders>
              <w:top w:val="nil"/>
              <w:bottom w:val="nil"/>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.668</w:t>
            </w:r>
          </w:p>
        </w:tc>
        <w:tc>
          <w:tcPr>
            <w:tcW w:w="567" w:type="dxa"/>
            <w:tcBorders>
              <w:top w:val="nil"/>
              <w:bottom w:val="nil"/>
              <w:right w:val="single" w:sz="16" w:space="0" w:color="000000"/>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.506</w:t>
            </w:r>
          </w:p>
        </w:tc>
      </w:tr>
      <w:tr w:rsidR="005D77D4" w:rsidRPr="00FE6DFA" w:rsidTr="00ED3FD4">
        <w:trPr>
          <w:cantSplit/>
          <w:trHeight w:val="106"/>
          <w:jc w:val="center"/>
        </w:trPr>
        <w:tc>
          <w:tcPr>
            <w:tcW w:w="715" w:type="dxa"/>
            <w:vMerge/>
            <w:tcBorders>
              <w:top w:val="single" w:sz="16" w:space="0" w:color="000000"/>
              <w:left w:val="single" w:sz="16" w:space="0" w:color="000000"/>
              <w:bottom w:val="single" w:sz="16" w:space="0" w:color="000000"/>
              <w:right w:val="nil"/>
            </w:tcBorders>
            <w:shd w:val="clear" w:color="auto" w:fill="FFFFFF"/>
            <w:vAlign w:val="center"/>
          </w:tcPr>
          <w:p w:rsidR="005D77D4" w:rsidRPr="00305654" w:rsidRDefault="005D77D4" w:rsidP="00FD5EDA">
            <w:pPr>
              <w:autoSpaceDE w:val="0"/>
              <w:autoSpaceDN w:val="0"/>
              <w:adjustRightInd w:val="0"/>
              <w:spacing w:line="480" w:lineRule="auto"/>
              <w:rPr>
                <w:color w:val="000000"/>
                <w:sz w:val="18"/>
                <w:szCs w:val="18"/>
              </w:rPr>
            </w:pPr>
          </w:p>
        </w:tc>
        <w:tc>
          <w:tcPr>
            <w:tcW w:w="1675" w:type="dxa"/>
            <w:tcBorders>
              <w:top w:val="nil"/>
              <w:left w:val="nil"/>
              <w:bottom w:val="nil"/>
              <w:right w:val="single" w:sz="16" w:space="0" w:color="000000"/>
            </w:tcBorders>
            <w:shd w:val="clear" w:color="auto" w:fill="FFFFFF"/>
            <w:vAlign w:val="center"/>
          </w:tcPr>
          <w:p w:rsidR="005D77D4" w:rsidRPr="00305654" w:rsidRDefault="005D77D4" w:rsidP="00FD5EDA">
            <w:pPr>
              <w:autoSpaceDE w:val="0"/>
              <w:autoSpaceDN w:val="0"/>
              <w:adjustRightInd w:val="0"/>
              <w:spacing w:line="360" w:lineRule="auto"/>
              <w:ind w:left="60" w:right="60"/>
              <w:rPr>
                <w:color w:val="000000"/>
                <w:sz w:val="18"/>
                <w:szCs w:val="18"/>
              </w:rPr>
            </w:pPr>
            <w:r w:rsidRPr="00305654">
              <w:rPr>
                <w:color w:val="000000"/>
                <w:sz w:val="18"/>
                <w:szCs w:val="18"/>
              </w:rPr>
              <w:t>OFFERING PRICE</w:t>
            </w:r>
          </w:p>
        </w:tc>
        <w:tc>
          <w:tcPr>
            <w:tcW w:w="992" w:type="dxa"/>
            <w:tcBorders>
              <w:top w:val="nil"/>
              <w:left w:val="single" w:sz="16" w:space="0" w:color="000000"/>
              <w:bottom w:val="nil"/>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-4.4645</w:t>
            </w:r>
          </w:p>
        </w:tc>
        <w:tc>
          <w:tcPr>
            <w:tcW w:w="851" w:type="dxa"/>
            <w:tcBorders>
              <w:top w:val="nil"/>
              <w:bottom w:val="nil"/>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.000</w:t>
            </w:r>
          </w:p>
        </w:tc>
        <w:tc>
          <w:tcPr>
            <w:tcW w:w="1417" w:type="dxa"/>
            <w:tcBorders>
              <w:top w:val="nil"/>
              <w:bottom w:val="nil"/>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-.087</w:t>
            </w:r>
          </w:p>
        </w:tc>
        <w:tc>
          <w:tcPr>
            <w:tcW w:w="709" w:type="dxa"/>
            <w:tcBorders>
              <w:top w:val="nil"/>
              <w:bottom w:val="nil"/>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-.755</w:t>
            </w:r>
          </w:p>
        </w:tc>
        <w:tc>
          <w:tcPr>
            <w:tcW w:w="567" w:type="dxa"/>
            <w:tcBorders>
              <w:top w:val="nil"/>
              <w:bottom w:val="nil"/>
              <w:right w:val="single" w:sz="16" w:space="0" w:color="000000"/>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.453</w:t>
            </w:r>
          </w:p>
        </w:tc>
      </w:tr>
      <w:tr w:rsidR="005D77D4" w:rsidRPr="00FE6DFA" w:rsidTr="00ED3FD4">
        <w:trPr>
          <w:cantSplit/>
          <w:trHeight w:val="106"/>
          <w:jc w:val="center"/>
        </w:trPr>
        <w:tc>
          <w:tcPr>
            <w:tcW w:w="715" w:type="dxa"/>
            <w:vMerge/>
            <w:tcBorders>
              <w:top w:val="single" w:sz="16" w:space="0" w:color="000000"/>
              <w:left w:val="single" w:sz="16" w:space="0" w:color="000000"/>
              <w:bottom w:val="single" w:sz="16" w:space="0" w:color="000000"/>
              <w:right w:val="nil"/>
            </w:tcBorders>
            <w:shd w:val="clear" w:color="auto" w:fill="FFFFFF"/>
            <w:vAlign w:val="center"/>
          </w:tcPr>
          <w:p w:rsidR="005D77D4" w:rsidRPr="00305654" w:rsidRDefault="005D77D4" w:rsidP="00FD5EDA">
            <w:pPr>
              <w:autoSpaceDE w:val="0"/>
              <w:autoSpaceDN w:val="0"/>
              <w:adjustRightInd w:val="0"/>
              <w:spacing w:line="480" w:lineRule="auto"/>
              <w:rPr>
                <w:color w:val="000000"/>
                <w:sz w:val="18"/>
                <w:szCs w:val="18"/>
              </w:rPr>
            </w:pPr>
          </w:p>
        </w:tc>
        <w:tc>
          <w:tcPr>
            <w:tcW w:w="1675" w:type="dxa"/>
            <w:tcBorders>
              <w:top w:val="nil"/>
              <w:left w:val="nil"/>
              <w:bottom w:val="single" w:sz="16" w:space="0" w:color="000000"/>
              <w:right w:val="single" w:sz="16" w:space="0" w:color="000000"/>
            </w:tcBorders>
            <w:shd w:val="clear" w:color="auto" w:fill="FFFFFF"/>
            <w:vAlign w:val="center"/>
          </w:tcPr>
          <w:p w:rsidR="005D77D4" w:rsidRPr="00305654" w:rsidRDefault="005D77D4" w:rsidP="00FD5EDA">
            <w:pPr>
              <w:autoSpaceDE w:val="0"/>
              <w:autoSpaceDN w:val="0"/>
              <w:adjustRightInd w:val="0"/>
              <w:spacing w:line="360" w:lineRule="auto"/>
              <w:ind w:left="60" w:right="60"/>
              <w:rPr>
                <w:color w:val="000000"/>
                <w:sz w:val="18"/>
                <w:szCs w:val="18"/>
              </w:rPr>
            </w:pPr>
            <w:r w:rsidRPr="00305654">
              <w:rPr>
                <w:color w:val="000000"/>
                <w:sz w:val="18"/>
                <w:szCs w:val="18"/>
              </w:rPr>
              <w:t>REVENUES GROWTH</w:t>
            </w:r>
          </w:p>
        </w:tc>
        <w:tc>
          <w:tcPr>
            <w:tcW w:w="992" w:type="dxa"/>
            <w:tcBorders>
              <w:top w:val="nil"/>
              <w:left w:val="single" w:sz="16" w:space="0" w:color="000000"/>
              <w:bottom w:val="single" w:sz="16" w:space="0" w:color="000000"/>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3.4315</w:t>
            </w:r>
          </w:p>
        </w:tc>
        <w:tc>
          <w:tcPr>
            <w:tcW w:w="851" w:type="dxa"/>
            <w:tcBorders>
              <w:top w:val="nil"/>
              <w:bottom w:val="single" w:sz="16" w:space="0" w:color="000000"/>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.000</w:t>
            </w:r>
          </w:p>
        </w:tc>
        <w:tc>
          <w:tcPr>
            <w:tcW w:w="1417" w:type="dxa"/>
            <w:tcBorders>
              <w:top w:val="nil"/>
              <w:bottom w:val="single" w:sz="16" w:space="0" w:color="000000"/>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.152</w:t>
            </w:r>
          </w:p>
        </w:tc>
        <w:tc>
          <w:tcPr>
            <w:tcW w:w="709" w:type="dxa"/>
            <w:tcBorders>
              <w:top w:val="nil"/>
              <w:bottom w:val="single" w:sz="16" w:space="0" w:color="000000"/>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1.345</w:t>
            </w:r>
          </w:p>
        </w:tc>
        <w:tc>
          <w:tcPr>
            <w:tcW w:w="567" w:type="dxa"/>
            <w:tcBorders>
              <w:top w:val="nil"/>
              <w:bottom w:val="single" w:sz="16" w:space="0" w:color="000000"/>
              <w:right w:val="single" w:sz="16" w:space="0" w:color="000000"/>
            </w:tcBorders>
            <w:shd w:val="clear" w:color="auto" w:fill="FFFFFF"/>
          </w:tcPr>
          <w:p w:rsidR="005D77D4" w:rsidRPr="00305654" w:rsidRDefault="005D77D4" w:rsidP="00FD5EDA">
            <w:pPr>
              <w:autoSpaceDE w:val="0"/>
              <w:autoSpaceDN w:val="0"/>
              <w:adjustRightInd w:val="0"/>
              <w:spacing w:line="360" w:lineRule="auto"/>
              <w:ind w:left="60" w:right="60"/>
              <w:jc w:val="right"/>
              <w:rPr>
                <w:color w:val="000000"/>
                <w:sz w:val="18"/>
                <w:szCs w:val="18"/>
              </w:rPr>
            </w:pPr>
            <w:r w:rsidRPr="00305654">
              <w:rPr>
                <w:color w:val="000000"/>
                <w:sz w:val="18"/>
                <w:szCs w:val="18"/>
              </w:rPr>
              <w:t>.183</w:t>
            </w:r>
          </w:p>
        </w:tc>
      </w:tr>
    </w:tbl>
    <w:p w:rsidR="00ED3FD4" w:rsidRDefault="00ED3FD4" w:rsidP="005D77D4">
      <w:pPr>
        <w:pStyle w:val="NoSpacing"/>
        <w:jc w:val="both"/>
        <w:rPr>
          <w:b/>
        </w:rPr>
        <w:sectPr w:rsidR="00ED3FD4" w:rsidSect="00ED3FD4">
          <w:type w:val="continuous"/>
          <w:pgSz w:w="11906" w:h="16838"/>
          <w:pgMar w:top="1440" w:right="1440" w:bottom="1440" w:left="1440" w:header="510" w:footer="708" w:gutter="0"/>
          <w:pgNumType w:start="1"/>
          <w:cols w:space="708"/>
          <w:docGrid w:linePitch="360"/>
        </w:sectPr>
      </w:pPr>
    </w:p>
    <w:p w:rsidR="005D77D4" w:rsidRDefault="005D77D4" w:rsidP="005D77D4">
      <w:pPr>
        <w:pStyle w:val="NoSpacing"/>
        <w:jc w:val="both"/>
        <w:rPr>
          <w:b/>
        </w:rPr>
      </w:pPr>
    </w:p>
    <w:p w:rsidR="005D77D4" w:rsidRPr="005D77D4" w:rsidRDefault="005D77D4" w:rsidP="005D77D4">
      <w:pPr>
        <w:pStyle w:val="NoSpacing"/>
        <w:spacing w:line="276" w:lineRule="auto"/>
        <w:jc w:val="both"/>
        <w:rPr>
          <w:rFonts w:ascii="Times New Roman" w:hAnsi="Times New Roman"/>
          <w:sz w:val="24"/>
          <w:szCs w:val="24"/>
        </w:rPr>
      </w:pPr>
      <w:r w:rsidRPr="005D77D4">
        <w:rPr>
          <w:rFonts w:ascii="Times New Roman" w:hAnsi="Times New Roman"/>
          <w:b/>
          <w:sz w:val="24"/>
          <w:szCs w:val="24"/>
        </w:rPr>
        <w:tab/>
      </w:r>
      <w:r w:rsidRPr="005D77D4">
        <w:rPr>
          <w:rFonts w:ascii="Times New Roman" w:hAnsi="Times New Roman"/>
          <w:sz w:val="24"/>
          <w:szCs w:val="24"/>
        </w:rPr>
        <w:t xml:space="preserve">Berdasarkan hasil pengujian diatas menunjukkan bahwa variabel Indeks Harga Saham Gabungan tidak berpengaruh signifikan terhadap </w:t>
      </w:r>
      <w:r w:rsidRPr="005D77D4">
        <w:rPr>
          <w:rFonts w:ascii="Times New Roman" w:hAnsi="Times New Roman"/>
          <w:i/>
          <w:sz w:val="24"/>
          <w:szCs w:val="24"/>
        </w:rPr>
        <w:t>underpricing</w:t>
      </w:r>
      <w:r w:rsidRPr="005D77D4">
        <w:rPr>
          <w:rFonts w:ascii="Times New Roman" w:hAnsi="Times New Roman"/>
          <w:sz w:val="24"/>
          <w:szCs w:val="24"/>
        </w:rPr>
        <w:t>. Hal ini dapat dilihat dari nilai t</w:t>
      </w:r>
      <w:r w:rsidRPr="005D77D4">
        <w:rPr>
          <w:rFonts w:ascii="Times New Roman" w:hAnsi="Times New Roman"/>
          <w:sz w:val="24"/>
          <w:szCs w:val="24"/>
          <w:vertAlign w:val="subscript"/>
        </w:rPr>
        <w:t xml:space="preserve">hitung </w:t>
      </w:r>
      <w:r w:rsidRPr="005D77D4">
        <w:rPr>
          <w:rFonts w:ascii="Times New Roman" w:hAnsi="Times New Roman"/>
          <w:sz w:val="24"/>
          <w:szCs w:val="24"/>
        </w:rPr>
        <w:t>-0,769 &lt; t</w:t>
      </w:r>
      <w:r w:rsidRPr="005D77D4">
        <w:rPr>
          <w:rFonts w:ascii="Times New Roman" w:hAnsi="Times New Roman"/>
          <w:sz w:val="24"/>
          <w:szCs w:val="24"/>
          <w:vertAlign w:val="subscript"/>
        </w:rPr>
        <w:t xml:space="preserve">tabel </w:t>
      </w:r>
      <w:r w:rsidRPr="005D77D4">
        <w:rPr>
          <w:rFonts w:ascii="Times New Roman" w:hAnsi="Times New Roman"/>
          <w:sz w:val="24"/>
          <w:szCs w:val="24"/>
        </w:rPr>
        <w:t xml:space="preserve">1,992 dengan nilai signifikan t sebesar 0,444 &gt; 0,05. Hasil penelitian ini tidak konsisten dengan penelitian yang dilakukan oleh Sukirman (2011) yang menyatakan bahwa kondisi pasar yang diproksikan dengan IHSG (Indeks Harga Saham Gabungan) berpengaruh signifikan negatif terhadap </w:t>
      </w:r>
      <w:r w:rsidRPr="005D77D4">
        <w:rPr>
          <w:rFonts w:ascii="Times New Roman" w:hAnsi="Times New Roman"/>
          <w:i/>
          <w:sz w:val="24"/>
          <w:szCs w:val="24"/>
        </w:rPr>
        <w:t>underpricing</w:t>
      </w:r>
      <w:r w:rsidRPr="005D77D4">
        <w:rPr>
          <w:rFonts w:ascii="Times New Roman" w:hAnsi="Times New Roman"/>
          <w:sz w:val="24"/>
          <w:szCs w:val="24"/>
        </w:rPr>
        <w:t xml:space="preserve">. Namun hasil penelitian ini konsisten dengan penelitian yang dilakukan oleh Rista Maya (2013) yang menyatakan tidak terdapat pengaruh signifikan antara IHSG terhadap </w:t>
      </w:r>
      <w:r w:rsidRPr="005D77D4">
        <w:rPr>
          <w:rFonts w:ascii="Times New Roman" w:hAnsi="Times New Roman"/>
          <w:i/>
          <w:sz w:val="24"/>
          <w:szCs w:val="24"/>
        </w:rPr>
        <w:t>underpricing</w:t>
      </w:r>
      <w:r w:rsidRPr="005D77D4">
        <w:rPr>
          <w:rFonts w:ascii="Times New Roman" w:hAnsi="Times New Roman"/>
          <w:sz w:val="24"/>
          <w:szCs w:val="24"/>
        </w:rPr>
        <w:t>.</w:t>
      </w:r>
    </w:p>
    <w:p w:rsidR="005D77D4" w:rsidRPr="005D77D4" w:rsidRDefault="005D77D4" w:rsidP="005D77D4">
      <w:pPr>
        <w:pStyle w:val="NoSpacing"/>
        <w:spacing w:line="276" w:lineRule="auto"/>
        <w:jc w:val="both"/>
        <w:rPr>
          <w:rFonts w:ascii="Times New Roman" w:hAnsi="Times New Roman"/>
          <w:i/>
          <w:sz w:val="24"/>
          <w:szCs w:val="24"/>
        </w:rPr>
      </w:pPr>
      <w:r w:rsidRPr="005D77D4">
        <w:rPr>
          <w:rFonts w:ascii="Times New Roman" w:hAnsi="Times New Roman"/>
          <w:sz w:val="24"/>
          <w:szCs w:val="24"/>
        </w:rPr>
        <w:t xml:space="preserve">Variabel jangka waktu penawaran tidak berpengaruh signifikan terhadap </w:t>
      </w:r>
      <w:r w:rsidRPr="005D77D4">
        <w:rPr>
          <w:rFonts w:ascii="Times New Roman" w:hAnsi="Times New Roman"/>
          <w:i/>
          <w:sz w:val="24"/>
          <w:szCs w:val="24"/>
        </w:rPr>
        <w:t>underpricing.</w:t>
      </w:r>
      <w:r w:rsidRPr="005D77D4">
        <w:rPr>
          <w:rFonts w:ascii="Times New Roman" w:hAnsi="Times New Roman"/>
          <w:sz w:val="24"/>
          <w:szCs w:val="24"/>
        </w:rPr>
        <w:t xml:space="preserve"> Hal ini dapat dilihat dari nilai t</w:t>
      </w:r>
      <w:r w:rsidRPr="005D77D4">
        <w:rPr>
          <w:rFonts w:ascii="Times New Roman" w:hAnsi="Times New Roman"/>
          <w:sz w:val="24"/>
          <w:szCs w:val="24"/>
          <w:vertAlign w:val="subscript"/>
        </w:rPr>
        <w:t xml:space="preserve">hitung </w:t>
      </w:r>
      <w:r w:rsidRPr="005D77D4">
        <w:rPr>
          <w:rFonts w:ascii="Times New Roman" w:hAnsi="Times New Roman"/>
          <w:sz w:val="24"/>
          <w:szCs w:val="24"/>
        </w:rPr>
        <w:t>0,668 &lt; t</w:t>
      </w:r>
      <w:r w:rsidRPr="005D77D4">
        <w:rPr>
          <w:rFonts w:ascii="Times New Roman" w:hAnsi="Times New Roman"/>
          <w:sz w:val="24"/>
          <w:szCs w:val="24"/>
          <w:vertAlign w:val="subscript"/>
        </w:rPr>
        <w:t xml:space="preserve">tabel </w:t>
      </w:r>
      <w:r w:rsidRPr="005D77D4">
        <w:rPr>
          <w:rFonts w:ascii="Times New Roman" w:hAnsi="Times New Roman"/>
          <w:sz w:val="24"/>
          <w:szCs w:val="24"/>
        </w:rPr>
        <w:t>1,992 dengan nilai signifikan t sebesar 0,506 &gt; 0,05. Hasil penelitian ini tidak konsisten dengan penelitian yang dilakukan oleh Dwi Martani (2013) menunjukan bahwa jangka waktu penawaran (</w:t>
      </w:r>
      <w:r w:rsidRPr="005D77D4">
        <w:rPr>
          <w:rFonts w:ascii="Times New Roman" w:hAnsi="Times New Roman"/>
          <w:i/>
          <w:sz w:val="24"/>
          <w:szCs w:val="24"/>
        </w:rPr>
        <w:t>offer timing</w:t>
      </w:r>
      <w:r w:rsidRPr="005D77D4">
        <w:rPr>
          <w:rFonts w:ascii="Times New Roman" w:hAnsi="Times New Roman"/>
          <w:sz w:val="24"/>
          <w:szCs w:val="24"/>
        </w:rPr>
        <w:t xml:space="preserve">) berpengaruh terhadap </w:t>
      </w:r>
      <w:r w:rsidRPr="005D77D4">
        <w:rPr>
          <w:rFonts w:ascii="Times New Roman" w:hAnsi="Times New Roman"/>
          <w:i/>
          <w:sz w:val="24"/>
          <w:szCs w:val="24"/>
        </w:rPr>
        <w:t>underpricing.</w:t>
      </w:r>
      <w:r w:rsidRPr="005D77D4">
        <w:rPr>
          <w:rFonts w:ascii="Times New Roman" w:hAnsi="Times New Roman"/>
          <w:sz w:val="24"/>
          <w:szCs w:val="24"/>
        </w:rPr>
        <w:t xml:space="preserve"> Namun hasil penelitian ini konsisten dengan penelitian yang dilakukan oleh Akbar Wahyu Bachtiar (2012) yang menyatakan tidak terdapat pengaruh signifikan negatif antara jangka waktu penawaran (</w:t>
      </w:r>
      <w:r w:rsidRPr="005D77D4">
        <w:rPr>
          <w:rFonts w:ascii="Times New Roman" w:hAnsi="Times New Roman"/>
          <w:i/>
          <w:sz w:val="24"/>
          <w:szCs w:val="24"/>
        </w:rPr>
        <w:t>offer timing</w:t>
      </w:r>
      <w:r w:rsidRPr="005D77D4">
        <w:rPr>
          <w:rFonts w:ascii="Times New Roman" w:hAnsi="Times New Roman"/>
          <w:sz w:val="24"/>
          <w:szCs w:val="24"/>
        </w:rPr>
        <w:t xml:space="preserve">) terdahap </w:t>
      </w:r>
      <w:r w:rsidRPr="005D77D4">
        <w:rPr>
          <w:rFonts w:ascii="Times New Roman" w:hAnsi="Times New Roman"/>
          <w:i/>
          <w:sz w:val="24"/>
          <w:szCs w:val="24"/>
        </w:rPr>
        <w:t>underpricing.</w:t>
      </w:r>
    </w:p>
    <w:p w:rsidR="005D77D4" w:rsidRPr="005D77D4" w:rsidRDefault="005D77D4" w:rsidP="005D77D4">
      <w:pPr>
        <w:pStyle w:val="NoSpacing"/>
        <w:spacing w:line="276" w:lineRule="auto"/>
        <w:jc w:val="both"/>
        <w:rPr>
          <w:rFonts w:ascii="Times New Roman" w:hAnsi="Times New Roman"/>
          <w:i/>
          <w:sz w:val="24"/>
          <w:szCs w:val="24"/>
        </w:rPr>
      </w:pPr>
      <w:r w:rsidRPr="005D77D4">
        <w:rPr>
          <w:rFonts w:ascii="Times New Roman" w:hAnsi="Times New Roman"/>
          <w:sz w:val="24"/>
          <w:szCs w:val="24"/>
        </w:rPr>
        <w:lastRenderedPageBreak/>
        <w:t xml:space="preserve">Variabel harga penawaran saham tidak berpengaruh signifikan terhadap </w:t>
      </w:r>
      <w:r w:rsidRPr="005D77D4">
        <w:rPr>
          <w:rFonts w:ascii="Times New Roman" w:hAnsi="Times New Roman"/>
          <w:i/>
          <w:sz w:val="24"/>
          <w:szCs w:val="24"/>
        </w:rPr>
        <w:t xml:space="preserve">underpricing. </w:t>
      </w:r>
      <w:r w:rsidRPr="005D77D4">
        <w:rPr>
          <w:rFonts w:ascii="Times New Roman" w:hAnsi="Times New Roman"/>
          <w:sz w:val="24"/>
          <w:szCs w:val="24"/>
        </w:rPr>
        <w:t>Hal ini dapat dilihat dari nilai  t</w:t>
      </w:r>
      <w:r w:rsidRPr="005D77D4">
        <w:rPr>
          <w:rFonts w:ascii="Times New Roman" w:hAnsi="Times New Roman"/>
          <w:sz w:val="24"/>
          <w:szCs w:val="24"/>
          <w:vertAlign w:val="subscript"/>
        </w:rPr>
        <w:t xml:space="preserve">hitung </w:t>
      </w:r>
      <w:r w:rsidRPr="005D77D4">
        <w:rPr>
          <w:rFonts w:ascii="Times New Roman" w:hAnsi="Times New Roman"/>
          <w:sz w:val="24"/>
          <w:szCs w:val="24"/>
        </w:rPr>
        <w:t>-0,755 &lt; t</w:t>
      </w:r>
      <w:r w:rsidRPr="005D77D4">
        <w:rPr>
          <w:rFonts w:ascii="Times New Roman" w:hAnsi="Times New Roman"/>
          <w:sz w:val="24"/>
          <w:szCs w:val="24"/>
          <w:vertAlign w:val="subscript"/>
        </w:rPr>
        <w:t xml:space="preserve">tabel </w:t>
      </w:r>
      <w:r w:rsidRPr="005D77D4">
        <w:rPr>
          <w:rFonts w:ascii="Times New Roman" w:hAnsi="Times New Roman"/>
          <w:sz w:val="24"/>
          <w:szCs w:val="24"/>
        </w:rPr>
        <w:t xml:space="preserve">1,992 dengan nilai signifikan t sebesar 0,453 &gt; 0,05. Hasil penelitian ini tidak konsisten dengan penelitian yang dilakukan oleh Syarifah Aini (2009) yang menunjukkan hasil bahwa harga saham yang ditawarkan berhubungan negatif dan signifikan terhadap </w:t>
      </w:r>
      <w:r w:rsidRPr="005D77D4">
        <w:rPr>
          <w:rFonts w:ascii="Times New Roman" w:hAnsi="Times New Roman"/>
          <w:i/>
          <w:sz w:val="24"/>
          <w:szCs w:val="24"/>
        </w:rPr>
        <w:t>underpricing.</w:t>
      </w:r>
    </w:p>
    <w:p w:rsidR="005D77D4" w:rsidRPr="005D77D4" w:rsidRDefault="005D77D4" w:rsidP="005D77D4">
      <w:pPr>
        <w:pStyle w:val="NoSpacing"/>
        <w:spacing w:line="276" w:lineRule="auto"/>
        <w:jc w:val="both"/>
        <w:rPr>
          <w:rFonts w:ascii="Times New Roman" w:hAnsi="Times New Roman"/>
          <w:sz w:val="24"/>
          <w:szCs w:val="24"/>
        </w:rPr>
      </w:pPr>
      <w:r w:rsidRPr="005D77D4">
        <w:rPr>
          <w:rFonts w:ascii="Times New Roman" w:hAnsi="Times New Roman"/>
          <w:sz w:val="24"/>
          <w:szCs w:val="24"/>
        </w:rPr>
        <w:t xml:space="preserve">Variabel pertumbuhan pendapatan tidak berpengaruh signifikan terhadap </w:t>
      </w:r>
      <w:r w:rsidRPr="005D77D4">
        <w:rPr>
          <w:rFonts w:ascii="Times New Roman" w:hAnsi="Times New Roman"/>
          <w:i/>
          <w:sz w:val="24"/>
          <w:szCs w:val="24"/>
        </w:rPr>
        <w:t xml:space="preserve">underpricing. </w:t>
      </w:r>
      <w:r w:rsidRPr="005D77D4">
        <w:rPr>
          <w:rFonts w:ascii="Times New Roman" w:hAnsi="Times New Roman"/>
          <w:sz w:val="24"/>
          <w:szCs w:val="24"/>
        </w:rPr>
        <w:t>Hal ini dapat dilihat dari nilai t</w:t>
      </w:r>
      <w:r w:rsidRPr="005D77D4">
        <w:rPr>
          <w:rFonts w:ascii="Times New Roman" w:hAnsi="Times New Roman"/>
          <w:sz w:val="24"/>
          <w:szCs w:val="24"/>
          <w:vertAlign w:val="subscript"/>
        </w:rPr>
        <w:t xml:space="preserve">hitung </w:t>
      </w:r>
      <w:r w:rsidRPr="005D77D4">
        <w:rPr>
          <w:rFonts w:ascii="Times New Roman" w:hAnsi="Times New Roman"/>
          <w:sz w:val="24"/>
          <w:szCs w:val="24"/>
        </w:rPr>
        <w:t>1,345 &lt; t</w:t>
      </w:r>
      <w:r w:rsidRPr="005D77D4">
        <w:rPr>
          <w:rFonts w:ascii="Times New Roman" w:hAnsi="Times New Roman"/>
          <w:sz w:val="24"/>
          <w:szCs w:val="24"/>
          <w:vertAlign w:val="subscript"/>
        </w:rPr>
        <w:t xml:space="preserve">tabel </w:t>
      </w:r>
      <w:r w:rsidRPr="005D77D4">
        <w:rPr>
          <w:rFonts w:ascii="Times New Roman" w:hAnsi="Times New Roman"/>
          <w:sz w:val="24"/>
          <w:szCs w:val="24"/>
        </w:rPr>
        <w:t xml:space="preserve">1,992 dengan nilai signifikan t sebesar 0,183 &gt; 0,05. </w:t>
      </w:r>
    </w:p>
    <w:p w:rsidR="005D77D4" w:rsidRPr="005D77D4" w:rsidRDefault="005D77D4" w:rsidP="005D77D4">
      <w:pPr>
        <w:pStyle w:val="NoSpacing"/>
        <w:spacing w:line="276" w:lineRule="auto"/>
        <w:jc w:val="both"/>
        <w:rPr>
          <w:rFonts w:ascii="Times New Roman" w:hAnsi="Times New Roman"/>
          <w:b/>
          <w:sz w:val="24"/>
          <w:szCs w:val="24"/>
        </w:rPr>
      </w:pPr>
    </w:p>
    <w:p w:rsidR="005D77D4" w:rsidRPr="005D77D4" w:rsidRDefault="005D77D4" w:rsidP="005D77D4">
      <w:pPr>
        <w:pStyle w:val="NoSpacing"/>
        <w:spacing w:line="276" w:lineRule="auto"/>
        <w:jc w:val="both"/>
        <w:rPr>
          <w:rFonts w:ascii="Times New Roman" w:hAnsi="Times New Roman"/>
          <w:b/>
          <w:i/>
          <w:sz w:val="24"/>
          <w:szCs w:val="24"/>
        </w:rPr>
      </w:pPr>
      <w:r w:rsidRPr="005D77D4">
        <w:rPr>
          <w:rFonts w:ascii="Times New Roman" w:hAnsi="Times New Roman"/>
          <w:b/>
          <w:sz w:val="24"/>
          <w:szCs w:val="24"/>
        </w:rPr>
        <w:t>Pengaruh Indeks Harga Saham Gabungan (IHSG), Jangka Waktu Penawaran (</w:t>
      </w:r>
      <w:r w:rsidRPr="005D77D4">
        <w:rPr>
          <w:rFonts w:ascii="Times New Roman" w:hAnsi="Times New Roman"/>
          <w:b/>
          <w:i/>
          <w:sz w:val="24"/>
          <w:szCs w:val="24"/>
        </w:rPr>
        <w:t>Offer Timing),</w:t>
      </w:r>
      <w:r w:rsidRPr="005D77D4">
        <w:rPr>
          <w:rFonts w:ascii="Times New Roman" w:hAnsi="Times New Roman"/>
          <w:b/>
          <w:sz w:val="24"/>
          <w:szCs w:val="24"/>
        </w:rPr>
        <w:t xml:space="preserve"> Harga Penawaran Saham (</w:t>
      </w:r>
      <w:r w:rsidRPr="005D77D4">
        <w:rPr>
          <w:rFonts w:ascii="Times New Roman" w:hAnsi="Times New Roman"/>
          <w:b/>
          <w:i/>
          <w:sz w:val="24"/>
          <w:szCs w:val="24"/>
        </w:rPr>
        <w:t>Offering Price</w:t>
      </w:r>
      <w:r w:rsidRPr="005D77D4">
        <w:rPr>
          <w:rFonts w:ascii="Times New Roman" w:hAnsi="Times New Roman"/>
          <w:b/>
          <w:sz w:val="24"/>
          <w:szCs w:val="24"/>
        </w:rPr>
        <w:t>), Pertumbuhan Pendapatan (</w:t>
      </w:r>
      <w:r w:rsidRPr="005D77D4">
        <w:rPr>
          <w:rFonts w:ascii="Times New Roman" w:hAnsi="Times New Roman"/>
          <w:b/>
          <w:i/>
          <w:sz w:val="24"/>
          <w:szCs w:val="24"/>
        </w:rPr>
        <w:t>Revenues Growth</w:t>
      </w:r>
      <w:r w:rsidRPr="005D77D4">
        <w:rPr>
          <w:rFonts w:ascii="Times New Roman" w:hAnsi="Times New Roman"/>
          <w:b/>
          <w:sz w:val="24"/>
          <w:szCs w:val="24"/>
        </w:rPr>
        <w:t xml:space="preserve">) Secara Simultan terhadap </w:t>
      </w:r>
      <w:r w:rsidRPr="005D77D4">
        <w:rPr>
          <w:rFonts w:ascii="Times New Roman" w:hAnsi="Times New Roman"/>
          <w:b/>
          <w:i/>
          <w:sz w:val="24"/>
          <w:szCs w:val="24"/>
        </w:rPr>
        <w:t>Underpricing.</w:t>
      </w:r>
    </w:p>
    <w:p w:rsidR="005D77D4" w:rsidRPr="005D77D4" w:rsidRDefault="005D77D4" w:rsidP="005D77D4">
      <w:pPr>
        <w:pStyle w:val="NoSpacing"/>
        <w:spacing w:line="276" w:lineRule="auto"/>
        <w:jc w:val="both"/>
        <w:rPr>
          <w:rFonts w:ascii="Times New Roman" w:hAnsi="Times New Roman"/>
          <w:b/>
          <w:sz w:val="24"/>
          <w:szCs w:val="24"/>
        </w:rPr>
      </w:pPr>
    </w:p>
    <w:p w:rsidR="005D77D4" w:rsidRDefault="005D77D4" w:rsidP="005D77D4">
      <w:pPr>
        <w:pStyle w:val="NoSpacing"/>
        <w:spacing w:line="276" w:lineRule="auto"/>
        <w:jc w:val="both"/>
        <w:rPr>
          <w:rFonts w:ascii="Times New Roman" w:hAnsi="Times New Roman"/>
          <w:sz w:val="24"/>
          <w:szCs w:val="24"/>
          <w:lang w:val="en-US"/>
        </w:rPr>
      </w:pPr>
      <w:r w:rsidRPr="005D77D4">
        <w:rPr>
          <w:rFonts w:ascii="Times New Roman" w:hAnsi="Times New Roman"/>
          <w:sz w:val="24"/>
          <w:szCs w:val="24"/>
        </w:rPr>
        <w:t>Pengujian pada variabel lndeks Harga Saham Gabungan (IHSG), jangka waktu penawaran (</w:t>
      </w:r>
      <w:r w:rsidRPr="005D77D4">
        <w:rPr>
          <w:rFonts w:ascii="Times New Roman" w:hAnsi="Times New Roman"/>
          <w:i/>
          <w:sz w:val="24"/>
          <w:szCs w:val="24"/>
        </w:rPr>
        <w:t>Offer Timing),</w:t>
      </w:r>
      <w:r w:rsidRPr="005D77D4">
        <w:rPr>
          <w:rFonts w:ascii="Times New Roman" w:hAnsi="Times New Roman"/>
          <w:sz w:val="24"/>
          <w:szCs w:val="24"/>
        </w:rPr>
        <w:t xml:space="preserve"> harga penawaran saham (</w:t>
      </w:r>
      <w:r w:rsidRPr="005D77D4">
        <w:rPr>
          <w:rFonts w:ascii="Times New Roman" w:hAnsi="Times New Roman"/>
          <w:i/>
          <w:sz w:val="24"/>
          <w:szCs w:val="24"/>
        </w:rPr>
        <w:t>offering price</w:t>
      </w:r>
      <w:r w:rsidRPr="005D77D4">
        <w:rPr>
          <w:rFonts w:ascii="Times New Roman" w:hAnsi="Times New Roman"/>
          <w:sz w:val="24"/>
          <w:szCs w:val="24"/>
        </w:rPr>
        <w:t>), pertumbuhan pendapatan (</w:t>
      </w:r>
      <w:r w:rsidRPr="005D77D4">
        <w:rPr>
          <w:rFonts w:ascii="Times New Roman" w:hAnsi="Times New Roman"/>
          <w:i/>
          <w:sz w:val="24"/>
          <w:szCs w:val="24"/>
        </w:rPr>
        <w:t>revenues growth</w:t>
      </w:r>
      <w:r w:rsidRPr="005D77D4">
        <w:rPr>
          <w:rFonts w:ascii="Times New Roman" w:hAnsi="Times New Roman"/>
          <w:sz w:val="24"/>
          <w:szCs w:val="24"/>
        </w:rPr>
        <w:t xml:space="preserve">) secara simultan terhadap </w:t>
      </w:r>
      <w:r w:rsidRPr="005D77D4">
        <w:rPr>
          <w:rFonts w:ascii="Times New Roman" w:hAnsi="Times New Roman"/>
          <w:i/>
          <w:sz w:val="24"/>
          <w:szCs w:val="24"/>
        </w:rPr>
        <w:t xml:space="preserve">underpricing </w:t>
      </w:r>
      <w:r w:rsidRPr="005D77D4">
        <w:rPr>
          <w:rFonts w:ascii="Times New Roman" w:hAnsi="Times New Roman"/>
          <w:sz w:val="24"/>
          <w:szCs w:val="24"/>
        </w:rPr>
        <w:t>dapat dilihat dengan menggunakan SPSS versi 21 didapat hasil sebagai berikut :</w:t>
      </w:r>
    </w:p>
    <w:p w:rsidR="00ED3FD4" w:rsidRPr="00ED3FD4" w:rsidRDefault="00ED3FD4" w:rsidP="00ED3FD4">
      <w:pPr>
        <w:pStyle w:val="NoSpacing"/>
        <w:jc w:val="both"/>
        <w:rPr>
          <w:rFonts w:ascii="Times New Roman" w:hAnsi="Times New Roman"/>
          <w:sz w:val="24"/>
          <w:szCs w:val="24"/>
          <w:lang w:val="en-US"/>
        </w:rPr>
      </w:pPr>
      <w:proofErr w:type="gramStart"/>
      <w:r>
        <w:rPr>
          <w:rFonts w:ascii="Times New Roman" w:hAnsi="Times New Roman"/>
          <w:sz w:val="24"/>
          <w:szCs w:val="24"/>
          <w:lang w:val="en-US"/>
        </w:rPr>
        <w:t>Tabel 4</w:t>
      </w:r>
      <w:r>
        <w:rPr>
          <w:rFonts w:ascii="Times New Roman" w:hAnsi="Times New Roman"/>
          <w:sz w:val="24"/>
          <w:szCs w:val="24"/>
          <w:lang w:val="en-US"/>
        </w:rPr>
        <w:t>.</w:t>
      </w:r>
      <w:proofErr w:type="gramEnd"/>
      <w:r>
        <w:rPr>
          <w:rFonts w:ascii="Times New Roman" w:hAnsi="Times New Roman"/>
          <w:sz w:val="24"/>
          <w:szCs w:val="24"/>
          <w:lang w:val="en-US"/>
        </w:rPr>
        <w:t xml:space="preserve"> Pengujian hipotesis</w:t>
      </w:r>
      <w:r>
        <w:rPr>
          <w:rFonts w:ascii="Times New Roman" w:hAnsi="Times New Roman"/>
          <w:sz w:val="24"/>
          <w:szCs w:val="24"/>
          <w:lang w:val="en-US"/>
        </w:rPr>
        <w:t xml:space="preserve"> Uji F</w:t>
      </w:r>
    </w:p>
    <w:p w:rsidR="00ED3FD4" w:rsidRPr="00ED3FD4" w:rsidRDefault="00ED3FD4" w:rsidP="005D77D4">
      <w:pPr>
        <w:pStyle w:val="NoSpacing"/>
        <w:spacing w:line="276" w:lineRule="auto"/>
        <w:jc w:val="both"/>
        <w:rPr>
          <w:rFonts w:ascii="Times New Roman" w:hAnsi="Times New Roman"/>
          <w:sz w:val="24"/>
          <w:szCs w:val="24"/>
          <w:lang w:val="en-US"/>
        </w:rPr>
      </w:pPr>
    </w:p>
    <w:p w:rsidR="00ED3FD4" w:rsidRDefault="00ED3FD4" w:rsidP="00FD5EDA">
      <w:pPr>
        <w:autoSpaceDE w:val="0"/>
        <w:autoSpaceDN w:val="0"/>
        <w:adjustRightInd w:val="0"/>
        <w:spacing w:line="320" w:lineRule="atLeast"/>
        <w:ind w:left="60" w:right="60"/>
        <w:rPr>
          <w:b/>
          <w:bCs/>
          <w:color w:val="000000"/>
        </w:rPr>
        <w:sectPr w:rsidR="00ED3FD4" w:rsidSect="00AC7641">
          <w:type w:val="continuous"/>
          <w:pgSz w:w="11906" w:h="16838"/>
          <w:pgMar w:top="1440" w:right="1440" w:bottom="1440" w:left="1440" w:header="510" w:footer="708" w:gutter="0"/>
          <w:pgNumType w:start="1"/>
          <w:cols w:num="2" w:space="708"/>
          <w:docGrid w:linePitch="360"/>
        </w:sectPr>
      </w:pPr>
    </w:p>
    <w:tbl>
      <w:tblPr>
        <w:tblW w:w="58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8"/>
        <w:gridCol w:w="973"/>
        <w:gridCol w:w="1276"/>
        <w:gridCol w:w="567"/>
        <w:gridCol w:w="992"/>
        <w:gridCol w:w="709"/>
        <w:gridCol w:w="567"/>
      </w:tblGrid>
      <w:tr w:rsidR="005D77D4" w:rsidRPr="00FE6DFA" w:rsidTr="00ED3FD4">
        <w:trPr>
          <w:cantSplit/>
          <w:jc w:val="center"/>
        </w:trPr>
        <w:tc>
          <w:tcPr>
            <w:tcW w:w="5812" w:type="dxa"/>
            <w:gridSpan w:val="7"/>
            <w:tcBorders>
              <w:top w:val="nil"/>
              <w:left w:val="nil"/>
              <w:bottom w:val="nil"/>
              <w:right w:val="nil"/>
            </w:tcBorders>
            <w:shd w:val="clear" w:color="auto" w:fill="FFFFFF"/>
          </w:tcPr>
          <w:p w:rsidR="005D77D4" w:rsidRPr="00FE6DFA" w:rsidRDefault="005D77D4" w:rsidP="00FD5EDA">
            <w:pPr>
              <w:autoSpaceDE w:val="0"/>
              <w:autoSpaceDN w:val="0"/>
              <w:adjustRightInd w:val="0"/>
              <w:spacing w:line="320" w:lineRule="atLeast"/>
              <w:ind w:left="60" w:right="60"/>
              <w:rPr>
                <w:color w:val="000000"/>
              </w:rPr>
            </w:pPr>
            <w:r w:rsidRPr="00FE6DFA">
              <w:rPr>
                <w:b/>
                <w:bCs/>
                <w:color w:val="000000"/>
              </w:rPr>
              <w:lastRenderedPageBreak/>
              <w:t>ANOVA</w:t>
            </w:r>
            <w:r w:rsidRPr="00FE6DFA">
              <w:rPr>
                <w:b/>
                <w:bCs/>
                <w:color w:val="000000"/>
                <w:vertAlign w:val="superscript"/>
              </w:rPr>
              <w:t>a</w:t>
            </w:r>
          </w:p>
        </w:tc>
      </w:tr>
      <w:tr w:rsidR="005D77D4" w:rsidRPr="00FE6DFA" w:rsidTr="00ED3FD4">
        <w:trPr>
          <w:cantSplit/>
          <w:jc w:val="center"/>
        </w:trPr>
        <w:tc>
          <w:tcPr>
            <w:tcW w:w="1701" w:type="dxa"/>
            <w:gridSpan w:val="2"/>
            <w:tcBorders>
              <w:top w:val="single" w:sz="16" w:space="0" w:color="000000"/>
              <w:left w:val="single" w:sz="16" w:space="0" w:color="000000"/>
              <w:bottom w:val="single" w:sz="16" w:space="0" w:color="000000"/>
              <w:right w:val="nil"/>
            </w:tcBorders>
            <w:shd w:val="clear" w:color="auto" w:fill="FFFFFF"/>
          </w:tcPr>
          <w:p w:rsidR="005D77D4" w:rsidRPr="00C81384" w:rsidRDefault="005D77D4" w:rsidP="00FD5EDA">
            <w:pPr>
              <w:autoSpaceDE w:val="0"/>
              <w:autoSpaceDN w:val="0"/>
              <w:adjustRightInd w:val="0"/>
              <w:spacing w:line="320" w:lineRule="atLeast"/>
              <w:ind w:left="60" w:right="60"/>
              <w:rPr>
                <w:color w:val="000000"/>
                <w:sz w:val="18"/>
                <w:szCs w:val="18"/>
              </w:rPr>
            </w:pPr>
            <w:r w:rsidRPr="00C81384">
              <w:rPr>
                <w:color w:val="000000"/>
                <w:sz w:val="18"/>
                <w:szCs w:val="18"/>
              </w:rPr>
              <w:t>Model</w:t>
            </w:r>
          </w:p>
        </w:tc>
        <w:tc>
          <w:tcPr>
            <w:tcW w:w="1276" w:type="dxa"/>
            <w:tcBorders>
              <w:top w:val="single" w:sz="16" w:space="0" w:color="000000"/>
              <w:left w:val="single" w:sz="16" w:space="0" w:color="000000"/>
              <w:bottom w:val="single" w:sz="16" w:space="0" w:color="000000"/>
            </w:tcBorders>
            <w:shd w:val="clear" w:color="auto" w:fill="FFFFFF"/>
          </w:tcPr>
          <w:p w:rsidR="005D77D4" w:rsidRPr="00C81384" w:rsidRDefault="005D77D4" w:rsidP="00FD5EDA">
            <w:pPr>
              <w:autoSpaceDE w:val="0"/>
              <w:autoSpaceDN w:val="0"/>
              <w:adjustRightInd w:val="0"/>
              <w:spacing w:line="320" w:lineRule="atLeast"/>
              <w:ind w:left="60" w:right="60"/>
              <w:rPr>
                <w:color w:val="000000"/>
                <w:sz w:val="18"/>
                <w:szCs w:val="18"/>
              </w:rPr>
            </w:pPr>
            <w:r w:rsidRPr="00C81384">
              <w:rPr>
                <w:color w:val="000000"/>
                <w:sz w:val="18"/>
                <w:szCs w:val="18"/>
              </w:rPr>
              <w:t>Sum of Squares</w:t>
            </w:r>
          </w:p>
        </w:tc>
        <w:tc>
          <w:tcPr>
            <w:tcW w:w="567" w:type="dxa"/>
            <w:tcBorders>
              <w:top w:val="single" w:sz="16" w:space="0" w:color="000000"/>
              <w:bottom w:val="single" w:sz="16" w:space="0" w:color="000000"/>
            </w:tcBorders>
            <w:shd w:val="clear" w:color="auto" w:fill="FFFFFF"/>
          </w:tcPr>
          <w:p w:rsidR="005D77D4" w:rsidRPr="00C81384" w:rsidRDefault="005D77D4" w:rsidP="00FD5EDA">
            <w:pPr>
              <w:autoSpaceDE w:val="0"/>
              <w:autoSpaceDN w:val="0"/>
              <w:adjustRightInd w:val="0"/>
              <w:spacing w:line="320" w:lineRule="atLeast"/>
              <w:ind w:left="60" w:right="60"/>
              <w:rPr>
                <w:color w:val="000000"/>
                <w:sz w:val="18"/>
                <w:szCs w:val="18"/>
              </w:rPr>
            </w:pPr>
            <w:r w:rsidRPr="00C81384">
              <w:rPr>
                <w:color w:val="000000"/>
                <w:sz w:val="18"/>
                <w:szCs w:val="18"/>
              </w:rPr>
              <w:t>Df</w:t>
            </w:r>
          </w:p>
        </w:tc>
        <w:tc>
          <w:tcPr>
            <w:tcW w:w="992" w:type="dxa"/>
            <w:tcBorders>
              <w:top w:val="single" w:sz="16" w:space="0" w:color="000000"/>
              <w:bottom w:val="single" w:sz="16" w:space="0" w:color="000000"/>
            </w:tcBorders>
            <w:shd w:val="clear" w:color="auto" w:fill="FFFFFF"/>
          </w:tcPr>
          <w:p w:rsidR="005D77D4" w:rsidRPr="00C81384" w:rsidRDefault="005D77D4" w:rsidP="00FD5EDA">
            <w:pPr>
              <w:autoSpaceDE w:val="0"/>
              <w:autoSpaceDN w:val="0"/>
              <w:adjustRightInd w:val="0"/>
              <w:spacing w:line="320" w:lineRule="atLeast"/>
              <w:ind w:left="60" w:right="60"/>
              <w:rPr>
                <w:color w:val="000000"/>
                <w:sz w:val="18"/>
                <w:szCs w:val="18"/>
              </w:rPr>
            </w:pPr>
            <w:r w:rsidRPr="00C81384">
              <w:rPr>
                <w:color w:val="000000"/>
                <w:sz w:val="18"/>
                <w:szCs w:val="18"/>
              </w:rPr>
              <w:t>Mean Square</w:t>
            </w:r>
          </w:p>
        </w:tc>
        <w:tc>
          <w:tcPr>
            <w:tcW w:w="709" w:type="dxa"/>
            <w:tcBorders>
              <w:top w:val="single" w:sz="16" w:space="0" w:color="000000"/>
              <w:bottom w:val="single" w:sz="16" w:space="0" w:color="000000"/>
            </w:tcBorders>
            <w:shd w:val="clear" w:color="auto" w:fill="FFFFFF"/>
          </w:tcPr>
          <w:p w:rsidR="005D77D4" w:rsidRPr="00C81384" w:rsidRDefault="005D77D4" w:rsidP="00FD5EDA">
            <w:pPr>
              <w:autoSpaceDE w:val="0"/>
              <w:autoSpaceDN w:val="0"/>
              <w:adjustRightInd w:val="0"/>
              <w:spacing w:line="320" w:lineRule="atLeast"/>
              <w:ind w:left="60" w:right="60"/>
              <w:rPr>
                <w:color w:val="000000"/>
                <w:sz w:val="18"/>
                <w:szCs w:val="18"/>
              </w:rPr>
            </w:pPr>
            <w:r w:rsidRPr="00C81384">
              <w:rPr>
                <w:color w:val="000000"/>
                <w:sz w:val="18"/>
                <w:szCs w:val="18"/>
              </w:rPr>
              <w:t>F</w:t>
            </w:r>
          </w:p>
        </w:tc>
        <w:tc>
          <w:tcPr>
            <w:tcW w:w="567" w:type="dxa"/>
            <w:tcBorders>
              <w:top w:val="single" w:sz="16" w:space="0" w:color="000000"/>
              <w:bottom w:val="single" w:sz="16" w:space="0" w:color="000000"/>
              <w:right w:val="single" w:sz="16" w:space="0" w:color="000000"/>
            </w:tcBorders>
            <w:shd w:val="clear" w:color="auto" w:fill="FFFFFF"/>
          </w:tcPr>
          <w:p w:rsidR="005D77D4" w:rsidRPr="00C81384" w:rsidRDefault="005D77D4" w:rsidP="00FD5EDA">
            <w:pPr>
              <w:autoSpaceDE w:val="0"/>
              <w:autoSpaceDN w:val="0"/>
              <w:adjustRightInd w:val="0"/>
              <w:spacing w:line="320" w:lineRule="atLeast"/>
              <w:ind w:left="60" w:right="60"/>
              <w:rPr>
                <w:color w:val="000000"/>
                <w:sz w:val="18"/>
                <w:szCs w:val="18"/>
              </w:rPr>
            </w:pPr>
            <w:r w:rsidRPr="00C81384">
              <w:rPr>
                <w:color w:val="000000"/>
                <w:sz w:val="18"/>
                <w:szCs w:val="18"/>
              </w:rPr>
              <w:t>Sig.</w:t>
            </w:r>
          </w:p>
        </w:tc>
      </w:tr>
      <w:tr w:rsidR="005D77D4" w:rsidRPr="00FE6DFA" w:rsidTr="00ED3FD4">
        <w:trPr>
          <w:cantSplit/>
          <w:jc w:val="center"/>
        </w:trPr>
        <w:tc>
          <w:tcPr>
            <w:tcW w:w="728" w:type="dxa"/>
            <w:vMerge w:val="restart"/>
            <w:tcBorders>
              <w:top w:val="single" w:sz="16" w:space="0" w:color="000000"/>
              <w:left w:val="single" w:sz="16" w:space="0" w:color="000000"/>
              <w:bottom w:val="single" w:sz="16" w:space="0" w:color="000000"/>
              <w:right w:val="nil"/>
            </w:tcBorders>
            <w:shd w:val="clear" w:color="auto" w:fill="FFFFFF"/>
            <w:vAlign w:val="center"/>
          </w:tcPr>
          <w:p w:rsidR="005D77D4" w:rsidRPr="00FE6DFA" w:rsidRDefault="005D77D4" w:rsidP="00FD5EDA">
            <w:pPr>
              <w:autoSpaceDE w:val="0"/>
              <w:autoSpaceDN w:val="0"/>
              <w:adjustRightInd w:val="0"/>
              <w:spacing w:line="320" w:lineRule="atLeast"/>
              <w:ind w:left="60" w:right="60"/>
              <w:rPr>
                <w:color w:val="000000"/>
              </w:rPr>
            </w:pPr>
          </w:p>
        </w:tc>
        <w:tc>
          <w:tcPr>
            <w:tcW w:w="973" w:type="dxa"/>
            <w:tcBorders>
              <w:top w:val="single" w:sz="16" w:space="0" w:color="000000"/>
              <w:left w:val="nil"/>
              <w:bottom w:val="nil"/>
              <w:right w:val="single" w:sz="16" w:space="0" w:color="000000"/>
            </w:tcBorders>
            <w:shd w:val="clear" w:color="auto" w:fill="FFFFFF"/>
            <w:vAlign w:val="center"/>
          </w:tcPr>
          <w:p w:rsidR="005D77D4" w:rsidRPr="00C81384" w:rsidRDefault="005D77D4" w:rsidP="00FD5EDA">
            <w:pPr>
              <w:autoSpaceDE w:val="0"/>
              <w:autoSpaceDN w:val="0"/>
              <w:adjustRightInd w:val="0"/>
              <w:spacing w:line="320" w:lineRule="atLeast"/>
              <w:ind w:left="60" w:right="60"/>
              <w:rPr>
                <w:color w:val="000000"/>
                <w:sz w:val="18"/>
                <w:szCs w:val="18"/>
              </w:rPr>
            </w:pPr>
            <w:r w:rsidRPr="00C81384">
              <w:rPr>
                <w:color w:val="000000"/>
                <w:sz w:val="18"/>
                <w:szCs w:val="18"/>
              </w:rPr>
              <w:t>Regression</w:t>
            </w:r>
          </w:p>
        </w:tc>
        <w:tc>
          <w:tcPr>
            <w:tcW w:w="1276" w:type="dxa"/>
            <w:tcBorders>
              <w:top w:val="single" w:sz="16" w:space="0" w:color="000000"/>
              <w:left w:val="single" w:sz="16" w:space="0" w:color="000000"/>
              <w:bottom w:val="nil"/>
            </w:tcBorders>
            <w:shd w:val="clear" w:color="auto" w:fill="FFFFFF"/>
          </w:tcPr>
          <w:p w:rsidR="005D77D4" w:rsidRPr="00C81384" w:rsidRDefault="005D77D4" w:rsidP="00FD5EDA">
            <w:pPr>
              <w:autoSpaceDE w:val="0"/>
              <w:autoSpaceDN w:val="0"/>
              <w:adjustRightInd w:val="0"/>
              <w:spacing w:line="320" w:lineRule="atLeast"/>
              <w:ind w:left="60" w:right="60"/>
              <w:jc w:val="right"/>
              <w:rPr>
                <w:color w:val="000000"/>
                <w:sz w:val="18"/>
                <w:szCs w:val="18"/>
              </w:rPr>
            </w:pPr>
            <w:r w:rsidRPr="00C81384">
              <w:rPr>
                <w:color w:val="000000"/>
                <w:sz w:val="18"/>
                <w:szCs w:val="18"/>
              </w:rPr>
              <w:t>6.095</w:t>
            </w:r>
          </w:p>
        </w:tc>
        <w:tc>
          <w:tcPr>
            <w:tcW w:w="567" w:type="dxa"/>
            <w:tcBorders>
              <w:top w:val="single" w:sz="16" w:space="0" w:color="000000"/>
              <w:bottom w:val="nil"/>
            </w:tcBorders>
            <w:shd w:val="clear" w:color="auto" w:fill="FFFFFF"/>
          </w:tcPr>
          <w:p w:rsidR="005D77D4" w:rsidRPr="00C81384" w:rsidRDefault="005D77D4" w:rsidP="00FD5EDA">
            <w:pPr>
              <w:autoSpaceDE w:val="0"/>
              <w:autoSpaceDN w:val="0"/>
              <w:adjustRightInd w:val="0"/>
              <w:spacing w:line="320" w:lineRule="atLeast"/>
              <w:ind w:left="60" w:right="60"/>
              <w:jc w:val="right"/>
              <w:rPr>
                <w:color w:val="000000"/>
                <w:sz w:val="18"/>
                <w:szCs w:val="18"/>
              </w:rPr>
            </w:pPr>
            <w:r w:rsidRPr="00C81384">
              <w:rPr>
                <w:color w:val="000000"/>
                <w:sz w:val="18"/>
                <w:szCs w:val="18"/>
              </w:rPr>
              <w:t>4</w:t>
            </w:r>
          </w:p>
        </w:tc>
        <w:tc>
          <w:tcPr>
            <w:tcW w:w="992" w:type="dxa"/>
            <w:tcBorders>
              <w:top w:val="single" w:sz="16" w:space="0" w:color="000000"/>
              <w:bottom w:val="nil"/>
            </w:tcBorders>
            <w:shd w:val="clear" w:color="auto" w:fill="FFFFFF"/>
          </w:tcPr>
          <w:p w:rsidR="005D77D4" w:rsidRPr="00C81384" w:rsidRDefault="005D77D4" w:rsidP="00FD5EDA">
            <w:pPr>
              <w:autoSpaceDE w:val="0"/>
              <w:autoSpaceDN w:val="0"/>
              <w:adjustRightInd w:val="0"/>
              <w:spacing w:line="320" w:lineRule="atLeast"/>
              <w:ind w:left="60" w:right="60"/>
              <w:jc w:val="right"/>
              <w:rPr>
                <w:color w:val="000000"/>
                <w:sz w:val="18"/>
                <w:szCs w:val="18"/>
              </w:rPr>
            </w:pPr>
            <w:r w:rsidRPr="00C81384">
              <w:rPr>
                <w:color w:val="000000"/>
                <w:sz w:val="18"/>
                <w:szCs w:val="18"/>
              </w:rPr>
              <w:t>1.524</w:t>
            </w:r>
          </w:p>
        </w:tc>
        <w:tc>
          <w:tcPr>
            <w:tcW w:w="709" w:type="dxa"/>
            <w:tcBorders>
              <w:top w:val="single" w:sz="16" w:space="0" w:color="000000"/>
              <w:bottom w:val="nil"/>
            </w:tcBorders>
            <w:shd w:val="clear" w:color="auto" w:fill="FFFFFF"/>
          </w:tcPr>
          <w:p w:rsidR="005D77D4" w:rsidRPr="00C81384" w:rsidRDefault="005D77D4" w:rsidP="00FD5EDA">
            <w:pPr>
              <w:autoSpaceDE w:val="0"/>
              <w:autoSpaceDN w:val="0"/>
              <w:adjustRightInd w:val="0"/>
              <w:spacing w:line="320" w:lineRule="atLeast"/>
              <w:ind w:left="60" w:right="60"/>
              <w:jc w:val="right"/>
              <w:rPr>
                <w:color w:val="000000"/>
                <w:sz w:val="18"/>
                <w:szCs w:val="18"/>
              </w:rPr>
            </w:pPr>
            <w:r w:rsidRPr="00C81384">
              <w:rPr>
                <w:color w:val="000000"/>
                <w:sz w:val="18"/>
                <w:szCs w:val="18"/>
              </w:rPr>
              <w:t>1,047</w:t>
            </w:r>
          </w:p>
        </w:tc>
        <w:tc>
          <w:tcPr>
            <w:tcW w:w="567" w:type="dxa"/>
            <w:tcBorders>
              <w:top w:val="single" w:sz="16" w:space="0" w:color="000000"/>
              <w:bottom w:val="nil"/>
              <w:right w:val="single" w:sz="16" w:space="0" w:color="000000"/>
            </w:tcBorders>
            <w:shd w:val="clear" w:color="auto" w:fill="FFFFFF"/>
          </w:tcPr>
          <w:p w:rsidR="005D77D4" w:rsidRPr="00C81384" w:rsidRDefault="005D77D4" w:rsidP="00FD5EDA">
            <w:pPr>
              <w:autoSpaceDE w:val="0"/>
              <w:autoSpaceDN w:val="0"/>
              <w:adjustRightInd w:val="0"/>
              <w:spacing w:line="320" w:lineRule="atLeast"/>
              <w:ind w:left="60" w:right="60"/>
              <w:jc w:val="right"/>
              <w:rPr>
                <w:color w:val="000000"/>
                <w:sz w:val="18"/>
                <w:szCs w:val="18"/>
              </w:rPr>
            </w:pPr>
            <w:r w:rsidRPr="00C81384">
              <w:rPr>
                <w:color w:val="000000"/>
                <w:sz w:val="18"/>
                <w:szCs w:val="18"/>
              </w:rPr>
              <w:t>.389</w:t>
            </w:r>
            <w:r w:rsidRPr="00C81384">
              <w:rPr>
                <w:color w:val="000000"/>
                <w:sz w:val="18"/>
                <w:szCs w:val="18"/>
                <w:vertAlign w:val="superscript"/>
              </w:rPr>
              <w:t>b</w:t>
            </w:r>
          </w:p>
        </w:tc>
      </w:tr>
      <w:tr w:rsidR="005D77D4" w:rsidRPr="00FE6DFA" w:rsidTr="00ED3FD4">
        <w:trPr>
          <w:cantSplit/>
          <w:jc w:val="center"/>
        </w:trPr>
        <w:tc>
          <w:tcPr>
            <w:tcW w:w="728" w:type="dxa"/>
            <w:vMerge/>
            <w:tcBorders>
              <w:top w:val="single" w:sz="16" w:space="0" w:color="000000"/>
              <w:left w:val="single" w:sz="16" w:space="0" w:color="000000"/>
              <w:bottom w:val="single" w:sz="16" w:space="0" w:color="000000"/>
              <w:right w:val="nil"/>
            </w:tcBorders>
            <w:shd w:val="clear" w:color="auto" w:fill="FFFFFF"/>
            <w:vAlign w:val="center"/>
          </w:tcPr>
          <w:p w:rsidR="005D77D4" w:rsidRPr="00FE6DFA" w:rsidRDefault="005D77D4" w:rsidP="00FD5EDA">
            <w:pPr>
              <w:autoSpaceDE w:val="0"/>
              <w:autoSpaceDN w:val="0"/>
              <w:adjustRightInd w:val="0"/>
              <w:rPr>
                <w:color w:val="000000"/>
              </w:rPr>
            </w:pPr>
          </w:p>
        </w:tc>
        <w:tc>
          <w:tcPr>
            <w:tcW w:w="973" w:type="dxa"/>
            <w:tcBorders>
              <w:top w:val="nil"/>
              <w:left w:val="nil"/>
              <w:bottom w:val="nil"/>
              <w:right w:val="single" w:sz="16" w:space="0" w:color="000000"/>
            </w:tcBorders>
            <w:shd w:val="clear" w:color="auto" w:fill="FFFFFF"/>
            <w:vAlign w:val="center"/>
          </w:tcPr>
          <w:p w:rsidR="005D77D4" w:rsidRPr="00C81384" w:rsidRDefault="005D77D4" w:rsidP="00FD5EDA">
            <w:pPr>
              <w:autoSpaceDE w:val="0"/>
              <w:autoSpaceDN w:val="0"/>
              <w:adjustRightInd w:val="0"/>
              <w:spacing w:line="320" w:lineRule="atLeast"/>
              <w:ind w:left="60" w:right="60"/>
              <w:rPr>
                <w:color w:val="000000"/>
                <w:sz w:val="18"/>
                <w:szCs w:val="18"/>
              </w:rPr>
            </w:pPr>
            <w:r w:rsidRPr="00C81384">
              <w:rPr>
                <w:color w:val="000000"/>
                <w:sz w:val="18"/>
                <w:szCs w:val="18"/>
              </w:rPr>
              <w:t>Residual</w:t>
            </w:r>
          </w:p>
        </w:tc>
        <w:tc>
          <w:tcPr>
            <w:tcW w:w="1276" w:type="dxa"/>
            <w:tcBorders>
              <w:top w:val="nil"/>
              <w:left w:val="single" w:sz="16" w:space="0" w:color="000000"/>
              <w:bottom w:val="nil"/>
            </w:tcBorders>
            <w:shd w:val="clear" w:color="auto" w:fill="FFFFFF"/>
          </w:tcPr>
          <w:p w:rsidR="005D77D4" w:rsidRPr="00C81384" w:rsidRDefault="005D77D4" w:rsidP="00FD5EDA">
            <w:pPr>
              <w:autoSpaceDE w:val="0"/>
              <w:autoSpaceDN w:val="0"/>
              <w:adjustRightInd w:val="0"/>
              <w:spacing w:line="320" w:lineRule="atLeast"/>
              <w:ind w:left="60" w:right="60"/>
              <w:jc w:val="right"/>
              <w:rPr>
                <w:color w:val="000000"/>
                <w:sz w:val="18"/>
                <w:szCs w:val="18"/>
              </w:rPr>
            </w:pPr>
            <w:r w:rsidRPr="00C81384">
              <w:rPr>
                <w:color w:val="000000"/>
                <w:sz w:val="18"/>
                <w:szCs w:val="18"/>
              </w:rPr>
              <w:t>107.706</w:t>
            </w:r>
          </w:p>
        </w:tc>
        <w:tc>
          <w:tcPr>
            <w:tcW w:w="567" w:type="dxa"/>
            <w:tcBorders>
              <w:top w:val="nil"/>
              <w:bottom w:val="nil"/>
            </w:tcBorders>
            <w:shd w:val="clear" w:color="auto" w:fill="FFFFFF"/>
          </w:tcPr>
          <w:p w:rsidR="005D77D4" w:rsidRPr="00C81384" w:rsidRDefault="005D77D4" w:rsidP="00FD5EDA">
            <w:pPr>
              <w:autoSpaceDE w:val="0"/>
              <w:autoSpaceDN w:val="0"/>
              <w:adjustRightInd w:val="0"/>
              <w:spacing w:line="320" w:lineRule="atLeast"/>
              <w:ind w:left="60" w:right="60"/>
              <w:jc w:val="right"/>
              <w:rPr>
                <w:color w:val="000000"/>
                <w:sz w:val="18"/>
                <w:szCs w:val="18"/>
              </w:rPr>
            </w:pPr>
            <w:r w:rsidRPr="00C81384">
              <w:rPr>
                <w:color w:val="000000"/>
                <w:sz w:val="18"/>
                <w:szCs w:val="18"/>
              </w:rPr>
              <w:t>74</w:t>
            </w:r>
          </w:p>
        </w:tc>
        <w:tc>
          <w:tcPr>
            <w:tcW w:w="992" w:type="dxa"/>
            <w:tcBorders>
              <w:top w:val="nil"/>
              <w:bottom w:val="nil"/>
            </w:tcBorders>
            <w:shd w:val="clear" w:color="auto" w:fill="FFFFFF"/>
          </w:tcPr>
          <w:p w:rsidR="005D77D4" w:rsidRPr="00C81384" w:rsidRDefault="005D77D4" w:rsidP="00FD5EDA">
            <w:pPr>
              <w:autoSpaceDE w:val="0"/>
              <w:autoSpaceDN w:val="0"/>
              <w:adjustRightInd w:val="0"/>
              <w:spacing w:line="320" w:lineRule="atLeast"/>
              <w:ind w:left="60" w:right="60"/>
              <w:jc w:val="right"/>
              <w:rPr>
                <w:color w:val="000000"/>
                <w:sz w:val="18"/>
                <w:szCs w:val="18"/>
              </w:rPr>
            </w:pPr>
            <w:r w:rsidRPr="00C81384">
              <w:rPr>
                <w:color w:val="000000"/>
                <w:sz w:val="18"/>
                <w:szCs w:val="18"/>
              </w:rPr>
              <w:t>1.455</w:t>
            </w:r>
          </w:p>
        </w:tc>
        <w:tc>
          <w:tcPr>
            <w:tcW w:w="709" w:type="dxa"/>
            <w:tcBorders>
              <w:top w:val="nil"/>
              <w:bottom w:val="nil"/>
            </w:tcBorders>
            <w:shd w:val="clear" w:color="auto" w:fill="FFFFFF"/>
          </w:tcPr>
          <w:p w:rsidR="005D77D4" w:rsidRPr="00C81384" w:rsidRDefault="005D77D4" w:rsidP="00FD5EDA">
            <w:pPr>
              <w:autoSpaceDE w:val="0"/>
              <w:autoSpaceDN w:val="0"/>
              <w:adjustRightInd w:val="0"/>
              <w:rPr>
                <w:sz w:val="18"/>
                <w:szCs w:val="18"/>
              </w:rPr>
            </w:pPr>
          </w:p>
        </w:tc>
        <w:tc>
          <w:tcPr>
            <w:tcW w:w="567" w:type="dxa"/>
            <w:tcBorders>
              <w:top w:val="nil"/>
              <w:bottom w:val="nil"/>
              <w:right w:val="single" w:sz="16" w:space="0" w:color="000000"/>
            </w:tcBorders>
            <w:shd w:val="clear" w:color="auto" w:fill="FFFFFF"/>
          </w:tcPr>
          <w:p w:rsidR="005D77D4" w:rsidRPr="00C81384" w:rsidRDefault="005D77D4" w:rsidP="00FD5EDA">
            <w:pPr>
              <w:autoSpaceDE w:val="0"/>
              <w:autoSpaceDN w:val="0"/>
              <w:adjustRightInd w:val="0"/>
              <w:rPr>
                <w:sz w:val="18"/>
                <w:szCs w:val="18"/>
              </w:rPr>
            </w:pPr>
          </w:p>
        </w:tc>
      </w:tr>
      <w:tr w:rsidR="005D77D4" w:rsidRPr="00FE6DFA" w:rsidTr="00ED3FD4">
        <w:trPr>
          <w:cantSplit/>
          <w:jc w:val="center"/>
        </w:trPr>
        <w:tc>
          <w:tcPr>
            <w:tcW w:w="728" w:type="dxa"/>
            <w:vMerge/>
            <w:tcBorders>
              <w:top w:val="single" w:sz="16" w:space="0" w:color="000000"/>
              <w:left w:val="single" w:sz="16" w:space="0" w:color="000000"/>
              <w:bottom w:val="single" w:sz="16" w:space="0" w:color="000000"/>
              <w:right w:val="nil"/>
            </w:tcBorders>
            <w:shd w:val="clear" w:color="auto" w:fill="FFFFFF"/>
            <w:vAlign w:val="center"/>
          </w:tcPr>
          <w:p w:rsidR="005D77D4" w:rsidRPr="00FE6DFA" w:rsidRDefault="005D77D4" w:rsidP="00FD5EDA">
            <w:pPr>
              <w:autoSpaceDE w:val="0"/>
              <w:autoSpaceDN w:val="0"/>
              <w:adjustRightInd w:val="0"/>
            </w:pPr>
          </w:p>
        </w:tc>
        <w:tc>
          <w:tcPr>
            <w:tcW w:w="973" w:type="dxa"/>
            <w:tcBorders>
              <w:top w:val="nil"/>
              <w:left w:val="nil"/>
              <w:bottom w:val="single" w:sz="16" w:space="0" w:color="000000"/>
              <w:right w:val="single" w:sz="16" w:space="0" w:color="000000"/>
            </w:tcBorders>
            <w:shd w:val="clear" w:color="auto" w:fill="FFFFFF"/>
            <w:vAlign w:val="center"/>
          </w:tcPr>
          <w:p w:rsidR="005D77D4" w:rsidRPr="00C81384" w:rsidRDefault="005D77D4" w:rsidP="00FD5EDA">
            <w:pPr>
              <w:autoSpaceDE w:val="0"/>
              <w:autoSpaceDN w:val="0"/>
              <w:adjustRightInd w:val="0"/>
              <w:spacing w:line="320" w:lineRule="atLeast"/>
              <w:ind w:left="60" w:right="60"/>
              <w:rPr>
                <w:color w:val="000000"/>
                <w:sz w:val="18"/>
                <w:szCs w:val="18"/>
              </w:rPr>
            </w:pPr>
            <w:r w:rsidRPr="00C81384">
              <w:rPr>
                <w:color w:val="000000"/>
                <w:sz w:val="18"/>
                <w:szCs w:val="18"/>
              </w:rPr>
              <w:t>Total</w:t>
            </w:r>
          </w:p>
        </w:tc>
        <w:tc>
          <w:tcPr>
            <w:tcW w:w="1276" w:type="dxa"/>
            <w:tcBorders>
              <w:top w:val="nil"/>
              <w:left w:val="single" w:sz="16" w:space="0" w:color="000000"/>
              <w:bottom w:val="single" w:sz="16" w:space="0" w:color="000000"/>
            </w:tcBorders>
            <w:shd w:val="clear" w:color="auto" w:fill="FFFFFF"/>
          </w:tcPr>
          <w:p w:rsidR="005D77D4" w:rsidRPr="00C81384" w:rsidRDefault="005D77D4" w:rsidP="00FD5EDA">
            <w:pPr>
              <w:autoSpaceDE w:val="0"/>
              <w:autoSpaceDN w:val="0"/>
              <w:adjustRightInd w:val="0"/>
              <w:spacing w:line="320" w:lineRule="atLeast"/>
              <w:ind w:left="60" w:right="60"/>
              <w:jc w:val="right"/>
              <w:rPr>
                <w:color w:val="000000"/>
                <w:sz w:val="18"/>
                <w:szCs w:val="18"/>
              </w:rPr>
            </w:pPr>
            <w:r w:rsidRPr="00C81384">
              <w:rPr>
                <w:color w:val="000000"/>
                <w:sz w:val="18"/>
                <w:szCs w:val="18"/>
              </w:rPr>
              <w:t>113.802</w:t>
            </w:r>
          </w:p>
        </w:tc>
        <w:tc>
          <w:tcPr>
            <w:tcW w:w="567" w:type="dxa"/>
            <w:tcBorders>
              <w:top w:val="nil"/>
              <w:bottom w:val="single" w:sz="16" w:space="0" w:color="000000"/>
            </w:tcBorders>
            <w:shd w:val="clear" w:color="auto" w:fill="FFFFFF"/>
          </w:tcPr>
          <w:p w:rsidR="005D77D4" w:rsidRPr="00C81384" w:rsidRDefault="005D77D4" w:rsidP="00FD5EDA">
            <w:pPr>
              <w:autoSpaceDE w:val="0"/>
              <w:autoSpaceDN w:val="0"/>
              <w:adjustRightInd w:val="0"/>
              <w:spacing w:line="320" w:lineRule="atLeast"/>
              <w:ind w:left="60" w:right="60"/>
              <w:jc w:val="right"/>
              <w:rPr>
                <w:color w:val="000000"/>
                <w:sz w:val="18"/>
                <w:szCs w:val="18"/>
              </w:rPr>
            </w:pPr>
            <w:r w:rsidRPr="00C81384">
              <w:rPr>
                <w:color w:val="000000"/>
                <w:sz w:val="18"/>
                <w:szCs w:val="18"/>
              </w:rPr>
              <w:t>78</w:t>
            </w:r>
          </w:p>
        </w:tc>
        <w:tc>
          <w:tcPr>
            <w:tcW w:w="992" w:type="dxa"/>
            <w:tcBorders>
              <w:top w:val="nil"/>
              <w:bottom w:val="single" w:sz="16" w:space="0" w:color="000000"/>
            </w:tcBorders>
            <w:shd w:val="clear" w:color="auto" w:fill="FFFFFF"/>
          </w:tcPr>
          <w:p w:rsidR="005D77D4" w:rsidRPr="00C81384" w:rsidRDefault="005D77D4" w:rsidP="00FD5EDA">
            <w:pPr>
              <w:autoSpaceDE w:val="0"/>
              <w:autoSpaceDN w:val="0"/>
              <w:adjustRightInd w:val="0"/>
              <w:rPr>
                <w:sz w:val="18"/>
                <w:szCs w:val="18"/>
              </w:rPr>
            </w:pPr>
          </w:p>
        </w:tc>
        <w:tc>
          <w:tcPr>
            <w:tcW w:w="709" w:type="dxa"/>
            <w:tcBorders>
              <w:top w:val="nil"/>
              <w:bottom w:val="single" w:sz="16" w:space="0" w:color="000000"/>
            </w:tcBorders>
            <w:shd w:val="clear" w:color="auto" w:fill="FFFFFF"/>
          </w:tcPr>
          <w:p w:rsidR="005D77D4" w:rsidRPr="00C81384" w:rsidRDefault="005D77D4" w:rsidP="00FD5EDA">
            <w:pPr>
              <w:autoSpaceDE w:val="0"/>
              <w:autoSpaceDN w:val="0"/>
              <w:adjustRightInd w:val="0"/>
              <w:rPr>
                <w:sz w:val="18"/>
                <w:szCs w:val="18"/>
              </w:rPr>
            </w:pPr>
          </w:p>
        </w:tc>
        <w:tc>
          <w:tcPr>
            <w:tcW w:w="567" w:type="dxa"/>
            <w:tcBorders>
              <w:top w:val="nil"/>
              <w:bottom w:val="single" w:sz="16" w:space="0" w:color="000000"/>
              <w:right w:val="single" w:sz="16" w:space="0" w:color="000000"/>
            </w:tcBorders>
            <w:shd w:val="clear" w:color="auto" w:fill="FFFFFF"/>
          </w:tcPr>
          <w:p w:rsidR="005D77D4" w:rsidRPr="00C81384" w:rsidRDefault="005D77D4" w:rsidP="00FD5EDA">
            <w:pPr>
              <w:autoSpaceDE w:val="0"/>
              <w:autoSpaceDN w:val="0"/>
              <w:adjustRightInd w:val="0"/>
              <w:rPr>
                <w:sz w:val="18"/>
                <w:szCs w:val="18"/>
              </w:rPr>
            </w:pPr>
          </w:p>
        </w:tc>
      </w:tr>
    </w:tbl>
    <w:p w:rsidR="00ED3FD4" w:rsidRDefault="00ED3FD4" w:rsidP="005D77D4">
      <w:pPr>
        <w:spacing w:line="480" w:lineRule="auto"/>
        <w:jc w:val="both"/>
        <w:sectPr w:rsidR="00ED3FD4" w:rsidSect="00ED3FD4">
          <w:type w:val="continuous"/>
          <w:pgSz w:w="11906" w:h="16838"/>
          <w:pgMar w:top="1440" w:right="1440" w:bottom="1440" w:left="1440" w:header="510" w:footer="708" w:gutter="0"/>
          <w:pgNumType w:start="1"/>
          <w:cols w:space="708"/>
          <w:docGrid w:linePitch="360"/>
        </w:sectPr>
      </w:pPr>
    </w:p>
    <w:p w:rsidR="005D77D4" w:rsidRPr="00FE6DFA" w:rsidRDefault="005D77D4" w:rsidP="005D77D4">
      <w:pPr>
        <w:spacing w:line="480" w:lineRule="auto"/>
        <w:jc w:val="both"/>
      </w:pPr>
    </w:p>
    <w:p w:rsidR="005D77D4" w:rsidRPr="005D77D4" w:rsidRDefault="005D77D4" w:rsidP="00ED3FD4">
      <w:pPr>
        <w:pStyle w:val="NoSpacing"/>
        <w:spacing w:line="276" w:lineRule="auto"/>
        <w:ind w:firstLine="720"/>
        <w:jc w:val="both"/>
        <w:rPr>
          <w:rFonts w:ascii="Times New Roman" w:hAnsi="Times New Roman"/>
          <w:sz w:val="24"/>
          <w:szCs w:val="24"/>
        </w:rPr>
      </w:pPr>
      <w:r w:rsidRPr="005D77D4">
        <w:rPr>
          <w:rFonts w:ascii="Times New Roman" w:hAnsi="Times New Roman"/>
          <w:sz w:val="24"/>
          <w:szCs w:val="24"/>
        </w:rPr>
        <w:t xml:space="preserve">Berdasarkan tabel </w:t>
      </w:r>
      <w:r w:rsidRPr="005D77D4">
        <w:rPr>
          <w:rFonts w:ascii="Times New Roman" w:hAnsi="Times New Roman"/>
          <w:sz w:val="24"/>
          <w:szCs w:val="24"/>
          <w:lang w:val="en-US"/>
        </w:rPr>
        <w:t>diatas</w:t>
      </w:r>
      <w:r w:rsidRPr="005D77D4">
        <w:rPr>
          <w:rFonts w:ascii="Times New Roman" w:hAnsi="Times New Roman"/>
          <w:sz w:val="24"/>
          <w:szCs w:val="24"/>
        </w:rPr>
        <w:t xml:space="preserve"> hasil uji F pengaruh Indeks Harga Saham Gabungan (IHSG), jangka waktu penawaran (</w:t>
      </w:r>
      <w:r w:rsidRPr="005D77D4">
        <w:rPr>
          <w:rFonts w:ascii="Times New Roman" w:hAnsi="Times New Roman"/>
          <w:i/>
          <w:sz w:val="24"/>
          <w:szCs w:val="24"/>
        </w:rPr>
        <w:t>Offer Timing),</w:t>
      </w:r>
      <w:r w:rsidRPr="005D77D4">
        <w:rPr>
          <w:rFonts w:ascii="Times New Roman" w:hAnsi="Times New Roman"/>
          <w:sz w:val="24"/>
          <w:szCs w:val="24"/>
        </w:rPr>
        <w:t xml:space="preserve"> harga penawaran saham (</w:t>
      </w:r>
      <w:r w:rsidRPr="005D77D4">
        <w:rPr>
          <w:rFonts w:ascii="Times New Roman" w:hAnsi="Times New Roman"/>
          <w:i/>
          <w:sz w:val="24"/>
          <w:szCs w:val="24"/>
        </w:rPr>
        <w:t>offering price</w:t>
      </w:r>
      <w:r w:rsidRPr="005D77D4">
        <w:rPr>
          <w:rFonts w:ascii="Times New Roman" w:hAnsi="Times New Roman"/>
          <w:sz w:val="24"/>
          <w:szCs w:val="24"/>
        </w:rPr>
        <w:t>), pertumbuhan pendapatan (</w:t>
      </w:r>
      <w:r w:rsidRPr="005D77D4">
        <w:rPr>
          <w:rFonts w:ascii="Times New Roman" w:hAnsi="Times New Roman"/>
          <w:i/>
          <w:sz w:val="24"/>
          <w:szCs w:val="24"/>
        </w:rPr>
        <w:t>revenues growth</w:t>
      </w:r>
      <w:r w:rsidRPr="005D77D4">
        <w:rPr>
          <w:rFonts w:ascii="Times New Roman" w:hAnsi="Times New Roman"/>
          <w:sz w:val="24"/>
          <w:szCs w:val="24"/>
        </w:rPr>
        <w:t xml:space="preserve">) secara simultan tidak berpengaruh terhadap </w:t>
      </w:r>
      <w:r w:rsidRPr="005D77D4">
        <w:rPr>
          <w:rFonts w:ascii="Times New Roman" w:hAnsi="Times New Roman"/>
          <w:i/>
          <w:sz w:val="24"/>
          <w:szCs w:val="24"/>
        </w:rPr>
        <w:t>underpricing</w:t>
      </w:r>
      <w:r w:rsidRPr="005D77D4">
        <w:rPr>
          <w:rFonts w:ascii="Times New Roman" w:hAnsi="Times New Roman"/>
          <w:sz w:val="24"/>
          <w:szCs w:val="24"/>
        </w:rPr>
        <w:t>. Hal ini diperoleh dari perbandingan F</w:t>
      </w:r>
      <w:r w:rsidRPr="005D77D4">
        <w:rPr>
          <w:rFonts w:ascii="Times New Roman" w:hAnsi="Times New Roman"/>
          <w:sz w:val="24"/>
          <w:szCs w:val="24"/>
          <w:vertAlign w:val="subscript"/>
        </w:rPr>
        <w:t xml:space="preserve">hitung </w:t>
      </w:r>
      <w:r w:rsidRPr="005D77D4">
        <w:rPr>
          <w:rFonts w:ascii="Times New Roman" w:hAnsi="Times New Roman"/>
          <w:sz w:val="24"/>
          <w:szCs w:val="24"/>
        </w:rPr>
        <w:t>dengan F</w:t>
      </w:r>
      <w:r w:rsidRPr="005D77D4">
        <w:rPr>
          <w:rFonts w:ascii="Times New Roman" w:hAnsi="Times New Roman"/>
          <w:sz w:val="24"/>
          <w:szCs w:val="24"/>
          <w:vertAlign w:val="subscript"/>
        </w:rPr>
        <w:t>tabel</w:t>
      </w:r>
      <w:r w:rsidRPr="005D77D4">
        <w:rPr>
          <w:rFonts w:ascii="Times New Roman" w:hAnsi="Times New Roman"/>
          <w:sz w:val="24"/>
          <w:szCs w:val="24"/>
        </w:rPr>
        <w:t xml:space="preserve"> adalah F</w:t>
      </w:r>
      <w:r w:rsidRPr="005D77D4">
        <w:rPr>
          <w:rFonts w:ascii="Times New Roman" w:hAnsi="Times New Roman"/>
          <w:sz w:val="24"/>
          <w:szCs w:val="24"/>
          <w:vertAlign w:val="subscript"/>
        </w:rPr>
        <w:t xml:space="preserve">hitung </w:t>
      </w:r>
      <w:r w:rsidRPr="005D77D4">
        <w:rPr>
          <w:rFonts w:ascii="Times New Roman" w:hAnsi="Times New Roman"/>
          <w:sz w:val="24"/>
          <w:szCs w:val="24"/>
        </w:rPr>
        <w:t>&gt; F</w:t>
      </w:r>
      <w:r w:rsidRPr="005D77D4">
        <w:rPr>
          <w:rFonts w:ascii="Times New Roman" w:hAnsi="Times New Roman"/>
          <w:sz w:val="24"/>
          <w:szCs w:val="24"/>
          <w:vertAlign w:val="subscript"/>
        </w:rPr>
        <w:t>tabel</w:t>
      </w:r>
      <w:r w:rsidRPr="005D77D4">
        <w:rPr>
          <w:rFonts w:ascii="Times New Roman" w:hAnsi="Times New Roman"/>
          <w:sz w:val="24"/>
          <w:szCs w:val="24"/>
        </w:rPr>
        <w:t xml:space="preserve"> (1,047 &lt; 2,49), maka pada tingkat kekeliruan 5% diputuskan untuk menolak H</w:t>
      </w:r>
      <w:r w:rsidRPr="005D77D4">
        <w:rPr>
          <w:rFonts w:ascii="Times New Roman" w:hAnsi="Times New Roman"/>
          <w:sz w:val="24"/>
          <w:szCs w:val="24"/>
          <w:vertAlign w:val="subscript"/>
        </w:rPr>
        <w:t xml:space="preserve">0 </w:t>
      </w:r>
      <w:r w:rsidRPr="005D77D4">
        <w:rPr>
          <w:rFonts w:ascii="Times New Roman" w:hAnsi="Times New Roman"/>
          <w:sz w:val="24"/>
          <w:szCs w:val="24"/>
        </w:rPr>
        <w:t>dan menerima H</w:t>
      </w:r>
      <w:r w:rsidRPr="005D77D4">
        <w:rPr>
          <w:rFonts w:ascii="Times New Roman" w:hAnsi="Times New Roman"/>
          <w:sz w:val="24"/>
          <w:szCs w:val="24"/>
          <w:vertAlign w:val="subscript"/>
        </w:rPr>
        <w:t>a</w:t>
      </w:r>
      <w:r w:rsidRPr="005D77D4">
        <w:rPr>
          <w:rFonts w:ascii="Times New Roman" w:hAnsi="Times New Roman"/>
          <w:sz w:val="24"/>
          <w:szCs w:val="24"/>
        </w:rPr>
        <w:t>. dan nilai probabilitas signifikan  F = 0,389  &gt; 0,05.</w:t>
      </w:r>
    </w:p>
    <w:p w:rsidR="005D77D4" w:rsidRPr="005D77D4" w:rsidRDefault="005D77D4" w:rsidP="00ED3FD4">
      <w:pPr>
        <w:pStyle w:val="NoSpacing"/>
        <w:spacing w:line="276" w:lineRule="auto"/>
        <w:ind w:firstLine="720"/>
        <w:jc w:val="both"/>
        <w:rPr>
          <w:rFonts w:ascii="Times New Roman" w:hAnsi="Times New Roman"/>
          <w:sz w:val="24"/>
          <w:szCs w:val="24"/>
        </w:rPr>
      </w:pPr>
      <w:r w:rsidRPr="005D77D4">
        <w:rPr>
          <w:rFonts w:ascii="Times New Roman" w:hAnsi="Times New Roman"/>
          <w:sz w:val="24"/>
          <w:szCs w:val="24"/>
        </w:rPr>
        <w:t>Selain itu, dari hasil pengujian koefisien determinasi (</w:t>
      </w:r>
      <w:r w:rsidRPr="005D77D4">
        <w:rPr>
          <w:rFonts w:ascii="Times New Roman" w:hAnsi="Times New Roman"/>
          <w:i/>
          <w:sz w:val="24"/>
          <w:szCs w:val="24"/>
        </w:rPr>
        <w:t>R Square</w:t>
      </w:r>
      <w:r w:rsidRPr="005D77D4">
        <w:rPr>
          <w:rFonts w:ascii="Times New Roman" w:hAnsi="Times New Roman"/>
          <w:sz w:val="24"/>
          <w:szCs w:val="24"/>
        </w:rPr>
        <w:t>) diperoleh bahwa nilai koefisien determinasi dapat dilihat dari nilai tabel R Square yaitu sebesar 0,54 atau 5,4%, artinya pengaruh lndeks Harga Saham Gabungan (IHSG), jangka waktu penawaran (</w:t>
      </w:r>
      <w:r w:rsidRPr="005D77D4">
        <w:rPr>
          <w:rFonts w:ascii="Times New Roman" w:hAnsi="Times New Roman"/>
          <w:i/>
          <w:sz w:val="24"/>
          <w:szCs w:val="24"/>
        </w:rPr>
        <w:t>Offer Timing),</w:t>
      </w:r>
      <w:r w:rsidRPr="005D77D4">
        <w:rPr>
          <w:rFonts w:ascii="Times New Roman" w:hAnsi="Times New Roman"/>
          <w:sz w:val="24"/>
          <w:szCs w:val="24"/>
        </w:rPr>
        <w:t xml:space="preserve"> harga penawaran saham (</w:t>
      </w:r>
      <w:r w:rsidRPr="005D77D4">
        <w:rPr>
          <w:rFonts w:ascii="Times New Roman" w:hAnsi="Times New Roman"/>
          <w:i/>
          <w:sz w:val="24"/>
          <w:szCs w:val="24"/>
        </w:rPr>
        <w:t>offering price</w:t>
      </w:r>
      <w:r w:rsidRPr="005D77D4">
        <w:rPr>
          <w:rFonts w:ascii="Times New Roman" w:hAnsi="Times New Roman"/>
          <w:sz w:val="24"/>
          <w:szCs w:val="24"/>
        </w:rPr>
        <w:t>), pertumbuhan pendapatan (</w:t>
      </w:r>
      <w:r w:rsidRPr="005D77D4">
        <w:rPr>
          <w:rFonts w:ascii="Times New Roman" w:hAnsi="Times New Roman"/>
          <w:i/>
          <w:sz w:val="24"/>
          <w:szCs w:val="24"/>
        </w:rPr>
        <w:t>revenues growth</w:t>
      </w:r>
      <w:r w:rsidRPr="005D77D4">
        <w:rPr>
          <w:rFonts w:ascii="Times New Roman" w:hAnsi="Times New Roman"/>
          <w:sz w:val="24"/>
          <w:szCs w:val="24"/>
        </w:rPr>
        <w:t xml:space="preserve">) secara simultan terhadap </w:t>
      </w:r>
      <w:r w:rsidRPr="005D77D4">
        <w:rPr>
          <w:rFonts w:ascii="Times New Roman" w:hAnsi="Times New Roman"/>
          <w:i/>
          <w:sz w:val="24"/>
          <w:szCs w:val="24"/>
        </w:rPr>
        <w:t>underpricing</w:t>
      </w:r>
      <w:r w:rsidRPr="005D77D4">
        <w:rPr>
          <w:rFonts w:ascii="Times New Roman" w:hAnsi="Times New Roman"/>
          <w:sz w:val="24"/>
          <w:szCs w:val="24"/>
        </w:rPr>
        <w:t xml:space="preserve"> adalah sebesar 5,4%, sedangkan sisanya sebesar 94,6%  dipengaruhi oleh variabel lain diluar variabel dalam penelitian ini.</w:t>
      </w:r>
    </w:p>
    <w:p w:rsidR="005D77D4" w:rsidRPr="005D77D4" w:rsidRDefault="005D77D4" w:rsidP="005D77D4">
      <w:pPr>
        <w:pStyle w:val="NoSpacing"/>
        <w:spacing w:line="276" w:lineRule="auto"/>
        <w:jc w:val="both"/>
        <w:rPr>
          <w:rFonts w:ascii="Times New Roman" w:hAnsi="Times New Roman"/>
          <w:sz w:val="24"/>
          <w:szCs w:val="24"/>
        </w:rPr>
      </w:pPr>
    </w:p>
    <w:p w:rsidR="005D77D4" w:rsidRPr="005D77D4" w:rsidRDefault="005D77D4" w:rsidP="005D77D4">
      <w:pPr>
        <w:pStyle w:val="NoSpacing"/>
        <w:spacing w:line="276" w:lineRule="auto"/>
        <w:jc w:val="both"/>
        <w:rPr>
          <w:rFonts w:ascii="Times New Roman" w:hAnsi="Times New Roman"/>
          <w:b/>
          <w:i/>
          <w:sz w:val="24"/>
          <w:szCs w:val="24"/>
        </w:rPr>
      </w:pPr>
      <w:r w:rsidRPr="005D77D4">
        <w:rPr>
          <w:rFonts w:ascii="Times New Roman" w:hAnsi="Times New Roman"/>
          <w:b/>
          <w:sz w:val="24"/>
          <w:szCs w:val="24"/>
        </w:rPr>
        <w:t xml:space="preserve">Pengaruh IHSG (Indeks Harga Saham Gabungan) terhadap </w:t>
      </w:r>
      <w:r w:rsidRPr="005D77D4">
        <w:rPr>
          <w:rFonts w:ascii="Times New Roman" w:hAnsi="Times New Roman"/>
          <w:b/>
          <w:i/>
          <w:sz w:val="24"/>
          <w:szCs w:val="24"/>
        </w:rPr>
        <w:t>Underpricing</w:t>
      </w:r>
    </w:p>
    <w:p w:rsidR="005D77D4" w:rsidRPr="005D77D4" w:rsidRDefault="005D77D4" w:rsidP="005D77D4">
      <w:pPr>
        <w:pStyle w:val="NoSpacing"/>
        <w:spacing w:line="276" w:lineRule="auto"/>
        <w:jc w:val="both"/>
        <w:rPr>
          <w:rFonts w:ascii="Times New Roman" w:hAnsi="Times New Roman"/>
          <w:sz w:val="24"/>
          <w:szCs w:val="24"/>
        </w:rPr>
      </w:pPr>
      <w:r w:rsidRPr="005D77D4">
        <w:rPr>
          <w:rFonts w:ascii="Times New Roman" w:hAnsi="Times New Roman"/>
          <w:b/>
          <w:sz w:val="24"/>
          <w:szCs w:val="24"/>
        </w:rPr>
        <w:tab/>
      </w:r>
      <w:r w:rsidRPr="005D77D4">
        <w:rPr>
          <w:rFonts w:ascii="Times New Roman" w:hAnsi="Times New Roman"/>
          <w:sz w:val="24"/>
          <w:szCs w:val="24"/>
        </w:rPr>
        <w:t xml:space="preserve">Berdasarkan hasil uji hipotesis yang telah dilakukan sebelumnya pada tabel , di dapat bahwa hasil IHSG berpengaruh negatif tetapi tidak signifikan terhadap </w:t>
      </w:r>
      <w:r w:rsidRPr="005D77D4">
        <w:rPr>
          <w:rFonts w:ascii="Times New Roman" w:hAnsi="Times New Roman"/>
          <w:i/>
          <w:sz w:val="24"/>
          <w:szCs w:val="24"/>
        </w:rPr>
        <w:t>underpricing</w:t>
      </w:r>
      <w:r w:rsidRPr="005D77D4">
        <w:rPr>
          <w:rFonts w:ascii="Times New Roman" w:hAnsi="Times New Roman"/>
          <w:sz w:val="24"/>
          <w:szCs w:val="24"/>
        </w:rPr>
        <w:t xml:space="preserve">. Variabel IHSG </w:t>
      </w:r>
      <w:r w:rsidRPr="005D77D4">
        <w:rPr>
          <w:rFonts w:ascii="Times New Roman" w:hAnsi="Times New Roman"/>
          <w:sz w:val="24"/>
          <w:szCs w:val="24"/>
        </w:rPr>
        <w:lastRenderedPageBreak/>
        <w:t xml:space="preserve">memiliki koefisien sebesar -0,027 dengan nilai signifikasi sebesar 0.444 yang lebih besar dari 0,05. Hasil ini menunjukkan bahwa IHSG berpengaruh negatif secara signifikan terhadap </w:t>
      </w:r>
      <w:r w:rsidRPr="005D77D4">
        <w:rPr>
          <w:rFonts w:ascii="Times New Roman" w:hAnsi="Times New Roman"/>
          <w:i/>
          <w:sz w:val="24"/>
          <w:szCs w:val="24"/>
        </w:rPr>
        <w:t>underpricing</w:t>
      </w:r>
      <w:r w:rsidRPr="005D77D4">
        <w:rPr>
          <w:rFonts w:ascii="Times New Roman" w:hAnsi="Times New Roman"/>
          <w:sz w:val="24"/>
          <w:szCs w:val="24"/>
        </w:rPr>
        <w:t>.</w:t>
      </w:r>
    </w:p>
    <w:p w:rsidR="005D77D4" w:rsidRPr="005D77D4" w:rsidRDefault="005D77D4" w:rsidP="005D77D4">
      <w:pPr>
        <w:pStyle w:val="NoSpacing"/>
        <w:spacing w:line="276" w:lineRule="auto"/>
        <w:jc w:val="both"/>
        <w:rPr>
          <w:rFonts w:ascii="Times New Roman" w:hAnsi="Times New Roman"/>
          <w:i/>
          <w:sz w:val="24"/>
          <w:szCs w:val="24"/>
        </w:rPr>
      </w:pPr>
      <w:r w:rsidRPr="005D77D4">
        <w:rPr>
          <w:rFonts w:ascii="Times New Roman" w:hAnsi="Times New Roman"/>
          <w:sz w:val="24"/>
          <w:szCs w:val="24"/>
        </w:rPr>
        <w:tab/>
        <w:t xml:space="preserve">Hasil penelitian ini tidak konsisten dengan penelitian yang dilakukan oleh Sukirman (2011) yang menyatakan bahwa kondisi IHSG berpengaruh signifikan negatif terhadap </w:t>
      </w:r>
      <w:r w:rsidRPr="005D77D4">
        <w:rPr>
          <w:rFonts w:ascii="Times New Roman" w:hAnsi="Times New Roman"/>
          <w:i/>
          <w:sz w:val="24"/>
          <w:szCs w:val="24"/>
        </w:rPr>
        <w:t>underpricing.</w:t>
      </w:r>
      <w:r w:rsidRPr="005D77D4">
        <w:rPr>
          <w:rFonts w:ascii="Times New Roman" w:hAnsi="Times New Roman"/>
          <w:sz w:val="24"/>
          <w:szCs w:val="24"/>
        </w:rPr>
        <w:t xml:space="preserve"> Namun hasil penelitian ini sejalan dengan penelitian yang dilakukan oleh Rista Maya (2013) yang menyatakan tidak terdapat pengaruh signifikan antara kondisi IHSG dengan </w:t>
      </w:r>
      <w:r w:rsidRPr="005D77D4">
        <w:rPr>
          <w:rFonts w:ascii="Times New Roman" w:hAnsi="Times New Roman"/>
          <w:i/>
          <w:sz w:val="24"/>
          <w:szCs w:val="24"/>
        </w:rPr>
        <w:t>underpricing.</w:t>
      </w:r>
    </w:p>
    <w:p w:rsidR="005D77D4" w:rsidRPr="005D77D4" w:rsidRDefault="005D77D4" w:rsidP="005D77D4">
      <w:pPr>
        <w:pStyle w:val="NoSpacing"/>
        <w:spacing w:line="276" w:lineRule="auto"/>
        <w:jc w:val="both"/>
        <w:rPr>
          <w:rFonts w:ascii="Times New Roman" w:hAnsi="Times New Roman"/>
          <w:i/>
          <w:sz w:val="24"/>
          <w:szCs w:val="24"/>
        </w:rPr>
      </w:pPr>
    </w:p>
    <w:p w:rsidR="005D77D4" w:rsidRPr="005D77D4" w:rsidRDefault="005D77D4" w:rsidP="005D77D4">
      <w:pPr>
        <w:pStyle w:val="NoSpacing"/>
        <w:spacing w:line="276" w:lineRule="auto"/>
        <w:jc w:val="both"/>
        <w:rPr>
          <w:rFonts w:ascii="Times New Roman" w:hAnsi="Times New Roman"/>
          <w:b/>
          <w:sz w:val="24"/>
          <w:szCs w:val="24"/>
        </w:rPr>
      </w:pPr>
      <w:r w:rsidRPr="005D77D4">
        <w:rPr>
          <w:rFonts w:ascii="Times New Roman" w:hAnsi="Times New Roman"/>
          <w:b/>
          <w:sz w:val="24"/>
          <w:szCs w:val="24"/>
        </w:rPr>
        <w:t xml:space="preserve">Pengaruh Jangka Waktu Penawaran Terhadap </w:t>
      </w:r>
      <w:r w:rsidRPr="005D77D4">
        <w:rPr>
          <w:rFonts w:ascii="Times New Roman" w:hAnsi="Times New Roman"/>
          <w:b/>
          <w:i/>
          <w:sz w:val="24"/>
          <w:szCs w:val="24"/>
        </w:rPr>
        <w:t>Underpricing.</w:t>
      </w:r>
    </w:p>
    <w:p w:rsidR="005D77D4" w:rsidRPr="005D77D4" w:rsidRDefault="005D77D4" w:rsidP="005D77D4">
      <w:pPr>
        <w:pStyle w:val="NoSpacing"/>
        <w:spacing w:line="276" w:lineRule="auto"/>
        <w:jc w:val="both"/>
        <w:rPr>
          <w:rFonts w:ascii="Times New Roman" w:hAnsi="Times New Roman"/>
          <w:i/>
          <w:sz w:val="24"/>
          <w:szCs w:val="24"/>
        </w:rPr>
      </w:pPr>
      <w:r w:rsidRPr="005D77D4">
        <w:rPr>
          <w:rFonts w:ascii="Times New Roman" w:hAnsi="Times New Roman"/>
          <w:sz w:val="24"/>
          <w:szCs w:val="24"/>
        </w:rPr>
        <w:t xml:space="preserve">Berdasarkan hasil uji hipotesis yang telah dilakukan sebelumnya pada tabel , di dapat bahwa hasil jangka waktu penawaran berpengaruh negatif tetapi tidak signifikan terhadap </w:t>
      </w:r>
      <w:r w:rsidRPr="005D77D4">
        <w:rPr>
          <w:rFonts w:ascii="Times New Roman" w:hAnsi="Times New Roman"/>
          <w:i/>
          <w:sz w:val="24"/>
          <w:szCs w:val="24"/>
        </w:rPr>
        <w:t>underpricing</w:t>
      </w:r>
      <w:r w:rsidRPr="005D77D4">
        <w:rPr>
          <w:rFonts w:ascii="Times New Roman" w:hAnsi="Times New Roman"/>
          <w:sz w:val="24"/>
          <w:szCs w:val="24"/>
        </w:rPr>
        <w:t xml:space="preserve">. Variabel Jangka Waktu Penawaran memiliki koefisien sebesar 0,042 dengan nilai signifikasi sebesar 0.506 yang lebih besar dari 0,05. Hasil ini menunjukkan bahwa Jangka Waktu Penawaram berpengaruh negatif secara signifikan terhadap </w:t>
      </w:r>
      <w:r w:rsidRPr="005D77D4">
        <w:rPr>
          <w:rFonts w:ascii="Times New Roman" w:hAnsi="Times New Roman"/>
          <w:i/>
          <w:sz w:val="24"/>
          <w:szCs w:val="24"/>
        </w:rPr>
        <w:t>underpricing.</w:t>
      </w:r>
    </w:p>
    <w:p w:rsidR="005D77D4" w:rsidRPr="005D77D4" w:rsidRDefault="005D77D4" w:rsidP="005D77D4">
      <w:pPr>
        <w:pStyle w:val="NoSpacing"/>
        <w:spacing w:line="276" w:lineRule="auto"/>
        <w:jc w:val="both"/>
        <w:rPr>
          <w:rFonts w:ascii="Times New Roman" w:hAnsi="Times New Roman"/>
          <w:sz w:val="24"/>
          <w:szCs w:val="24"/>
        </w:rPr>
      </w:pPr>
      <w:r w:rsidRPr="005D77D4">
        <w:rPr>
          <w:rFonts w:ascii="Times New Roman" w:hAnsi="Times New Roman"/>
          <w:sz w:val="24"/>
          <w:szCs w:val="24"/>
        </w:rPr>
        <w:t xml:space="preserve">Hasil penelitian ini tidak konsisten dengan penelitian yang dilakukan oleh Dwi Martani (2013) yang menyatakan bahwa jangka waktu penawaram berpengaruh signifikan negatif terhadap </w:t>
      </w:r>
      <w:r w:rsidRPr="005D77D4">
        <w:rPr>
          <w:rFonts w:ascii="Times New Roman" w:hAnsi="Times New Roman"/>
          <w:i/>
          <w:sz w:val="24"/>
          <w:szCs w:val="24"/>
        </w:rPr>
        <w:t>underpricing.</w:t>
      </w:r>
      <w:r w:rsidRPr="005D77D4">
        <w:rPr>
          <w:rFonts w:ascii="Times New Roman" w:hAnsi="Times New Roman"/>
          <w:sz w:val="24"/>
          <w:szCs w:val="24"/>
        </w:rPr>
        <w:t xml:space="preserve"> </w:t>
      </w:r>
    </w:p>
    <w:p w:rsidR="005D77D4" w:rsidRPr="005D77D4" w:rsidRDefault="005D77D4" w:rsidP="005D77D4">
      <w:pPr>
        <w:pStyle w:val="NoSpacing"/>
        <w:spacing w:line="276" w:lineRule="auto"/>
        <w:jc w:val="both"/>
        <w:rPr>
          <w:rFonts w:ascii="Times New Roman" w:hAnsi="Times New Roman"/>
          <w:b/>
          <w:sz w:val="24"/>
          <w:szCs w:val="24"/>
        </w:rPr>
      </w:pPr>
    </w:p>
    <w:p w:rsidR="005D77D4" w:rsidRPr="005D77D4" w:rsidRDefault="005D77D4" w:rsidP="005D77D4">
      <w:pPr>
        <w:pStyle w:val="NoSpacing"/>
        <w:spacing w:line="276" w:lineRule="auto"/>
        <w:jc w:val="both"/>
        <w:rPr>
          <w:rFonts w:ascii="Times New Roman" w:hAnsi="Times New Roman"/>
          <w:b/>
          <w:sz w:val="24"/>
          <w:szCs w:val="24"/>
        </w:rPr>
      </w:pPr>
      <w:r w:rsidRPr="005D77D4">
        <w:rPr>
          <w:rFonts w:ascii="Times New Roman" w:hAnsi="Times New Roman"/>
          <w:b/>
          <w:sz w:val="24"/>
          <w:szCs w:val="24"/>
        </w:rPr>
        <w:t xml:space="preserve">Pengaruh Harga Penawaran Saham Terhadap </w:t>
      </w:r>
      <w:r w:rsidRPr="005D77D4">
        <w:rPr>
          <w:rFonts w:ascii="Times New Roman" w:hAnsi="Times New Roman"/>
          <w:b/>
          <w:i/>
          <w:sz w:val="24"/>
          <w:szCs w:val="24"/>
        </w:rPr>
        <w:t>Underpricing</w:t>
      </w:r>
    </w:p>
    <w:p w:rsidR="005D77D4" w:rsidRPr="005D77D4" w:rsidRDefault="005D77D4" w:rsidP="005D77D4">
      <w:pPr>
        <w:pStyle w:val="NoSpacing"/>
        <w:spacing w:line="276" w:lineRule="auto"/>
        <w:jc w:val="both"/>
        <w:rPr>
          <w:rFonts w:ascii="Times New Roman" w:hAnsi="Times New Roman"/>
          <w:i/>
          <w:sz w:val="24"/>
          <w:szCs w:val="24"/>
        </w:rPr>
      </w:pPr>
      <w:r w:rsidRPr="005D77D4">
        <w:rPr>
          <w:rFonts w:ascii="Times New Roman" w:hAnsi="Times New Roman"/>
          <w:sz w:val="24"/>
          <w:szCs w:val="24"/>
        </w:rPr>
        <w:lastRenderedPageBreak/>
        <w:t xml:space="preserve">Berdasarkan hasil uji hipotesis yang telah dilakukan sebelumnya pada tabel , di dapat bahwa hasil Harga Penawaran Saham berpengaruh negatif tetapi tidak signifikan terhadap </w:t>
      </w:r>
      <w:r w:rsidRPr="005D77D4">
        <w:rPr>
          <w:rFonts w:ascii="Times New Roman" w:hAnsi="Times New Roman"/>
          <w:i/>
          <w:sz w:val="24"/>
          <w:szCs w:val="24"/>
        </w:rPr>
        <w:t>underpricing</w:t>
      </w:r>
      <w:r w:rsidRPr="005D77D4">
        <w:rPr>
          <w:rFonts w:ascii="Times New Roman" w:hAnsi="Times New Roman"/>
          <w:sz w:val="24"/>
          <w:szCs w:val="24"/>
        </w:rPr>
        <w:t xml:space="preserve">. Variabel Harga Penawaran Saham memiliki koefisien sebesar -4.4645 dengan nilai signifikasi sebesar 0.453 yang lebih besar dari 0,05. Hasil ini menunjukkan bahwa Harga Penawaran Saham berpengaruh negatif secara signifikan terhadap </w:t>
      </w:r>
      <w:r w:rsidRPr="005D77D4">
        <w:rPr>
          <w:rFonts w:ascii="Times New Roman" w:hAnsi="Times New Roman"/>
          <w:i/>
          <w:sz w:val="24"/>
          <w:szCs w:val="24"/>
        </w:rPr>
        <w:t>underpricing.</w:t>
      </w:r>
    </w:p>
    <w:p w:rsidR="005D77D4" w:rsidRPr="005D77D4" w:rsidRDefault="005D77D4" w:rsidP="005D77D4">
      <w:pPr>
        <w:pStyle w:val="NoSpacing"/>
        <w:spacing w:line="276" w:lineRule="auto"/>
        <w:jc w:val="both"/>
        <w:rPr>
          <w:rFonts w:ascii="Times New Roman" w:hAnsi="Times New Roman"/>
          <w:i/>
          <w:sz w:val="24"/>
          <w:szCs w:val="24"/>
        </w:rPr>
      </w:pPr>
      <w:r w:rsidRPr="005D77D4">
        <w:rPr>
          <w:rFonts w:ascii="Times New Roman" w:hAnsi="Times New Roman"/>
          <w:sz w:val="24"/>
          <w:szCs w:val="24"/>
        </w:rPr>
        <w:tab/>
        <w:t xml:space="preserve">Hasil penelitian ini tidak konsisten dengan penelitian yang dilakukan oleh Syarifah Aini (2009) yang menunjukkan bahwa harga saham yang ditawarkan berhubungan negatif dan signifikan dengan tingkat </w:t>
      </w:r>
      <w:r w:rsidRPr="005D77D4">
        <w:rPr>
          <w:rFonts w:ascii="Times New Roman" w:hAnsi="Times New Roman"/>
          <w:i/>
          <w:sz w:val="24"/>
          <w:szCs w:val="24"/>
        </w:rPr>
        <w:t>underpricing.</w:t>
      </w:r>
    </w:p>
    <w:p w:rsidR="005D77D4" w:rsidRPr="005D77D4" w:rsidRDefault="005D77D4" w:rsidP="005D77D4">
      <w:pPr>
        <w:pStyle w:val="NoSpacing"/>
        <w:spacing w:line="276" w:lineRule="auto"/>
        <w:jc w:val="both"/>
        <w:rPr>
          <w:rFonts w:ascii="Times New Roman" w:hAnsi="Times New Roman"/>
          <w:i/>
          <w:sz w:val="24"/>
          <w:szCs w:val="24"/>
        </w:rPr>
      </w:pPr>
    </w:p>
    <w:p w:rsidR="005D77D4" w:rsidRPr="005D77D4" w:rsidRDefault="005D77D4" w:rsidP="005D77D4">
      <w:pPr>
        <w:pStyle w:val="NoSpacing"/>
        <w:spacing w:line="276" w:lineRule="auto"/>
        <w:jc w:val="both"/>
        <w:rPr>
          <w:rFonts w:ascii="Times New Roman" w:hAnsi="Times New Roman"/>
          <w:b/>
          <w:sz w:val="24"/>
          <w:szCs w:val="24"/>
        </w:rPr>
      </w:pPr>
      <w:r w:rsidRPr="005D77D4">
        <w:rPr>
          <w:rFonts w:ascii="Times New Roman" w:hAnsi="Times New Roman"/>
          <w:b/>
          <w:sz w:val="24"/>
          <w:szCs w:val="24"/>
        </w:rPr>
        <w:t xml:space="preserve">Pengaruh Pertumbuhan Pendapatan  Terhadap </w:t>
      </w:r>
      <w:r w:rsidRPr="005D77D4">
        <w:rPr>
          <w:rFonts w:ascii="Times New Roman" w:hAnsi="Times New Roman"/>
          <w:b/>
          <w:i/>
          <w:sz w:val="24"/>
          <w:szCs w:val="24"/>
        </w:rPr>
        <w:t>Underpricing</w:t>
      </w:r>
    </w:p>
    <w:p w:rsidR="002279CD" w:rsidRPr="005D77D4" w:rsidRDefault="005D77D4" w:rsidP="00ED3FD4">
      <w:pPr>
        <w:spacing w:line="276" w:lineRule="auto"/>
        <w:ind w:firstLine="720"/>
        <w:jc w:val="both"/>
        <w:rPr>
          <w:i/>
        </w:rPr>
      </w:pPr>
      <w:r w:rsidRPr="005D77D4">
        <w:t xml:space="preserve">Berdasarkan hasil uji hipotesis yang telah dilakukan sebelumnya pada </w:t>
      </w:r>
      <w:proofErr w:type="gramStart"/>
      <w:r w:rsidRPr="005D77D4">
        <w:t>tabel ,</w:t>
      </w:r>
      <w:proofErr w:type="gramEnd"/>
      <w:r w:rsidRPr="005D77D4">
        <w:t xml:space="preserve"> di dapat bahwa hasil Pertumbuhan Pendapatan berpengaruh positif tetapi tidak signifikan terhadap </w:t>
      </w:r>
      <w:r w:rsidRPr="005D77D4">
        <w:rPr>
          <w:i/>
        </w:rPr>
        <w:t>underpricing</w:t>
      </w:r>
      <w:r w:rsidRPr="005D77D4">
        <w:t>. Variabel Pertumbuhan Pendapatan memiliki koefisien sebesar 3.4315 dengan nilai signifikasi sebesar 0.183 yang lebih besar dari 0</w:t>
      </w:r>
      <w:proofErr w:type="gramStart"/>
      <w:r w:rsidRPr="005D77D4">
        <w:t>,05</w:t>
      </w:r>
      <w:proofErr w:type="gramEnd"/>
      <w:r w:rsidRPr="005D77D4">
        <w:t xml:space="preserve">. </w:t>
      </w:r>
      <w:proofErr w:type="gramStart"/>
      <w:r w:rsidRPr="005D77D4">
        <w:t xml:space="preserve">Hasil ini menunjukkan bahwa Pertumbuhan Pendapatan berpengaruh positif secara signifikan terhadap </w:t>
      </w:r>
      <w:r w:rsidRPr="005D77D4">
        <w:rPr>
          <w:i/>
        </w:rPr>
        <w:t>underpricing.</w:t>
      </w:r>
      <w:proofErr w:type="gramEnd"/>
    </w:p>
    <w:p w:rsidR="00ED3FD4" w:rsidRDefault="00ED3FD4" w:rsidP="002279CD">
      <w:pPr>
        <w:spacing w:line="276" w:lineRule="auto"/>
        <w:jc w:val="both"/>
        <w:rPr>
          <w:b/>
          <w:color w:val="FF0000"/>
        </w:rPr>
      </w:pPr>
    </w:p>
    <w:p w:rsidR="003958BE" w:rsidRPr="00B67DBE" w:rsidRDefault="00ED3FD4" w:rsidP="00ED3FD4">
      <w:pPr>
        <w:spacing w:line="276" w:lineRule="auto"/>
        <w:jc w:val="both"/>
        <w:rPr>
          <w:b/>
          <w:bCs/>
          <w:color w:val="FF0000"/>
        </w:rPr>
      </w:pPr>
      <w:r w:rsidRPr="00B67DBE">
        <w:rPr>
          <w:b/>
          <w:bCs/>
          <w:color w:val="FF0000"/>
        </w:rPr>
        <w:t>KESIMPULAN</w:t>
      </w:r>
    </w:p>
    <w:p w:rsidR="00AC7641" w:rsidRPr="00B67DBE" w:rsidRDefault="00AC7641" w:rsidP="00ED3FD4">
      <w:pPr>
        <w:pStyle w:val="ListParagraph"/>
        <w:numPr>
          <w:ilvl w:val="0"/>
          <w:numId w:val="4"/>
        </w:numPr>
        <w:spacing w:after="0"/>
        <w:rPr>
          <w:rFonts w:ascii="Times New Roman" w:hAnsi="Times New Roman"/>
          <w:b/>
          <w:color w:val="FF0000"/>
          <w:sz w:val="24"/>
          <w:szCs w:val="24"/>
          <w:lang w:val="en-US"/>
        </w:rPr>
      </w:pPr>
      <w:r w:rsidRPr="00B67DBE">
        <w:rPr>
          <w:rFonts w:ascii="Times New Roman" w:hAnsi="Times New Roman"/>
          <w:b/>
          <w:color w:val="FF0000"/>
          <w:sz w:val="24"/>
          <w:szCs w:val="24"/>
          <w:lang w:val="en-US"/>
        </w:rPr>
        <w:t xml:space="preserve">Kesimpulan </w:t>
      </w:r>
    </w:p>
    <w:p w:rsidR="00ED3FD4" w:rsidRPr="00BC41CD" w:rsidRDefault="00ED3FD4" w:rsidP="00ED3FD4">
      <w:pPr>
        <w:pStyle w:val="NoSpacing"/>
        <w:spacing w:line="276" w:lineRule="auto"/>
        <w:jc w:val="both"/>
        <w:rPr>
          <w:rFonts w:ascii="Times New Roman" w:hAnsi="Times New Roman"/>
          <w:sz w:val="24"/>
          <w:szCs w:val="24"/>
        </w:rPr>
      </w:pPr>
      <w:r w:rsidRPr="00BC41CD">
        <w:rPr>
          <w:rFonts w:ascii="Times New Roman" w:hAnsi="Times New Roman"/>
          <w:sz w:val="24"/>
          <w:szCs w:val="24"/>
        </w:rPr>
        <w:t xml:space="preserve">1. </w:t>
      </w:r>
      <w:r w:rsidRPr="00BC41CD">
        <w:rPr>
          <w:rFonts w:ascii="Times New Roman" w:hAnsi="Times New Roman"/>
          <w:sz w:val="24"/>
          <w:szCs w:val="24"/>
        </w:rPr>
        <w:tab/>
        <w:t>Pengaruh Indeks Harga Saham Gabungan (IHSG), jangka waktu penawaran (</w:t>
      </w:r>
      <w:r w:rsidRPr="00BC41CD">
        <w:rPr>
          <w:rFonts w:ascii="Times New Roman" w:hAnsi="Times New Roman"/>
          <w:i/>
          <w:sz w:val="24"/>
          <w:szCs w:val="24"/>
        </w:rPr>
        <w:t xml:space="preserve">offer </w:t>
      </w:r>
      <w:r w:rsidRPr="00BC41CD">
        <w:rPr>
          <w:rFonts w:ascii="Times New Roman" w:hAnsi="Times New Roman"/>
          <w:sz w:val="24"/>
          <w:szCs w:val="24"/>
        </w:rPr>
        <w:t>timing), harga penawaran saham (</w:t>
      </w:r>
      <w:r w:rsidRPr="00BC41CD">
        <w:rPr>
          <w:rFonts w:ascii="Times New Roman" w:hAnsi="Times New Roman"/>
          <w:i/>
          <w:sz w:val="24"/>
          <w:szCs w:val="24"/>
        </w:rPr>
        <w:t>offering price)</w:t>
      </w:r>
      <w:r w:rsidRPr="00BC41CD">
        <w:rPr>
          <w:rFonts w:ascii="Times New Roman" w:hAnsi="Times New Roman"/>
          <w:sz w:val="24"/>
          <w:szCs w:val="24"/>
        </w:rPr>
        <w:t>, pertumbuhan pendapatan (</w:t>
      </w:r>
      <w:r w:rsidRPr="00BC41CD">
        <w:rPr>
          <w:rFonts w:ascii="Times New Roman" w:hAnsi="Times New Roman"/>
          <w:i/>
          <w:sz w:val="24"/>
          <w:szCs w:val="24"/>
        </w:rPr>
        <w:t>revenues growth)</w:t>
      </w:r>
      <w:r w:rsidRPr="00BC41CD">
        <w:rPr>
          <w:rFonts w:ascii="Times New Roman" w:hAnsi="Times New Roman"/>
          <w:sz w:val="24"/>
          <w:szCs w:val="24"/>
        </w:rPr>
        <w:t xml:space="preserve"> secara parsial tehadap </w:t>
      </w:r>
      <w:r w:rsidRPr="00BC41CD">
        <w:rPr>
          <w:rFonts w:ascii="Times New Roman" w:hAnsi="Times New Roman"/>
          <w:i/>
          <w:sz w:val="24"/>
          <w:szCs w:val="24"/>
        </w:rPr>
        <w:t xml:space="preserve">underpricing </w:t>
      </w:r>
      <w:r w:rsidRPr="00BC41CD">
        <w:rPr>
          <w:rFonts w:ascii="Times New Roman" w:hAnsi="Times New Roman"/>
          <w:sz w:val="24"/>
          <w:szCs w:val="24"/>
        </w:rPr>
        <w:t xml:space="preserve">pada perusahaan yang melakukan IPO di </w:t>
      </w:r>
      <w:r w:rsidRPr="00BC41CD">
        <w:rPr>
          <w:rFonts w:ascii="Times New Roman" w:hAnsi="Times New Roman"/>
          <w:i/>
          <w:sz w:val="24"/>
          <w:szCs w:val="24"/>
        </w:rPr>
        <w:t>Indonesia Stock Exchange</w:t>
      </w:r>
      <w:r w:rsidRPr="00BC41CD">
        <w:rPr>
          <w:rFonts w:ascii="Times New Roman" w:hAnsi="Times New Roman"/>
          <w:sz w:val="24"/>
          <w:szCs w:val="24"/>
        </w:rPr>
        <w:t xml:space="preserve"> (IDX). </w:t>
      </w:r>
    </w:p>
    <w:p w:rsidR="00ED3FD4" w:rsidRPr="00BC41CD" w:rsidRDefault="00ED3FD4" w:rsidP="00ED3FD4">
      <w:pPr>
        <w:pStyle w:val="NoSpacing"/>
        <w:spacing w:line="276" w:lineRule="auto"/>
        <w:ind w:firstLine="720"/>
        <w:jc w:val="both"/>
        <w:rPr>
          <w:rFonts w:ascii="Times New Roman" w:hAnsi="Times New Roman"/>
          <w:sz w:val="24"/>
          <w:szCs w:val="24"/>
        </w:rPr>
      </w:pPr>
      <w:r w:rsidRPr="00BC41CD">
        <w:rPr>
          <w:rFonts w:ascii="Times New Roman" w:hAnsi="Times New Roman"/>
          <w:sz w:val="24"/>
          <w:szCs w:val="24"/>
        </w:rPr>
        <w:lastRenderedPageBreak/>
        <w:t xml:space="preserve">Menunjukkan bahwa Variabel Indeks Harga Saham Gabungan tidak berpengaruh signifikan terhadap </w:t>
      </w:r>
      <w:r w:rsidRPr="00BC41CD">
        <w:rPr>
          <w:rFonts w:ascii="Times New Roman" w:hAnsi="Times New Roman"/>
          <w:i/>
          <w:sz w:val="24"/>
          <w:szCs w:val="24"/>
        </w:rPr>
        <w:t>underpricing</w:t>
      </w:r>
      <w:r w:rsidRPr="00BC41CD">
        <w:rPr>
          <w:rFonts w:ascii="Times New Roman" w:hAnsi="Times New Roman"/>
          <w:sz w:val="24"/>
          <w:szCs w:val="24"/>
        </w:rPr>
        <w:t>. Hal ini dapat dilihat dari nilai t</w:t>
      </w:r>
      <w:r w:rsidRPr="00BC41CD">
        <w:rPr>
          <w:rFonts w:ascii="Times New Roman" w:hAnsi="Times New Roman"/>
          <w:sz w:val="24"/>
          <w:szCs w:val="24"/>
          <w:vertAlign w:val="subscript"/>
        </w:rPr>
        <w:t xml:space="preserve">hitung </w:t>
      </w:r>
      <w:r w:rsidRPr="00BC41CD">
        <w:rPr>
          <w:rFonts w:ascii="Times New Roman" w:hAnsi="Times New Roman"/>
          <w:sz w:val="24"/>
          <w:szCs w:val="24"/>
        </w:rPr>
        <w:t>-0,769 &lt; t</w:t>
      </w:r>
      <w:r w:rsidRPr="00BC41CD">
        <w:rPr>
          <w:rFonts w:ascii="Times New Roman" w:hAnsi="Times New Roman"/>
          <w:sz w:val="24"/>
          <w:szCs w:val="24"/>
          <w:vertAlign w:val="subscript"/>
        </w:rPr>
        <w:t xml:space="preserve">tabel </w:t>
      </w:r>
      <w:r w:rsidRPr="00BC41CD">
        <w:rPr>
          <w:rFonts w:ascii="Times New Roman" w:hAnsi="Times New Roman"/>
          <w:sz w:val="24"/>
          <w:szCs w:val="24"/>
        </w:rPr>
        <w:t xml:space="preserve">1,992 dengan nilai signifikan t sebesar 0,444 &gt; 0,05. Variabel jangka waktu penawaran tidak berpengaruh signifikan terhadap </w:t>
      </w:r>
      <w:r w:rsidRPr="00BC41CD">
        <w:rPr>
          <w:rFonts w:ascii="Times New Roman" w:hAnsi="Times New Roman"/>
          <w:i/>
          <w:sz w:val="24"/>
          <w:szCs w:val="24"/>
        </w:rPr>
        <w:t>underpricing.</w:t>
      </w:r>
      <w:r w:rsidRPr="00BC41CD">
        <w:rPr>
          <w:rFonts w:ascii="Times New Roman" w:hAnsi="Times New Roman"/>
          <w:sz w:val="24"/>
          <w:szCs w:val="24"/>
        </w:rPr>
        <w:t xml:space="preserve"> Hal ini dapat dilihat dari nilai t</w:t>
      </w:r>
      <w:r w:rsidRPr="00BC41CD">
        <w:rPr>
          <w:rFonts w:ascii="Times New Roman" w:hAnsi="Times New Roman"/>
          <w:sz w:val="24"/>
          <w:szCs w:val="24"/>
          <w:vertAlign w:val="subscript"/>
        </w:rPr>
        <w:t xml:space="preserve">hitung </w:t>
      </w:r>
      <w:r w:rsidRPr="00BC41CD">
        <w:rPr>
          <w:rFonts w:ascii="Times New Roman" w:hAnsi="Times New Roman"/>
          <w:sz w:val="24"/>
          <w:szCs w:val="24"/>
        </w:rPr>
        <w:t>0,668 &lt; t</w:t>
      </w:r>
      <w:r w:rsidRPr="00BC41CD">
        <w:rPr>
          <w:rFonts w:ascii="Times New Roman" w:hAnsi="Times New Roman"/>
          <w:sz w:val="24"/>
          <w:szCs w:val="24"/>
          <w:vertAlign w:val="subscript"/>
        </w:rPr>
        <w:t xml:space="preserve">tabel </w:t>
      </w:r>
      <w:r w:rsidRPr="00BC41CD">
        <w:rPr>
          <w:rFonts w:ascii="Times New Roman" w:hAnsi="Times New Roman"/>
          <w:sz w:val="24"/>
          <w:szCs w:val="24"/>
        </w:rPr>
        <w:t xml:space="preserve">1,992 dengan nilai signifikan t sebesar 0,506 &gt; 0,05 Variabel harga penawaran saham tidak berpengaruh signifikan terhadap </w:t>
      </w:r>
      <w:r w:rsidRPr="00BC41CD">
        <w:rPr>
          <w:rFonts w:ascii="Times New Roman" w:hAnsi="Times New Roman"/>
          <w:i/>
          <w:sz w:val="24"/>
          <w:szCs w:val="24"/>
        </w:rPr>
        <w:t xml:space="preserve">underpricing. </w:t>
      </w:r>
      <w:r w:rsidRPr="00BC41CD">
        <w:rPr>
          <w:rFonts w:ascii="Times New Roman" w:hAnsi="Times New Roman"/>
          <w:sz w:val="24"/>
          <w:szCs w:val="24"/>
        </w:rPr>
        <w:t>Hal ini dapat dilihat dari nilai  t</w:t>
      </w:r>
      <w:r w:rsidRPr="00BC41CD">
        <w:rPr>
          <w:rFonts w:ascii="Times New Roman" w:hAnsi="Times New Roman"/>
          <w:sz w:val="24"/>
          <w:szCs w:val="24"/>
          <w:vertAlign w:val="subscript"/>
        </w:rPr>
        <w:t xml:space="preserve">hitung </w:t>
      </w:r>
      <w:r w:rsidRPr="00BC41CD">
        <w:rPr>
          <w:rFonts w:ascii="Times New Roman" w:hAnsi="Times New Roman"/>
          <w:sz w:val="24"/>
          <w:szCs w:val="24"/>
        </w:rPr>
        <w:t>-0,755 &lt; t</w:t>
      </w:r>
      <w:r w:rsidRPr="00BC41CD">
        <w:rPr>
          <w:rFonts w:ascii="Times New Roman" w:hAnsi="Times New Roman"/>
          <w:sz w:val="24"/>
          <w:szCs w:val="24"/>
          <w:vertAlign w:val="subscript"/>
        </w:rPr>
        <w:t xml:space="preserve">tabel </w:t>
      </w:r>
      <w:r w:rsidRPr="00BC41CD">
        <w:rPr>
          <w:rFonts w:ascii="Times New Roman" w:hAnsi="Times New Roman"/>
          <w:sz w:val="24"/>
          <w:szCs w:val="24"/>
        </w:rPr>
        <w:t xml:space="preserve">1,992 dengan nilai signifikan t sebesar 0,453 &gt; 0,05. Variabel pertumbuhan pendapatan tidak berpengaruh signifikan terhadap </w:t>
      </w:r>
      <w:r w:rsidRPr="00BC41CD">
        <w:rPr>
          <w:rFonts w:ascii="Times New Roman" w:hAnsi="Times New Roman"/>
          <w:i/>
          <w:sz w:val="24"/>
          <w:szCs w:val="24"/>
        </w:rPr>
        <w:t xml:space="preserve">underpricing. </w:t>
      </w:r>
      <w:r w:rsidRPr="00BC41CD">
        <w:rPr>
          <w:rFonts w:ascii="Times New Roman" w:hAnsi="Times New Roman"/>
          <w:sz w:val="24"/>
          <w:szCs w:val="24"/>
        </w:rPr>
        <w:t>Hal ini dapat dilihat dari nilai t</w:t>
      </w:r>
      <w:r w:rsidRPr="00BC41CD">
        <w:rPr>
          <w:rFonts w:ascii="Times New Roman" w:hAnsi="Times New Roman"/>
          <w:sz w:val="24"/>
          <w:szCs w:val="24"/>
          <w:vertAlign w:val="subscript"/>
        </w:rPr>
        <w:t xml:space="preserve">hitung </w:t>
      </w:r>
      <w:r w:rsidRPr="00BC41CD">
        <w:rPr>
          <w:rFonts w:ascii="Times New Roman" w:hAnsi="Times New Roman"/>
          <w:sz w:val="24"/>
          <w:szCs w:val="24"/>
        </w:rPr>
        <w:t>1,345 &lt; t</w:t>
      </w:r>
      <w:r w:rsidRPr="00BC41CD">
        <w:rPr>
          <w:rFonts w:ascii="Times New Roman" w:hAnsi="Times New Roman"/>
          <w:sz w:val="24"/>
          <w:szCs w:val="24"/>
          <w:vertAlign w:val="subscript"/>
        </w:rPr>
        <w:t xml:space="preserve">tabel </w:t>
      </w:r>
      <w:r w:rsidRPr="00BC41CD">
        <w:rPr>
          <w:rFonts w:ascii="Times New Roman" w:hAnsi="Times New Roman"/>
          <w:sz w:val="24"/>
          <w:szCs w:val="24"/>
        </w:rPr>
        <w:t xml:space="preserve">1,992 dengan nilai signifikan t sebesar 0,183 &gt; 0,05. </w:t>
      </w:r>
    </w:p>
    <w:p w:rsidR="00ED3FD4" w:rsidRPr="00BC41CD" w:rsidRDefault="00ED3FD4" w:rsidP="00ED3FD4">
      <w:pPr>
        <w:pStyle w:val="NoSpacing"/>
        <w:spacing w:line="276" w:lineRule="auto"/>
        <w:jc w:val="both"/>
        <w:rPr>
          <w:rFonts w:ascii="Times New Roman" w:hAnsi="Times New Roman"/>
          <w:b/>
          <w:sz w:val="24"/>
          <w:szCs w:val="24"/>
        </w:rPr>
      </w:pPr>
    </w:p>
    <w:p w:rsidR="00ED3FD4" w:rsidRDefault="00ED3FD4" w:rsidP="00ED3FD4">
      <w:pPr>
        <w:pStyle w:val="NoSpacing"/>
        <w:spacing w:line="276" w:lineRule="auto"/>
        <w:jc w:val="both"/>
        <w:rPr>
          <w:rFonts w:ascii="Times New Roman" w:hAnsi="Times New Roman"/>
          <w:sz w:val="24"/>
          <w:szCs w:val="24"/>
          <w:lang w:val="en-US"/>
        </w:rPr>
      </w:pPr>
      <w:r w:rsidRPr="00BC41CD">
        <w:rPr>
          <w:rFonts w:ascii="Times New Roman" w:hAnsi="Times New Roman"/>
          <w:sz w:val="24"/>
          <w:szCs w:val="24"/>
        </w:rPr>
        <w:t>2. Pengaruh Indeks Harga Saham Gabungan (IHSG), jangka waktu penawaran (</w:t>
      </w:r>
      <w:r w:rsidRPr="00BC41CD">
        <w:rPr>
          <w:rFonts w:ascii="Times New Roman" w:hAnsi="Times New Roman"/>
          <w:i/>
          <w:sz w:val="24"/>
          <w:szCs w:val="24"/>
        </w:rPr>
        <w:t>Offer Timing),</w:t>
      </w:r>
      <w:r w:rsidRPr="00BC41CD">
        <w:rPr>
          <w:rFonts w:ascii="Times New Roman" w:hAnsi="Times New Roman"/>
          <w:sz w:val="24"/>
          <w:szCs w:val="24"/>
        </w:rPr>
        <w:t xml:space="preserve"> harga penawaran saham (</w:t>
      </w:r>
      <w:r w:rsidRPr="00BC41CD">
        <w:rPr>
          <w:rFonts w:ascii="Times New Roman" w:hAnsi="Times New Roman"/>
          <w:i/>
          <w:sz w:val="24"/>
          <w:szCs w:val="24"/>
        </w:rPr>
        <w:t>offering price</w:t>
      </w:r>
      <w:r w:rsidRPr="00BC41CD">
        <w:rPr>
          <w:rFonts w:ascii="Times New Roman" w:hAnsi="Times New Roman"/>
          <w:sz w:val="24"/>
          <w:szCs w:val="24"/>
        </w:rPr>
        <w:t>), pertumbuhan pendapatan (</w:t>
      </w:r>
      <w:r w:rsidRPr="00BC41CD">
        <w:rPr>
          <w:rFonts w:ascii="Times New Roman" w:hAnsi="Times New Roman"/>
          <w:i/>
          <w:sz w:val="24"/>
          <w:szCs w:val="24"/>
        </w:rPr>
        <w:t>revenues growth</w:t>
      </w:r>
      <w:r w:rsidRPr="00BC41CD">
        <w:rPr>
          <w:rFonts w:ascii="Times New Roman" w:hAnsi="Times New Roman"/>
          <w:sz w:val="24"/>
          <w:szCs w:val="24"/>
        </w:rPr>
        <w:t xml:space="preserve">) secara simultan tidak berpengaruh terhadap </w:t>
      </w:r>
      <w:r w:rsidRPr="00BC41CD">
        <w:rPr>
          <w:rFonts w:ascii="Times New Roman" w:hAnsi="Times New Roman"/>
          <w:i/>
          <w:sz w:val="24"/>
          <w:szCs w:val="24"/>
        </w:rPr>
        <w:t>underpricing</w:t>
      </w:r>
      <w:r w:rsidRPr="00BC41CD">
        <w:rPr>
          <w:rFonts w:ascii="Times New Roman" w:hAnsi="Times New Roman"/>
          <w:sz w:val="24"/>
          <w:szCs w:val="24"/>
        </w:rPr>
        <w:t>. Hal ini diperoleh dari perbandingan F</w:t>
      </w:r>
      <w:r w:rsidRPr="00BC41CD">
        <w:rPr>
          <w:rFonts w:ascii="Times New Roman" w:hAnsi="Times New Roman"/>
          <w:sz w:val="24"/>
          <w:szCs w:val="24"/>
          <w:vertAlign w:val="subscript"/>
        </w:rPr>
        <w:t xml:space="preserve">hitung </w:t>
      </w:r>
      <w:r w:rsidRPr="00BC41CD">
        <w:rPr>
          <w:rFonts w:ascii="Times New Roman" w:hAnsi="Times New Roman"/>
          <w:sz w:val="24"/>
          <w:szCs w:val="24"/>
        </w:rPr>
        <w:t>dengan F</w:t>
      </w:r>
      <w:r w:rsidRPr="00BC41CD">
        <w:rPr>
          <w:rFonts w:ascii="Times New Roman" w:hAnsi="Times New Roman"/>
          <w:sz w:val="24"/>
          <w:szCs w:val="24"/>
          <w:vertAlign w:val="subscript"/>
        </w:rPr>
        <w:t>tabel</w:t>
      </w:r>
      <w:r w:rsidRPr="00BC41CD">
        <w:rPr>
          <w:rFonts w:ascii="Times New Roman" w:hAnsi="Times New Roman"/>
          <w:sz w:val="24"/>
          <w:szCs w:val="24"/>
        </w:rPr>
        <w:t xml:space="preserve"> adalah F</w:t>
      </w:r>
      <w:r w:rsidRPr="00BC41CD">
        <w:rPr>
          <w:rFonts w:ascii="Times New Roman" w:hAnsi="Times New Roman"/>
          <w:sz w:val="24"/>
          <w:szCs w:val="24"/>
          <w:vertAlign w:val="subscript"/>
        </w:rPr>
        <w:t xml:space="preserve">hitung </w:t>
      </w:r>
      <w:r w:rsidRPr="00BC41CD">
        <w:rPr>
          <w:rFonts w:ascii="Times New Roman" w:hAnsi="Times New Roman"/>
          <w:sz w:val="24"/>
          <w:szCs w:val="24"/>
        </w:rPr>
        <w:t>&gt; F</w:t>
      </w:r>
      <w:r w:rsidRPr="00BC41CD">
        <w:rPr>
          <w:rFonts w:ascii="Times New Roman" w:hAnsi="Times New Roman"/>
          <w:sz w:val="24"/>
          <w:szCs w:val="24"/>
          <w:vertAlign w:val="subscript"/>
        </w:rPr>
        <w:t>tabel</w:t>
      </w:r>
      <w:r w:rsidRPr="00BC41CD">
        <w:rPr>
          <w:rFonts w:ascii="Times New Roman" w:hAnsi="Times New Roman"/>
          <w:sz w:val="24"/>
          <w:szCs w:val="24"/>
        </w:rPr>
        <w:t xml:space="preserve"> (1,047 &lt; 2,49), maka pada tingkat kekeliruan 5% diputuskan untuk menolak H</w:t>
      </w:r>
      <w:r w:rsidRPr="00BC41CD">
        <w:rPr>
          <w:rFonts w:ascii="Times New Roman" w:hAnsi="Times New Roman"/>
          <w:sz w:val="24"/>
          <w:szCs w:val="24"/>
          <w:vertAlign w:val="subscript"/>
        </w:rPr>
        <w:t xml:space="preserve">0 </w:t>
      </w:r>
      <w:r w:rsidRPr="00BC41CD">
        <w:rPr>
          <w:rFonts w:ascii="Times New Roman" w:hAnsi="Times New Roman"/>
          <w:sz w:val="24"/>
          <w:szCs w:val="24"/>
        </w:rPr>
        <w:t>dan menerima H</w:t>
      </w:r>
      <w:r w:rsidRPr="00BC41CD">
        <w:rPr>
          <w:rFonts w:ascii="Times New Roman" w:hAnsi="Times New Roman"/>
          <w:sz w:val="24"/>
          <w:szCs w:val="24"/>
          <w:vertAlign w:val="subscript"/>
        </w:rPr>
        <w:t>a</w:t>
      </w:r>
      <w:r w:rsidRPr="00BC41CD">
        <w:rPr>
          <w:rFonts w:ascii="Times New Roman" w:hAnsi="Times New Roman"/>
          <w:sz w:val="24"/>
          <w:szCs w:val="24"/>
        </w:rPr>
        <w:t xml:space="preserve">. dan nilai probabilitas signifikan  F = 0,389  &gt; 0,05. </w:t>
      </w:r>
    </w:p>
    <w:p w:rsidR="00ED3FD4" w:rsidRPr="00ED3FD4" w:rsidRDefault="00ED3FD4" w:rsidP="00ED3FD4">
      <w:pPr>
        <w:pStyle w:val="NoSpacing"/>
        <w:spacing w:line="276" w:lineRule="auto"/>
        <w:jc w:val="both"/>
        <w:rPr>
          <w:rFonts w:ascii="Times New Roman" w:hAnsi="Times New Roman"/>
          <w:sz w:val="24"/>
          <w:szCs w:val="24"/>
          <w:lang w:val="en-US"/>
        </w:rPr>
      </w:pPr>
    </w:p>
    <w:p w:rsidR="00AC7641" w:rsidRPr="00B67DBE" w:rsidRDefault="00AC7641" w:rsidP="00ED3FD4">
      <w:pPr>
        <w:numPr>
          <w:ilvl w:val="0"/>
          <w:numId w:val="4"/>
        </w:numPr>
        <w:tabs>
          <w:tab w:val="left" w:pos="360"/>
        </w:tabs>
        <w:spacing w:line="276" w:lineRule="auto"/>
        <w:ind w:right="-23"/>
        <w:rPr>
          <w:b/>
          <w:color w:val="FF0000"/>
          <w:lang w:val="sv-SE"/>
        </w:rPr>
      </w:pPr>
      <w:r w:rsidRPr="00B67DBE">
        <w:rPr>
          <w:b/>
          <w:color w:val="FF0000"/>
          <w:lang w:val="sv-SE"/>
        </w:rPr>
        <w:t>Saran</w:t>
      </w:r>
    </w:p>
    <w:p w:rsidR="00ED3FD4" w:rsidRPr="00BC41CD" w:rsidRDefault="00ED3FD4" w:rsidP="00ED3FD4">
      <w:pPr>
        <w:pStyle w:val="NoSpacing"/>
        <w:spacing w:line="276" w:lineRule="auto"/>
        <w:ind w:firstLine="720"/>
        <w:jc w:val="both"/>
        <w:rPr>
          <w:rFonts w:ascii="Times New Roman" w:hAnsi="Times New Roman"/>
          <w:sz w:val="24"/>
          <w:szCs w:val="24"/>
        </w:rPr>
      </w:pPr>
      <w:r w:rsidRPr="00BC41CD">
        <w:rPr>
          <w:rFonts w:ascii="Times New Roman" w:hAnsi="Times New Roman"/>
          <w:sz w:val="24"/>
          <w:szCs w:val="24"/>
        </w:rPr>
        <w:t>Adapun saran untuk penelitian selanjutnya adalah sebagai berikut :</w:t>
      </w:r>
    </w:p>
    <w:p w:rsidR="00ED3FD4" w:rsidRPr="00BC41CD" w:rsidRDefault="00ED3FD4" w:rsidP="00ED3FD4">
      <w:pPr>
        <w:pStyle w:val="NoSpacing"/>
        <w:spacing w:line="276" w:lineRule="auto"/>
        <w:jc w:val="both"/>
        <w:rPr>
          <w:rFonts w:ascii="Times New Roman" w:hAnsi="Times New Roman"/>
          <w:sz w:val="24"/>
          <w:szCs w:val="24"/>
        </w:rPr>
      </w:pPr>
      <w:r w:rsidRPr="00BC41CD">
        <w:rPr>
          <w:rFonts w:ascii="Times New Roman" w:hAnsi="Times New Roman"/>
          <w:sz w:val="24"/>
          <w:szCs w:val="24"/>
        </w:rPr>
        <w:t xml:space="preserve">Walaupun dalam penelitian ini seluruh hipotesis penelitian tidak terbukti secara statistik  bepengaruh terhadap </w:t>
      </w:r>
      <w:r w:rsidRPr="00BC41CD">
        <w:rPr>
          <w:rFonts w:ascii="Times New Roman" w:hAnsi="Times New Roman"/>
          <w:i/>
          <w:sz w:val="24"/>
          <w:szCs w:val="24"/>
        </w:rPr>
        <w:t xml:space="preserve">underpricing </w:t>
      </w:r>
      <w:r w:rsidRPr="00BC41CD">
        <w:rPr>
          <w:rFonts w:ascii="Times New Roman" w:hAnsi="Times New Roman"/>
          <w:sz w:val="24"/>
          <w:szCs w:val="24"/>
        </w:rPr>
        <w:t xml:space="preserve">namun diharapkan penelitian selanjutnya dapat meneliti lebih jauh </w:t>
      </w:r>
      <w:r w:rsidRPr="00BC41CD">
        <w:rPr>
          <w:rFonts w:ascii="Times New Roman" w:hAnsi="Times New Roman"/>
          <w:sz w:val="24"/>
          <w:szCs w:val="24"/>
        </w:rPr>
        <w:lastRenderedPageBreak/>
        <w:t>faktor-faktor lain yang tidak diteliti dalam penelitian ini.</w:t>
      </w:r>
    </w:p>
    <w:p w:rsidR="00ED3FD4" w:rsidRPr="00BC41CD" w:rsidRDefault="00ED3FD4" w:rsidP="00ED3FD4">
      <w:pPr>
        <w:pStyle w:val="NoSpacing"/>
        <w:spacing w:line="276" w:lineRule="auto"/>
        <w:ind w:firstLine="720"/>
        <w:jc w:val="both"/>
        <w:rPr>
          <w:rFonts w:ascii="Times New Roman" w:hAnsi="Times New Roman"/>
          <w:sz w:val="24"/>
          <w:szCs w:val="24"/>
        </w:rPr>
      </w:pPr>
      <w:r w:rsidRPr="00BC41CD">
        <w:rPr>
          <w:rFonts w:ascii="Times New Roman" w:hAnsi="Times New Roman"/>
          <w:sz w:val="24"/>
          <w:szCs w:val="24"/>
        </w:rPr>
        <w:t xml:space="preserve">Bagi penelitian selanjutnya sebaiknya memperluas ruang lingkup penelitian,   jadi penelitian dapat dilakukan pada perusahaan-perusahaan yang IPO selain di </w:t>
      </w:r>
      <w:r w:rsidRPr="00BC41CD">
        <w:rPr>
          <w:rFonts w:ascii="Times New Roman" w:hAnsi="Times New Roman"/>
          <w:i/>
          <w:sz w:val="24"/>
          <w:szCs w:val="24"/>
        </w:rPr>
        <w:t xml:space="preserve">Indonesia Stock Exchange </w:t>
      </w:r>
      <w:r w:rsidRPr="00BC41CD">
        <w:rPr>
          <w:rFonts w:ascii="Times New Roman" w:hAnsi="Times New Roman"/>
          <w:sz w:val="24"/>
          <w:szCs w:val="24"/>
        </w:rPr>
        <w:t xml:space="preserve">(IDX) seperti pada perusahaan-perusahaan yang IPO di </w:t>
      </w:r>
      <w:r w:rsidRPr="00BC41CD">
        <w:rPr>
          <w:rFonts w:ascii="Times New Roman" w:hAnsi="Times New Roman"/>
          <w:i/>
          <w:sz w:val="24"/>
          <w:szCs w:val="24"/>
        </w:rPr>
        <w:t xml:space="preserve">Indonesia Stock Exchange </w:t>
      </w:r>
      <w:r w:rsidRPr="00BC41CD">
        <w:rPr>
          <w:rFonts w:ascii="Times New Roman" w:hAnsi="Times New Roman"/>
          <w:sz w:val="24"/>
          <w:szCs w:val="24"/>
        </w:rPr>
        <w:t>(IDX) negara lain.</w:t>
      </w:r>
    </w:p>
    <w:p w:rsidR="00AC7641" w:rsidRPr="00B67DBE" w:rsidRDefault="00AC7641" w:rsidP="002279CD">
      <w:pPr>
        <w:spacing w:line="276" w:lineRule="auto"/>
        <w:rPr>
          <w:b/>
          <w:color w:val="FF0000"/>
          <w:sz w:val="22"/>
          <w:szCs w:val="22"/>
        </w:rPr>
      </w:pPr>
    </w:p>
    <w:p w:rsidR="00AC7641" w:rsidRPr="00ED3FD4" w:rsidRDefault="00AC7641" w:rsidP="00ED3FD4">
      <w:pPr>
        <w:spacing w:line="276" w:lineRule="auto"/>
        <w:jc w:val="center"/>
        <w:rPr>
          <w:b/>
          <w:color w:val="FF0000"/>
        </w:rPr>
      </w:pPr>
      <w:r w:rsidRPr="00ED3FD4">
        <w:rPr>
          <w:b/>
          <w:color w:val="FF0000"/>
        </w:rPr>
        <w:t>DAFTAR PUSTAKA</w:t>
      </w:r>
    </w:p>
    <w:p w:rsidR="00ED3FD4" w:rsidRPr="00ED3FD4" w:rsidRDefault="00ED3FD4" w:rsidP="00ED3FD4">
      <w:pPr>
        <w:tabs>
          <w:tab w:val="left" w:pos="8931"/>
        </w:tabs>
        <w:spacing w:line="276" w:lineRule="auto"/>
        <w:ind w:left="567" w:right="95" w:hanging="567"/>
        <w:jc w:val="both"/>
      </w:pPr>
      <w:proofErr w:type="gramStart"/>
      <w:r w:rsidRPr="00ED3FD4">
        <w:t>Jogiyanto.</w:t>
      </w:r>
      <w:proofErr w:type="gramEnd"/>
      <w:r w:rsidRPr="00ED3FD4">
        <w:t xml:space="preserve"> </w:t>
      </w:r>
      <w:proofErr w:type="gramStart"/>
      <w:r w:rsidRPr="00ED3FD4">
        <w:t>2018. Teori Portofolio dan Analisis Investasi.</w:t>
      </w:r>
      <w:proofErr w:type="gramEnd"/>
      <w:r w:rsidRPr="00ED3FD4">
        <w:t xml:space="preserve"> </w:t>
      </w:r>
      <w:proofErr w:type="gramStart"/>
      <w:r w:rsidRPr="00ED3FD4">
        <w:t>Edisi ke-lima.</w:t>
      </w:r>
      <w:proofErr w:type="gramEnd"/>
      <w:r w:rsidRPr="00ED3FD4">
        <w:t xml:space="preserve"> Yogyakarta: BPFE.</w:t>
      </w:r>
    </w:p>
    <w:p w:rsidR="00ED3FD4" w:rsidRPr="00ED3FD4" w:rsidRDefault="00ED3FD4" w:rsidP="00ED3FD4">
      <w:pPr>
        <w:tabs>
          <w:tab w:val="left" w:pos="8931"/>
        </w:tabs>
        <w:spacing w:line="276" w:lineRule="auto"/>
        <w:ind w:left="567" w:right="95" w:hanging="567"/>
        <w:jc w:val="both"/>
      </w:pPr>
      <w:proofErr w:type="gramStart"/>
      <w:r w:rsidRPr="00ED3FD4">
        <w:t>Junaeni, Irawati dan Rendi Agustian.</w:t>
      </w:r>
      <w:proofErr w:type="gramEnd"/>
      <w:r w:rsidRPr="00ED3FD4">
        <w:t xml:space="preserve"> </w:t>
      </w:r>
      <w:proofErr w:type="gramStart"/>
      <w:r w:rsidRPr="00ED3FD4">
        <w:t xml:space="preserve">2013. Analisis Faktor-Faktor yang Mempengaruhi Tingkat </w:t>
      </w:r>
      <w:r w:rsidRPr="00ED3FD4">
        <w:rPr>
          <w:i/>
        </w:rPr>
        <w:t>Underpricing</w:t>
      </w:r>
      <w:r w:rsidRPr="00ED3FD4">
        <w:t xml:space="preserve"> Saham Pada Perusahaan yang Melakukan </w:t>
      </w:r>
      <w:r w:rsidRPr="00ED3FD4">
        <w:rPr>
          <w:i/>
        </w:rPr>
        <w:t xml:space="preserve">Initial Public Offering </w:t>
      </w:r>
      <w:r w:rsidRPr="00ED3FD4">
        <w:t>di BEI.</w:t>
      </w:r>
      <w:proofErr w:type="gramEnd"/>
      <w:r w:rsidRPr="00ED3FD4">
        <w:t xml:space="preserve"> Jurnal Ilmiah Widya. </w:t>
      </w:r>
      <w:proofErr w:type="gramStart"/>
      <w:r w:rsidRPr="00ED3FD4">
        <w:t>Volume I, Nomor I, Mei-Juni, hal 52-59.</w:t>
      </w:r>
      <w:proofErr w:type="gramEnd"/>
    </w:p>
    <w:p w:rsidR="00ED3FD4" w:rsidRPr="00ED3FD4" w:rsidRDefault="00ED3FD4" w:rsidP="00ED3FD4">
      <w:pPr>
        <w:tabs>
          <w:tab w:val="left" w:pos="8931"/>
        </w:tabs>
        <w:spacing w:line="276" w:lineRule="auto"/>
        <w:ind w:right="95"/>
        <w:jc w:val="both"/>
      </w:pPr>
      <w:proofErr w:type="gramStart"/>
      <w:r w:rsidRPr="00ED3FD4">
        <w:t>Kieso et al. 2017.</w:t>
      </w:r>
      <w:proofErr w:type="gramEnd"/>
      <w:r w:rsidRPr="00ED3FD4">
        <w:t xml:space="preserve"> Pengantar Akuntansi. Edisi Ketujuh, Salemba Empat. Jakarta.</w:t>
      </w:r>
    </w:p>
    <w:p w:rsidR="00ED3FD4" w:rsidRPr="00ED3FD4" w:rsidRDefault="00ED3FD4" w:rsidP="00ED3FD4">
      <w:pPr>
        <w:tabs>
          <w:tab w:val="left" w:pos="8931"/>
        </w:tabs>
        <w:spacing w:line="276" w:lineRule="auto"/>
        <w:ind w:left="567" w:right="95" w:hanging="567"/>
        <w:jc w:val="both"/>
      </w:pPr>
      <w:proofErr w:type="gramStart"/>
      <w:r w:rsidRPr="00ED3FD4">
        <w:t>Kristiantari, Ayu Dewa I. 2013.</w:t>
      </w:r>
      <w:proofErr w:type="gramEnd"/>
      <w:r w:rsidRPr="00ED3FD4">
        <w:t xml:space="preserve"> Analisis Faktor-Faktor yang Mempengaruhi </w:t>
      </w:r>
      <w:r w:rsidRPr="00ED3FD4">
        <w:rPr>
          <w:i/>
        </w:rPr>
        <w:t xml:space="preserve">Underpricing </w:t>
      </w:r>
      <w:r w:rsidRPr="00ED3FD4">
        <w:t xml:space="preserve">Saham Pada Penawaran Saham Perdana di Bursa Efek </w:t>
      </w:r>
    </w:p>
    <w:p w:rsidR="00ED3FD4" w:rsidRPr="00ED3FD4" w:rsidRDefault="00ED3FD4" w:rsidP="00ED3FD4">
      <w:pPr>
        <w:tabs>
          <w:tab w:val="left" w:pos="8931"/>
        </w:tabs>
        <w:spacing w:line="276" w:lineRule="auto"/>
        <w:ind w:left="567" w:right="95" w:hanging="567"/>
        <w:jc w:val="both"/>
      </w:pPr>
      <w:r w:rsidRPr="00ED3FD4">
        <w:tab/>
        <w:t xml:space="preserve">Indonesia. Jurnal Ilmiah Akuntansi. </w:t>
      </w:r>
      <w:proofErr w:type="gramStart"/>
      <w:r w:rsidRPr="00ED3FD4">
        <w:t>Vol. 2.</w:t>
      </w:r>
      <w:proofErr w:type="gramEnd"/>
      <w:r w:rsidRPr="00ED3FD4">
        <w:t xml:space="preserve"> No. 2</w:t>
      </w:r>
    </w:p>
    <w:p w:rsidR="00ED3FD4" w:rsidRPr="00ED3FD4" w:rsidRDefault="00ED3FD4" w:rsidP="00ED3FD4">
      <w:pPr>
        <w:spacing w:line="276" w:lineRule="auto"/>
        <w:ind w:left="567" w:hanging="567"/>
      </w:pPr>
      <w:proofErr w:type="gramStart"/>
      <w:r w:rsidRPr="00ED3FD4">
        <w:t>Martalena dan Malinda.2011.</w:t>
      </w:r>
      <w:proofErr w:type="gramEnd"/>
      <w:r w:rsidRPr="00ED3FD4">
        <w:t xml:space="preserve">  </w:t>
      </w:r>
      <w:proofErr w:type="gramStart"/>
      <w:r w:rsidRPr="00ED3FD4">
        <w:t>Pengantar Pasar Modal.</w:t>
      </w:r>
      <w:proofErr w:type="gramEnd"/>
      <w:r w:rsidRPr="00ED3FD4">
        <w:t xml:space="preserve"> Edisi Pertama.Yogyakarta: Andi.</w:t>
      </w:r>
    </w:p>
    <w:p w:rsidR="00ED3FD4" w:rsidRPr="00ED3FD4" w:rsidRDefault="00ED3FD4" w:rsidP="00ED3FD4">
      <w:pPr>
        <w:spacing w:line="276" w:lineRule="auto"/>
        <w:ind w:left="567" w:hanging="567"/>
      </w:pPr>
      <w:r w:rsidRPr="00ED3FD4">
        <w:t xml:space="preserve">Maya, Rista. 2013. Pengaruh Kondisi Pasar, Persentase Saham Yang Ditawarkan, Financial Leverage, Dan Profitabilitas Terhadap </w:t>
      </w:r>
      <w:r w:rsidRPr="00ED3FD4">
        <w:rPr>
          <w:i/>
        </w:rPr>
        <w:t xml:space="preserve">Underpricing </w:t>
      </w:r>
      <w:r w:rsidRPr="00ED3FD4">
        <w:t xml:space="preserve">Saham Yang IPO Di BEI Periode 2007-2011. </w:t>
      </w:r>
      <w:proofErr w:type="gramStart"/>
      <w:r w:rsidRPr="00ED3FD4">
        <w:t>Jurnal :</w:t>
      </w:r>
      <w:proofErr w:type="gramEnd"/>
      <w:r w:rsidRPr="00ED3FD4">
        <w:t xml:space="preserve"> Fakultas Ekonomi Universitas Negeri Padang.</w:t>
      </w:r>
    </w:p>
    <w:p w:rsidR="00ED3FD4" w:rsidRPr="00ED3FD4" w:rsidRDefault="00ED3FD4" w:rsidP="00ED3FD4">
      <w:pPr>
        <w:tabs>
          <w:tab w:val="left" w:pos="8931"/>
        </w:tabs>
        <w:spacing w:line="276" w:lineRule="auto"/>
        <w:ind w:left="567" w:right="95" w:hanging="567"/>
        <w:jc w:val="both"/>
      </w:pPr>
      <w:proofErr w:type="gramStart"/>
      <w:r w:rsidRPr="00ED3FD4">
        <w:lastRenderedPageBreak/>
        <w:t>Puspita.</w:t>
      </w:r>
      <w:proofErr w:type="gramEnd"/>
      <w:r w:rsidRPr="00ED3FD4">
        <w:t xml:space="preserve"> 2014. “Analisis Faktor-faktor yang Mempengaruhi Underpricing pada saat </w:t>
      </w:r>
      <w:r w:rsidRPr="00ED3FD4">
        <w:rPr>
          <w:i/>
        </w:rPr>
        <w:t xml:space="preserve">Initial Public Offering </w:t>
      </w:r>
      <w:r w:rsidRPr="00ED3FD4">
        <w:t>(IPO) Di Bursa Efek Indonesia periode 2010-2012”.</w:t>
      </w:r>
    </w:p>
    <w:p w:rsidR="00ED3FD4" w:rsidRPr="00ED3FD4" w:rsidRDefault="00ED3FD4" w:rsidP="00ED3FD4">
      <w:pPr>
        <w:tabs>
          <w:tab w:val="left" w:pos="8931"/>
        </w:tabs>
        <w:spacing w:line="276" w:lineRule="auto"/>
        <w:ind w:left="567" w:right="95" w:hanging="567"/>
        <w:jc w:val="both"/>
      </w:pPr>
      <w:r w:rsidRPr="00ED3FD4">
        <w:t xml:space="preserve">Shoviyah Nur Aini. 2013. “Faktor-Faktor yang Mempengaruhi </w:t>
      </w:r>
      <w:r w:rsidRPr="00ED3FD4">
        <w:rPr>
          <w:i/>
        </w:rPr>
        <w:t>Underpricing</w:t>
      </w:r>
      <w:r w:rsidRPr="00ED3FD4">
        <w:t xml:space="preserve"> Saham Pada Perusahaan IPO di BEI Periode 2007-2011”. Universitas Islam Indonesia</w:t>
      </w:r>
    </w:p>
    <w:p w:rsidR="00ED3FD4" w:rsidRPr="00ED3FD4" w:rsidRDefault="00ED3FD4" w:rsidP="00ED3FD4">
      <w:pPr>
        <w:tabs>
          <w:tab w:val="left" w:pos="8931"/>
        </w:tabs>
        <w:spacing w:line="276" w:lineRule="auto"/>
        <w:ind w:left="567" w:right="95" w:hanging="567"/>
        <w:jc w:val="both"/>
      </w:pPr>
      <w:proofErr w:type="gramStart"/>
      <w:r w:rsidRPr="00ED3FD4">
        <w:t>Sugiyono.</w:t>
      </w:r>
      <w:proofErr w:type="gramEnd"/>
      <w:r w:rsidRPr="00ED3FD4">
        <w:t xml:space="preserve"> 2018. Metode Penelitian Bisnis Menggunakan Analisis Tabel Statistik. </w:t>
      </w:r>
      <w:proofErr w:type="gramStart"/>
      <w:r w:rsidRPr="00ED3FD4">
        <w:t>Alfabeta.</w:t>
      </w:r>
      <w:proofErr w:type="gramEnd"/>
      <w:r w:rsidRPr="00ED3FD4">
        <w:t xml:space="preserve"> Bandung.</w:t>
      </w:r>
    </w:p>
    <w:p w:rsidR="00ED3FD4" w:rsidRPr="00ED3FD4" w:rsidRDefault="00ED3FD4" w:rsidP="00ED3FD4">
      <w:pPr>
        <w:spacing w:line="276" w:lineRule="auto"/>
        <w:ind w:left="567" w:hanging="567"/>
      </w:pPr>
      <w:proofErr w:type="gramStart"/>
      <w:r w:rsidRPr="00ED3FD4">
        <w:t>Sunariyah.</w:t>
      </w:r>
      <w:proofErr w:type="gramEnd"/>
      <w:r w:rsidRPr="00ED3FD4">
        <w:t xml:space="preserve"> (2018).Pengantar Pengetahuan Pasar Modal, edisi ke </w:t>
      </w:r>
      <w:proofErr w:type="gramStart"/>
      <w:r w:rsidRPr="00ED3FD4">
        <w:t>enam.Yogyakarta :UPP</w:t>
      </w:r>
      <w:proofErr w:type="gramEnd"/>
      <w:r w:rsidRPr="00ED3FD4">
        <w:t xml:space="preserve">-AMP YKPN. </w:t>
      </w:r>
    </w:p>
    <w:p w:rsidR="00ED3FD4" w:rsidRPr="00ED3FD4" w:rsidRDefault="00ED3FD4" w:rsidP="00ED3FD4">
      <w:pPr>
        <w:pStyle w:val="icsmheading1"/>
        <w:spacing w:before="0" w:after="0" w:line="276" w:lineRule="auto"/>
        <w:ind w:left="567" w:hanging="567"/>
        <w:jc w:val="both"/>
        <w:rPr>
          <w:sz w:val="24"/>
          <w:szCs w:val="24"/>
        </w:rPr>
      </w:pPr>
      <w:hyperlink r:id="rId11" w:history="1">
        <w:r w:rsidRPr="00ED3FD4">
          <w:rPr>
            <w:rStyle w:val="Hyperlink"/>
            <w:sz w:val="24"/>
            <w:szCs w:val="24"/>
          </w:rPr>
          <w:t>www.idx.co.id</w:t>
        </w:r>
      </w:hyperlink>
      <w:r w:rsidRPr="00ED3FD4">
        <w:rPr>
          <w:sz w:val="24"/>
          <w:szCs w:val="24"/>
        </w:rPr>
        <w:t>.</w:t>
      </w:r>
    </w:p>
    <w:p w:rsidR="0055450E" w:rsidRPr="00B67DBE" w:rsidRDefault="0055450E" w:rsidP="007D273E">
      <w:pPr>
        <w:pStyle w:val="ListParagraph"/>
        <w:spacing w:after="0" w:line="240" w:lineRule="auto"/>
        <w:ind w:left="0"/>
        <w:rPr>
          <w:rFonts w:cs="Calibri"/>
          <w:b/>
          <w:color w:val="FF0000"/>
          <w:sz w:val="18"/>
          <w:szCs w:val="18"/>
          <w:lang w:val="en-US"/>
        </w:rPr>
      </w:pPr>
    </w:p>
    <w:sectPr w:rsidR="0055450E" w:rsidRPr="00B67DBE" w:rsidSect="00AC7641">
      <w:type w:val="continuous"/>
      <w:pgSz w:w="11906" w:h="16838"/>
      <w:pgMar w:top="1440" w:right="1440" w:bottom="1440" w:left="1440" w:header="510" w:footer="708" w:gutter="0"/>
      <w:pgNumType w:start="1"/>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70B2" w:rsidRDefault="006770B2">
      <w:r>
        <w:separator/>
      </w:r>
    </w:p>
  </w:endnote>
  <w:endnote w:type="continuationSeparator" w:id="0">
    <w:p w:rsidR="006770B2" w:rsidRDefault="00677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BC0A08" w:rsidP="00874A5E">
    <w:pPr>
      <w:pStyle w:val="Footer"/>
      <w:jc w:val="center"/>
    </w:pPr>
    <w:r>
      <w:rPr>
        <w:noProof/>
      </w:rPr>
      <mc:AlternateContent>
        <mc:Choice Requires="wps">
          <w:drawing>
            <wp:anchor distT="0" distB="0" distL="114300" distR="114300" simplePos="0" relativeHeight="251658752" behindDoc="0" locked="0" layoutInCell="1" allowOverlap="1" wp14:anchorId="323CB6D6" wp14:editId="5E3F0F33">
              <wp:simplePos x="0" y="0"/>
              <wp:positionH relativeFrom="column">
                <wp:posOffset>-184150</wp:posOffset>
              </wp:positionH>
              <wp:positionV relativeFrom="paragraph">
                <wp:posOffset>-62230</wp:posOffset>
              </wp:positionV>
              <wp:extent cx="2921000" cy="355600"/>
              <wp:effectExtent l="0" t="4445" r="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5205F" w:rsidRPr="003911A2" w:rsidRDefault="00AC7641" w:rsidP="00473732">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4.5pt;margin-top:-4.9pt;width:230pt;height: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bhgwIAAA8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" stroked="f">
              <v:textbox>
                <w:txbxContent>
                  <w:p w:rsidR="0095205F" w:rsidRPr="003911A2" w:rsidRDefault="00AC7641" w:rsidP="00473732">
                    <w:pPr>
                      <w:rPr>
                        <w:sz w:val="16"/>
                      </w:rPr>
                    </w:pPr>
                    <w:r w:rsidRPr="00AC7641">
                      <w:rPr>
                        <w:sz w:val="16"/>
                      </w:rPr>
                      <w:t>https://ejournal.univ-tridinanti.ac.id/index.php/strategi/index</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3437011A" wp14:editId="3D3219AA">
              <wp:simplePos x="0" y="0"/>
              <wp:positionH relativeFrom="column">
                <wp:posOffset>-124460</wp:posOffset>
              </wp:positionH>
              <wp:positionV relativeFrom="paragraph">
                <wp:posOffset>-96520</wp:posOffset>
              </wp:positionV>
              <wp:extent cx="5998845" cy="0"/>
              <wp:effectExtent l="8890" t="8255" r="1206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LU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F0s5vN8ihG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lty1GR4CAAA7BAAADgAAAAAAAAAAAAAAAAAuAgAAZHJzL2Uyb0RvYy54bWxQSwEC&#10;LQAUAAYACAAAACEAc53xat0AAAALAQAADwAAAAAAAAAAAAAAAAB4BAAAZHJzL2Rvd25yZXYueG1s&#10;UEsFBgAAAAAEAAQA8wAAAIIFAAAAAA==&#10;"/>
          </w:pict>
        </mc:Fallback>
      </mc:AlternateContent>
    </w:r>
    <w:r w:rsidR="0095205F">
      <w:fldChar w:fldCharType="begin"/>
    </w:r>
    <w:r w:rsidR="0095205F">
      <w:instrText xml:space="preserve"> PAGE   \* MERGEFORMAT </w:instrText>
    </w:r>
    <w:r w:rsidR="0095205F">
      <w:fldChar w:fldCharType="separate"/>
    </w:r>
    <w:r w:rsidR="008546E3">
      <w:rPr>
        <w:noProof/>
      </w:rPr>
      <w:t>1</w:t>
    </w:r>
    <w:r w:rsidR="0095205F">
      <w:rPr>
        <w:noProof/>
      </w:rPr>
      <w:fldChar w:fldCharType="end"/>
    </w:r>
  </w:p>
  <w:p w:rsidR="0095205F" w:rsidRDefault="009520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70B2" w:rsidRDefault="006770B2">
      <w:r>
        <w:separator/>
      </w:r>
    </w:p>
  </w:footnote>
  <w:footnote w:type="continuationSeparator" w:id="0">
    <w:p w:rsidR="006770B2" w:rsidRDefault="006770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95205F"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95205F" w:rsidRDefault="0095205F" w:rsidP="00F8535C">
    <w:pPr>
      <w:pStyle w:val="Header"/>
      <w:tabs>
        <w:tab w:val="right" w:pos="7938"/>
      </w:tabs>
      <w:rPr>
        <w:rFonts w:ascii="Tahoma" w:hAnsi="Tahoma" w:cs="Tahoma"/>
        <w:b/>
        <w:sz w:val="16"/>
        <w:szCs w:val="16"/>
        <w:lang w:val="en-US"/>
      </w:rPr>
    </w:pPr>
    <w:r>
      <w:rPr>
        <w:rFonts w:ascii="Tahoma" w:hAnsi="Tahoma" w:cs="Tahoma"/>
        <w:b/>
        <w:sz w:val="16"/>
        <w:szCs w:val="16"/>
        <w:lang w:val="id-ID"/>
      </w:rPr>
      <w:t xml:space="preserve">Volume  </w:t>
    </w:r>
    <w:r w:rsidR="000E2CBC">
      <w:rPr>
        <w:rFonts w:ascii="Tahoma" w:hAnsi="Tahoma" w:cs="Tahoma"/>
        <w:b/>
        <w:sz w:val="16"/>
        <w:szCs w:val="16"/>
        <w:lang w:val="en-US"/>
      </w:rPr>
      <w:t>13</w:t>
    </w:r>
    <w:r>
      <w:rPr>
        <w:rFonts w:ascii="Tahoma" w:hAnsi="Tahoma" w:cs="Tahoma"/>
        <w:b/>
        <w:sz w:val="16"/>
        <w:szCs w:val="16"/>
        <w:lang w:val="id-ID"/>
      </w:rPr>
      <w:t xml:space="preserve">, No. </w:t>
    </w:r>
    <w:r w:rsidR="00202147">
      <w:rPr>
        <w:rFonts w:ascii="Tahoma" w:hAnsi="Tahoma" w:cs="Tahoma"/>
        <w:b/>
        <w:sz w:val="16"/>
        <w:szCs w:val="16"/>
        <w:lang w:val="en-US"/>
      </w:rPr>
      <w:t>2</w:t>
    </w:r>
    <w:r>
      <w:rPr>
        <w:rFonts w:ascii="Tahoma" w:hAnsi="Tahoma" w:cs="Tahoma"/>
        <w:b/>
        <w:sz w:val="16"/>
        <w:szCs w:val="16"/>
        <w:lang w:val="id-ID"/>
      </w:rPr>
      <w:t xml:space="preserve">, </w:t>
    </w:r>
    <w:r w:rsidR="00202147">
      <w:rPr>
        <w:rFonts w:ascii="Tahoma" w:hAnsi="Tahoma" w:cs="Tahoma"/>
        <w:b/>
        <w:sz w:val="16"/>
        <w:szCs w:val="16"/>
        <w:lang w:val="en-US"/>
      </w:rPr>
      <w:t>Oktober</w:t>
    </w:r>
    <w:r w:rsidR="000E2CBC">
      <w:rPr>
        <w:rFonts w:ascii="Tahoma" w:hAnsi="Tahoma" w:cs="Tahoma"/>
        <w:b/>
        <w:sz w:val="16"/>
        <w:szCs w:val="16"/>
        <w:lang w:val="en-US"/>
      </w:rPr>
      <w:t xml:space="preserve"> </w:t>
    </w:r>
    <w:r>
      <w:rPr>
        <w:rFonts w:ascii="Tahoma" w:hAnsi="Tahoma" w:cs="Tahoma"/>
        <w:b/>
        <w:sz w:val="16"/>
        <w:szCs w:val="16"/>
        <w:lang w:val="id-ID"/>
      </w:rPr>
      <w:t>20</w:t>
    </w:r>
    <w:r w:rsidR="000E2CBC">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p-</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2089-6948 </w:t>
    </w:r>
  </w:p>
  <w:p w:rsidR="0095205F" w:rsidRPr="00AF00E0" w:rsidRDefault="00BC0A08" w:rsidP="00F8535C">
    <w:pPr>
      <w:pStyle w:val="Header"/>
      <w:tabs>
        <w:tab w:val="right" w:pos="7938"/>
      </w:tabs>
      <w:rPr>
        <w:rFonts w:ascii="Tahoma" w:hAnsi="Tahoma" w:cs="Tahoma"/>
        <w:b/>
        <w:sz w:val="16"/>
        <w:szCs w:val="16"/>
        <w:lang w:val="en-US"/>
      </w:rPr>
    </w:pPr>
    <w:r>
      <w:rPr>
        <w:rFonts w:ascii="Tahoma" w:hAnsi="Tahoma" w:cs="Tahoma"/>
        <w:b/>
        <w:noProof/>
        <w:sz w:val="16"/>
        <w:szCs w:val="16"/>
        <w:lang w:val="en-US" w:eastAsia="en-US"/>
      </w:rPr>
      <mc:AlternateContent>
        <mc:Choice Requires="wps">
          <w:drawing>
            <wp:anchor distT="0" distB="0" distL="114300" distR="114300" simplePos="0" relativeHeight="251656704" behindDoc="0" locked="0" layoutInCell="1" allowOverlap="1" wp14:anchorId="1A57B581" wp14:editId="31DACECF">
              <wp:simplePos x="0" y="0"/>
              <wp:positionH relativeFrom="column">
                <wp:posOffset>-43815</wp:posOffset>
              </wp:positionH>
              <wp:positionV relativeFrom="paragraph">
                <wp:posOffset>195580</wp:posOffset>
              </wp:positionV>
              <wp:extent cx="5808345" cy="0"/>
              <wp:effectExtent l="13335" t="5080" r="7620" b="1397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BFIA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SafBFIAIAADsEAAAOAAAAAAAAAAAAAAAAAC4CAABkcnMvZTJvRG9jLnhtbFBL&#10;AQItABQABgAIAAAAIQAILsFl3QAAAAgBAAAPAAAAAAAAAAAAAAAAAHoEAABkcnMvZG93bnJldi54&#10;bWxQSwUGAAAAAAQABADzAAAAhAUAAAAA&#10;"/>
          </w:pict>
        </mc:Fallback>
      </mc:AlternateContent>
    </w:r>
    <w:r w:rsidR="0095205F">
      <w:rPr>
        <w:rFonts w:ascii="Tahoma" w:hAnsi="Tahoma" w:cs="Tahoma"/>
        <w:b/>
        <w:sz w:val="16"/>
        <w:szCs w:val="16"/>
        <w:lang w:val="id-ID"/>
      </w:rPr>
      <w:t xml:space="preserve">    </w:t>
    </w:r>
    <w:r w:rsidR="0095205F">
      <w:rPr>
        <w:rFonts w:ascii="Tahoma" w:hAnsi="Tahoma" w:cs="Tahoma"/>
        <w:b/>
        <w:sz w:val="16"/>
        <w:szCs w:val="16"/>
        <w:lang w:val="id-ID"/>
      </w:rPr>
      <w:tab/>
    </w:r>
    <w:r w:rsidR="0095205F">
      <w:rPr>
        <w:rFonts w:ascii="Tahoma" w:hAnsi="Tahoma" w:cs="Tahoma"/>
        <w:b/>
        <w:sz w:val="16"/>
        <w:szCs w:val="16"/>
        <w:lang w:val="id-ID"/>
      </w:rPr>
      <w:tab/>
      <w:t xml:space="preserve">                                                                  </w:t>
    </w:r>
    <w:r w:rsidR="0095205F">
      <w:rPr>
        <w:rFonts w:ascii="Tahoma" w:hAnsi="Tahoma" w:cs="Tahoma"/>
        <w:b/>
        <w:sz w:val="16"/>
        <w:szCs w:val="16"/>
        <w:lang w:val="en-US"/>
      </w:rPr>
      <w:t>e-</w:t>
    </w:r>
    <w:proofErr w:type="gramStart"/>
    <w:r w:rsidR="0095205F">
      <w:rPr>
        <w:rFonts w:ascii="Tahoma" w:hAnsi="Tahoma" w:cs="Tahoma"/>
        <w:b/>
        <w:sz w:val="16"/>
        <w:szCs w:val="16"/>
        <w:lang w:val="id-ID"/>
      </w:rPr>
      <w:t>ISSN :</w:t>
    </w:r>
    <w:proofErr w:type="gramEnd"/>
    <w:r w:rsidR="0095205F">
      <w:rPr>
        <w:rFonts w:ascii="Tahoma" w:hAnsi="Tahoma" w:cs="Tahoma"/>
        <w:b/>
        <w:sz w:val="16"/>
        <w:szCs w:val="16"/>
        <w:lang w:val="id-ID"/>
      </w:rPr>
      <w:t xml:space="preserve"> 2</w:t>
    </w:r>
    <w:r w:rsidR="0095205F">
      <w:rPr>
        <w:rFonts w:ascii="Tahoma" w:hAnsi="Tahoma" w:cs="Tahoma"/>
        <w:b/>
        <w:sz w:val="16"/>
        <w:szCs w:val="16"/>
        <w:lang w:val="en-US"/>
      </w:rPr>
      <w:t>830</w:t>
    </w:r>
    <w:r w:rsidR="0095205F">
      <w:rPr>
        <w:rFonts w:ascii="Tahoma" w:hAnsi="Tahoma" w:cs="Tahoma"/>
        <w:b/>
        <w:sz w:val="16"/>
        <w:szCs w:val="16"/>
        <w:lang w:val="id-ID"/>
      </w:rPr>
      <w:t>-</w:t>
    </w:r>
    <w:r w:rsidR="0095205F">
      <w:rPr>
        <w:rFonts w:ascii="Tahoma" w:hAnsi="Tahoma" w:cs="Tahoma"/>
        <w:b/>
        <w:sz w:val="16"/>
        <w:szCs w:val="16"/>
        <w:lang w:val="en-US"/>
      </w:rPr>
      <w:t>4454</w:t>
    </w:r>
    <w:r w:rsidR="0095205F">
      <w:rPr>
        <w:rFonts w:ascii="Tahoma" w:hAnsi="Tahoma" w:cs="Tahoma"/>
        <w:b/>
        <w:sz w:val="16"/>
        <w:szCs w:val="16"/>
        <w:lang w:val="id-ID"/>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38100ED9"/>
    <w:multiLevelType w:val="hybridMultilevel"/>
    <w:tmpl w:val="A29257E6"/>
    <w:lvl w:ilvl="0" w:tplc="53E6050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2567065"/>
    <w:multiLevelType w:val="hybridMultilevel"/>
    <w:tmpl w:val="515A5A98"/>
    <w:lvl w:ilvl="0" w:tplc="C08A24C0">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6B8E071E"/>
    <w:multiLevelType w:val="hybridMultilevel"/>
    <w:tmpl w:val="85B4AF9E"/>
    <w:lvl w:ilvl="0" w:tplc="DFB845C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5"/>
  </w:num>
  <w:num w:numId="5">
    <w:abstractNumId w:val="2"/>
  </w:num>
  <w:num w:numId="6">
    <w:abstractNumId w:val="6"/>
  </w:num>
  <w:num w:numId="7">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37C"/>
    <w:rsid w:val="00014CC5"/>
    <w:rsid w:val="0001650B"/>
    <w:rsid w:val="00017EEF"/>
    <w:rsid w:val="00020074"/>
    <w:rsid w:val="00023BBD"/>
    <w:rsid w:val="00040405"/>
    <w:rsid w:val="00044486"/>
    <w:rsid w:val="00044AA1"/>
    <w:rsid w:val="000545CE"/>
    <w:rsid w:val="0005697C"/>
    <w:rsid w:val="00056C71"/>
    <w:rsid w:val="000602FF"/>
    <w:rsid w:val="0006591B"/>
    <w:rsid w:val="00065FF6"/>
    <w:rsid w:val="000662DE"/>
    <w:rsid w:val="00066C49"/>
    <w:rsid w:val="00067771"/>
    <w:rsid w:val="00074974"/>
    <w:rsid w:val="000778A7"/>
    <w:rsid w:val="00082A72"/>
    <w:rsid w:val="0008329C"/>
    <w:rsid w:val="00084494"/>
    <w:rsid w:val="000846DA"/>
    <w:rsid w:val="00086409"/>
    <w:rsid w:val="00090251"/>
    <w:rsid w:val="0009123E"/>
    <w:rsid w:val="00093668"/>
    <w:rsid w:val="000A13E6"/>
    <w:rsid w:val="000A3FC3"/>
    <w:rsid w:val="000B203D"/>
    <w:rsid w:val="000B565D"/>
    <w:rsid w:val="000B582B"/>
    <w:rsid w:val="000C5754"/>
    <w:rsid w:val="000C7D51"/>
    <w:rsid w:val="000D3327"/>
    <w:rsid w:val="000D47DF"/>
    <w:rsid w:val="000D5277"/>
    <w:rsid w:val="000E0907"/>
    <w:rsid w:val="000E18F1"/>
    <w:rsid w:val="000E2CBC"/>
    <w:rsid w:val="000E3235"/>
    <w:rsid w:val="000E3FC1"/>
    <w:rsid w:val="000E5292"/>
    <w:rsid w:val="000E5E84"/>
    <w:rsid w:val="000E6801"/>
    <w:rsid w:val="000F1BAA"/>
    <w:rsid w:val="000F248B"/>
    <w:rsid w:val="000F2A82"/>
    <w:rsid w:val="000F7EE4"/>
    <w:rsid w:val="000F7F3A"/>
    <w:rsid w:val="00104071"/>
    <w:rsid w:val="00104EFE"/>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3897"/>
    <w:rsid w:val="00136678"/>
    <w:rsid w:val="001377A2"/>
    <w:rsid w:val="00141564"/>
    <w:rsid w:val="0014556A"/>
    <w:rsid w:val="00151D00"/>
    <w:rsid w:val="001520F8"/>
    <w:rsid w:val="001525B0"/>
    <w:rsid w:val="00155DD1"/>
    <w:rsid w:val="001560B4"/>
    <w:rsid w:val="00156F42"/>
    <w:rsid w:val="00157095"/>
    <w:rsid w:val="00160481"/>
    <w:rsid w:val="00160849"/>
    <w:rsid w:val="001638C8"/>
    <w:rsid w:val="00166802"/>
    <w:rsid w:val="00172653"/>
    <w:rsid w:val="00174807"/>
    <w:rsid w:val="00181D29"/>
    <w:rsid w:val="00183DB4"/>
    <w:rsid w:val="00184689"/>
    <w:rsid w:val="00184D91"/>
    <w:rsid w:val="00184EB2"/>
    <w:rsid w:val="00185136"/>
    <w:rsid w:val="00185BDC"/>
    <w:rsid w:val="001879D0"/>
    <w:rsid w:val="001919D1"/>
    <w:rsid w:val="001922FC"/>
    <w:rsid w:val="00194225"/>
    <w:rsid w:val="00197461"/>
    <w:rsid w:val="001A07CD"/>
    <w:rsid w:val="001A0AAB"/>
    <w:rsid w:val="001A645F"/>
    <w:rsid w:val="001B1F9F"/>
    <w:rsid w:val="001B2820"/>
    <w:rsid w:val="001B43C2"/>
    <w:rsid w:val="001B74C8"/>
    <w:rsid w:val="001C1458"/>
    <w:rsid w:val="001C18D2"/>
    <w:rsid w:val="001C1D86"/>
    <w:rsid w:val="001C3A11"/>
    <w:rsid w:val="001C5A4E"/>
    <w:rsid w:val="001C6166"/>
    <w:rsid w:val="001C64FB"/>
    <w:rsid w:val="001C7DE5"/>
    <w:rsid w:val="001E3C9C"/>
    <w:rsid w:val="001E697B"/>
    <w:rsid w:val="001E70DA"/>
    <w:rsid w:val="001F002F"/>
    <w:rsid w:val="001F1A01"/>
    <w:rsid w:val="001F2E0E"/>
    <w:rsid w:val="001F3A7F"/>
    <w:rsid w:val="001F5F37"/>
    <w:rsid w:val="00200ADB"/>
    <w:rsid w:val="00202147"/>
    <w:rsid w:val="00202357"/>
    <w:rsid w:val="002034C1"/>
    <w:rsid w:val="00203F7C"/>
    <w:rsid w:val="0020422B"/>
    <w:rsid w:val="002052B4"/>
    <w:rsid w:val="00205741"/>
    <w:rsid w:val="002108F8"/>
    <w:rsid w:val="00222006"/>
    <w:rsid w:val="002270B9"/>
    <w:rsid w:val="002279CD"/>
    <w:rsid w:val="00231949"/>
    <w:rsid w:val="00231E0A"/>
    <w:rsid w:val="0023673F"/>
    <w:rsid w:val="002402A0"/>
    <w:rsid w:val="0024376D"/>
    <w:rsid w:val="002449CB"/>
    <w:rsid w:val="00245343"/>
    <w:rsid w:val="00250605"/>
    <w:rsid w:val="002519AC"/>
    <w:rsid w:val="00252AC2"/>
    <w:rsid w:val="00253387"/>
    <w:rsid w:val="002538F0"/>
    <w:rsid w:val="002726DD"/>
    <w:rsid w:val="00274B48"/>
    <w:rsid w:val="00274CB0"/>
    <w:rsid w:val="00274EC4"/>
    <w:rsid w:val="00274FA7"/>
    <w:rsid w:val="0027561C"/>
    <w:rsid w:val="0027576C"/>
    <w:rsid w:val="0027667A"/>
    <w:rsid w:val="002775AF"/>
    <w:rsid w:val="002813AC"/>
    <w:rsid w:val="00281751"/>
    <w:rsid w:val="00281D75"/>
    <w:rsid w:val="00283005"/>
    <w:rsid w:val="00287872"/>
    <w:rsid w:val="00290DF8"/>
    <w:rsid w:val="002927E6"/>
    <w:rsid w:val="002937AA"/>
    <w:rsid w:val="00296046"/>
    <w:rsid w:val="002965A5"/>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044F"/>
    <w:rsid w:val="00305408"/>
    <w:rsid w:val="00310342"/>
    <w:rsid w:val="0031200C"/>
    <w:rsid w:val="003123AB"/>
    <w:rsid w:val="00312B75"/>
    <w:rsid w:val="00313FAA"/>
    <w:rsid w:val="0031558A"/>
    <w:rsid w:val="0033158E"/>
    <w:rsid w:val="00331FFF"/>
    <w:rsid w:val="00334CA1"/>
    <w:rsid w:val="003352C6"/>
    <w:rsid w:val="003412DB"/>
    <w:rsid w:val="00342578"/>
    <w:rsid w:val="0034376E"/>
    <w:rsid w:val="00344229"/>
    <w:rsid w:val="00345B6B"/>
    <w:rsid w:val="00347D76"/>
    <w:rsid w:val="003501B1"/>
    <w:rsid w:val="00351976"/>
    <w:rsid w:val="0035227F"/>
    <w:rsid w:val="003535C5"/>
    <w:rsid w:val="00356295"/>
    <w:rsid w:val="0035739B"/>
    <w:rsid w:val="00357ECE"/>
    <w:rsid w:val="003613C2"/>
    <w:rsid w:val="00363650"/>
    <w:rsid w:val="0036510A"/>
    <w:rsid w:val="003672DD"/>
    <w:rsid w:val="00370EC1"/>
    <w:rsid w:val="003762FB"/>
    <w:rsid w:val="00377D9A"/>
    <w:rsid w:val="003816EB"/>
    <w:rsid w:val="00385BD8"/>
    <w:rsid w:val="00385E7D"/>
    <w:rsid w:val="00387F6F"/>
    <w:rsid w:val="00392C59"/>
    <w:rsid w:val="003958BE"/>
    <w:rsid w:val="003958DF"/>
    <w:rsid w:val="003A2EDA"/>
    <w:rsid w:val="003A5302"/>
    <w:rsid w:val="003A7209"/>
    <w:rsid w:val="003B100C"/>
    <w:rsid w:val="003C0615"/>
    <w:rsid w:val="003C5B55"/>
    <w:rsid w:val="003C5D0D"/>
    <w:rsid w:val="003C6506"/>
    <w:rsid w:val="003D4B59"/>
    <w:rsid w:val="003D5173"/>
    <w:rsid w:val="003D57CA"/>
    <w:rsid w:val="003D5B64"/>
    <w:rsid w:val="003E2DDC"/>
    <w:rsid w:val="003E6188"/>
    <w:rsid w:val="003E66C5"/>
    <w:rsid w:val="003F276D"/>
    <w:rsid w:val="003F3641"/>
    <w:rsid w:val="003F3F6C"/>
    <w:rsid w:val="003F42FB"/>
    <w:rsid w:val="003F5DBD"/>
    <w:rsid w:val="00401008"/>
    <w:rsid w:val="004016A8"/>
    <w:rsid w:val="0040339F"/>
    <w:rsid w:val="00404937"/>
    <w:rsid w:val="004064BF"/>
    <w:rsid w:val="004108CB"/>
    <w:rsid w:val="004123AB"/>
    <w:rsid w:val="00414712"/>
    <w:rsid w:val="0041524B"/>
    <w:rsid w:val="00416F05"/>
    <w:rsid w:val="004248A1"/>
    <w:rsid w:val="0042558A"/>
    <w:rsid w:val="00433009"/>
    <w:rsid w:val="00434A29"/>
    <w:rsid w:val="00437322"/>
    <w:rsid w:val="00440425"/>
    <w:rsid w:val="00445F75"/>
    <w:rsid w:val="00446A92"/>
    <w:rsid w:val="00446CFB"/>
    <w:rsid w:val="00450963"/>
    <w:rsid w:val="00450F6C"/>
    <w:rsid w:val="004511A4"/>
    <w:rsid w:val="00451B02"/>
    <w:rsid w:val="00451CBC"/>
    <w:rsid w:val="004541B8"/>
    <w:rsid w:val="00457844"/>
    <w:rsid w:val="00466224"/>
    <w:rsid w:val="00466EA3"/>
    <w:rsid w:val="00473732"/>
    <w:rsid w:val="00473C3A"/>
    <w:rsid w:val="004744A1"/>
    <w:rsid w:val="00474AA6"/>
    <w:rsid w:val="00477A81"/>
    <w:rsid w:val="00485534"/>
    <w:rsid w:val="00485B65"/>
    <w:rsid w:val="00485D09"/>
    <w:rsid w:val="0048627E"/>
    <w:rsid w:val="0048724B"/>
    <w:rsid w:val="00487F08"/>
    <w:rsid w:val="004901FA"/>
    <w:rsid w:val="00491FF3"/>
    <w:rsid w:val="00492584"/>
    <w:rsid w:val="004925E9"/>
    <w:rsid w:val="00492817"/>
    <w:rsid w:val="004A1688"/>
    <w:rsid w:val="004A1C68"/>
    <w:rsid w:val="004A3A08"/>
    <w:rsid w:val="004A58E6"/>
    <w:rsid w:val="004B09B7"/>
    <w:rsid w:val="004B0D75"/>
    <w:rsid w:val="004B521D"/>
    <w:rsid w:val="004B5CC9"/>
    <w:rsid w:val="004B6EC3"/>
    <w:rsid w:val="004C0A4C"/>
    <w:rsid w:val="004C3203"/>
    <w:rsid w:val="004C55F0"/>
    <w:rsid w:val="004C5FDC"/>
    <w:rsid w:val="004C621B"/>
    <w:rsid w:val="004D0B28"/>
    <w:rsid w:val="004D5765"/>
    <w:rsid w:val="004E24F3"/>
    <w:rsid w:val="004E55CB"/>
    <w:rsid w:val="004E5877"/>
    <w:rsid w:val="004E7929"/>
    <w:rsid w:val="004F384F"/>
    <w:rsid w:val="004F6999"/>
    <w:rsid w:val="004F7E3C"/>
    <w:rsid w:val="005002FF"/>
    <w:rsid w:val="0050313F"/>
    <w:rsid w:val="005043B1"/>
    <w:rsid w:val="005116A3"/>
    <w:rsid w:val="00511ECE"/>
    <w:rsid w:val="0051239F"/>
    <w:rsid w:val="00512D7F"/>
    <w:rsid w:val="00514C97"/>
    <w:rsid w:val="00514FFB"/>
    <w:rsid w:val="00515AB3"/>
    <w:rsid w:val="00516E87"/>
    <w:rsid w:val="00517C6C"/>
    <w:rsid w:val="00522588"/>
    <w:rsid w:val="005242B6"/>
    <w:rsid w:val="005245A1"/>
    <w:rsid w:val="00525544"/>
    <w:rsid w:val="0052666B"/>
    <w:rsid w:val="005268F8"/>
    <w:rsid w:val="00526A77"/>
    <w:rsid w:val="00527CBD"/>
    <w:rsid w:val="00533F9D"/>
    <w:rsid w:val="00540FA3"/>
    <w:rsid w:val="00543A68"/>
    <w:rsid w:val="00544429"/>
    <w:rsid w:val="005475EF"/>
    <w:rsid w:val="0055068F"/>
    <w:rsid w:val="0055450E"/>
    <w:rsid w:val="00554EC5"/>
    <w:rsid w:val="00556372"/>
    <w:rsid w:val="005574AF"/>
    <w:rsid w:val="00560A23"/>
    <w:rsid w:val="00560F61"/>
    <w:rsid w:val="005613B1"/>
    <w:rsid w:val="00561C9F"/>
    <w:rsid w:val="00561D72"/>
    <w:rsid w:val="00572C64"/>
    <w:rsid w:val="00577B57"/>
    <w:rsid w:val="00580A74"/>
    <w:rsid w:val="00582918"/>
    <w:rsid w:val="00582A35"/>
    <w:rsid w:val="0058408A"/>
    <w:rsid w:val="00586B8D"/>
    <w:rsid w:val="00586CB4"/>
    <w:rsid w:val="00591C72"/>
    <w:rsid w:val="0059461A"/>
    <w:rsid w:val="00595183"/>
    <w:rsid w:val="005956FD"/>
    <w:rsid w:val="005971AB"/>
    <w:rsid w:val="005A1A1C"/>
    <w:rsid w:val="005A27AF"/>
    <w:rsid w:val="005A4E7C"/>
    <w:rsid w:val="005A7CD0"/>
    <w:rsid w:val="005A7FC2"/>
    <w:rsid w:val="005B0FEA"/>
    <w:rsid w:val="005B2965"/>
    <w:rsid w:val="005B2EA4"/>
    <w:rsid w:val="005B58C7"/>
    <w:rsid w:val="005D1082"/>
    <w:rsid w:val="005D77D4"/>
    <w:rsid w:val="005D795F"/>
    <w:rsid w:val="005D7E3C"/>
    <w:rsid w:val="005D7ECD"/>
    <w:rsid w:val="005E2361"/>
    <w:rsid w:val="005E395C"/>
    <w:rsid w:val="005E4091"/>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3F95"/>
    <w:rsid w:val="0066688B"/>
    <w:rsid w:val="00666D9C"/>
    <w:rsid w:val="00670DF2"/>
    <w:rsid w:val="00670E49"/>
    <w:rsid w:val="006735A6"/>
    <w:rsid w:val="00674BC5"/>
    <w:rsid w:val="0067533E"/>
    <w:rsid w:val="00676470"/>
    <w:rsid w:val="00676C92"/>
    <w:rsid w:val="00676F56"/>
    <w:rsid w:val="006770B2"/>
    <w:rsid w:val="00677F5B"/>
    <w:rsid w:val="00680A09"/>
    <w:rsid w:val="006842F9"/>
    <w:rsid w:val="00691F27"/>
    <w:rsid w:val="006922C2"/>
    <w:rsid w:val="00693389"/>
    <w:rsid w:val="00694D34"/>
    <w:rsid w:val="00696A8F"/>
    <w:rsid w:val="006A198C"/>
    <w:rsid w:val="006A335A"/>
    <w:rsid w:val="006A5A14"/>
    <w:rsid w:val="006A6867"/>
    <w:rsid w:val="006B2664"/>
    <w:rsid w:val="006C5E57"/>
    <w:rsid w:val="006C7DFF"/>
    <w:rsid w:val="006D4BC9"/>
    <w:rsid w:val="006D5D34"/>
    <w:rsid w:val="006E529E"/>
    <w:rsid w:val="006E7389"/>
    <w:rsid w:val="006E7511"/>
    <w:rsid w:val="006F25AC"/>
    <w:rsid w:val="006F27AB"/>
    <w:rsid w:val="006F40F8"/>
    <w:rsid w:val="006F4754"/>
    <w:rsid w:val="006F60BD"/>
    <w:rsid w:val="006F743A"/>
    <w:rsid w:val="006F74B3"/>
    <w:rsid w:val="006F78A9"/>
    <w:rsid w:val="00701685"/>
    <w:rsid w:val="007064D8"/>
    <w:rsid w:val="00706EE2"/>
    <w:rsid w:val="00707D55"/>
    <w:rsid w:val="00711B99"/>
    <w:rsid w:val="00711BAC"/>
    <w:rsid w:val="00712FC9"/>
    <w:rsid w:val="00716185"/>
    <w:rsid w:val="0071700F"/>
    <w:rsid w:val="00723D1F"/>
    <w:rsid w:val="0072422E"/>
    <w:rsid w:val="007250EE"/>
    <w:rsid w:val="00730546"/>
    <w:rsid w:val="00740BE2"/>
    <w:rsid w:val="0074373E"/>
    <w:rsid w:val="00744A3B"/>
    <w:rsid w:val="007501AD"/>
    <w:rsid w:val="007533EC"/>
    <w:rsid w:val="00757A53"/>
    <w:rsid w:val="00760E22"/>
    <w:rsid w:val="00760FE1"/>
    <w:rsid w:val="0076186F"/>
    <w:rsid w:val="00763662"/>
    <w:rsid w:val="00764691"/>
    <w:rsid w:val="00764BC2"/>
    <w:rsid w:val="007708F2"/>
    <w:rsid w:val="00772797"/>
    <w:rsid w:val="00772A21"/>
    <w:rsid w:val="00773DB5"/>
    <w:rsid w:val="0077618B"/>
    <w:rsid w:val="00780D2E"/>
    <w:rsid w:val="00781C60"/>
    <w:rsid w:val="00782E5D"/>
    <w:rsid w:val="00785928"/>
    <w:rsid w:val="00797EEB"/>
    <w:rsid w:val="007A00B6"/>
    <w:rsid w:val="007A270A"/>
    <w:rsid w:val="007A5B90"/>
    <w:rsid w:val="007A7A43"/>
    <w:rsid w:val="007B13C8"/>
    <w:rsid w:val="007B2331"/>
    <w:rsid w:val="007B27EC"/>
    <w:rsid w:val="007B5266"/>
    <w:rsid w:val="007B53FE"/>
    <w:rsid w:val="007C57FF"/>
    <w:rsid w:val="007D04AC"/>
    <w:rsid w:val="007D273E"/>
    <w:rsid w:val="007D2E6D"/>
    <w:rsid w:val="007D3863"/>
    <w:rsid w:val="007D41F4"/>
    <w:rsid w:val="007D5ADE"/>
    <w:rsid w:val="007D5EF9"/>
    <w:rsid w:val="007D6B77"/>
    <w:rsid w:val="007E3862"/>
    <w:rsid w:val="007E4645"/>
    <w:rsid w:val="007E52D1"/>
    <w:rsid w:val="007F16B4"/>
    <w:rsid w:val="007F3B8F"/>
    <w:rsid w:val="007F4633"/>
    <w:rsid w:val="007F5E7D"/>
    <w:rsid w:val="007F6AC7"/>
    <w:rsid w:val="007F78E9"/>
    <w:rsid w:val="0080155A"/>
    <w:rsid w:val="0080263C"/>
    <w:rsid w:val="00802BE5"/>
    <w:rsid w:val="0080446F"/>
    <w:rsid w:val="00805EA6"/>
    <w:rsid w:val="008060FB"/>
    <w:rsid w:val="0080753A"/>
    <w:rsid w:val="0081416F"/>
    <w:rsid w:val="008173F4"/>
    <w:rsid w:val="0081773E"/>
    <w:rsid w:val="00823056"/>
    <w:rsid w:val="00823615"/>
    <w:rsid w:val="0082427F"/>
    <w:rsid w:val="008248D4"/>
    <w:rsid w:val="00825FAD"/>
    <w:rsid w:val="00827C91"/>
    <w:rsid w:val="00834657"/>
    <w:rsid w:val="00836CDB"/>
    <w:rsid w:val="00837FFE"/>
    <w:rsid w:val="00841547"/>
    <w:rsid w:val="00843A8F"/>
    <w:rsid w:val="00843BFC"/>
    <w:rsid w:val="00851E44"/>
    <w:rsid w:val="00853B7B"/>
    <w:rsid w:val="008546E3"/>
    <w:rsid w:val="008564E9"/>
    <w:rsid w:val="0086054C"/>
    <w:rsid w:val="008614FF"/>
    <w:rsid w:val="00861BDC"/>
    <w:rsid w:val="008638E5"/>
    <w:rsid w:val="00864644"/>
    <w:rsid w:val="0087027C"/>
    <w:rsid w:val="008742B1"/>
    <w:rsid w:val="00874A5E"/>
    <w:rsid w:val="00876C07"/>
    <w:rsid w:val="008827C8"/>
    <w:rsid w:val="00883AAA"/>
    <w:rsid w:val="008842B2"/>
    <w:rsid w:val="008851D5"/>
    <w:rsid w:val="00886A39"/>
    <w:rsid w:val="0089086E"/>
    <w:rsid w:val="00891D95"/>
    <w:rsid w:val="00894E71"/>
    <w:rsid w:val="008955A5"/>
    <w:rsid w:val="008963D0"/>
    <w:rsid w:val="008A0E42"/>
    <w:rsid w:val="008A1B8E"/>
    <w:rsid w:val="008A2762"/>
    <w:rsid w:val="008A2B87"/>
    <w:rsid w:val="008A39B6"/>
    <w:rsid w:val="008A3BB1"/>
    <w:rsid w:val="008A4177"/>
    <w:rsid w:val="008A71CF"/>
    <w:rsid w:val="008B223A"/>
    <w:rsid w:val="008B26BB"/>
    <w:rsid w:val="008B6706"/>
    <w:rsid w:val="008C1F35"/>
    <w:rsid w:val="008C2907"/>
    <w:rsid w:val="008C4DB9"/>
    <w:rsid w:val="008D4A2A"/>
    <w:rsid w:val="008E07B0"/>
    <w:rsid w:val="008E427E"/>
    <w:rsid w:val="008E42BF"/>
    <w:rsid w:val="008E42FE"/>
    <w:rsid w:val="008E557D"/>
    <w:rsid w:val="008E5AF5"/>
    <w:rsid w:val="008F2434"/>
    <w:rsid w:val="008F71EA"/>
    <w:rsid w:val="00904B3C"/>
    <w:rsid w:val="00905662"/>
    <w:rsid w:val="00910875"/>
    <w:rsid w:val="00914C19"/>
    <w:rsid w:val="00915BC4"/>
    <w:rsid w:val="00917C2D"/>
    <w:rsid w:val="00917DD7"/>
    <w:rsid w:val="00921C22"/>
    <w:rsid w:val="009225C3"/>
    <w:rsid w:val="00924EDC"/>
    <w:rsid w:val="00930089"/>
    <w:rsid w:val="009310C3"/>
    <w:rsid w:val="00932558"/>
    <w:rsid w:val="00933FA0"/>
    <w:rsid w:val="00941CB2"/>
    <w:rsid w:val="00942F48"/>
    <w:rsid w:val="00945B97"/>
    <w:rsid w:val="0095205F"/>
    <w:rsid w:val="009537C5"/>
    <w:rsid w:val="0095627E"/>
    <w:rsid w:val="00956838"/>
    <w:rsid w:val="00956A63"/>
    <w:rsid w:val="00957317"/>
    <w:rsid w:val="00957D02"/>
    <w:rsid w:val="00961071"/>
    <w:rsid w:val="0096286C"/>
    <w:rsid w:val="00963397"/>
    <w:rsid w:val="0096450F"/>
    <w:rsid w:val="0096697B"/>
    <w:rsid w:val="00967159"/>
    <w:rsid w:val="00967900"/>
    <w:rsid w:val="0097308D"/>
    <w:rsid w:val="00977DC6"/>
    <w:rsid w:val="00977F4E"/>
    <w:rsid w:val="00980628"/>
    <w:rsid w:val="00980D20"/>
    <w:rsid w:val="009846B7"/>
    <w:rsid w:val="00986A61"/>
    <w:rsid w:val="00992082"/>
    <w:rsid w:val="00995547"/>
    <w:rsid w:val="009A23E8"/>
    <w:rsid w:val="009A38CE"/>
    <w:rsid w:val="009A3A0F"/>
    <w:rsid w:val="009A6E5C"/>
    <w:rsid w:val="009B0C9B"/>
    <w:rsid w:val="009B755D"/>
    <w:rsid w:val="009B788A"/>
    <w:rsid w:val="009C004A"/>
    <w:rsid w:val="009C236F"/>
    <w:rsid w:val="009C47AF"/>
    <w:rsid w:val="009C5663"/>
    <w:rsid w:val="009D2A51"/>
    <w:rsid w:val="009D5EDE"/>
    <w:rsid w:val="009D6601"/>
    <w:rsid w:val="009E0D9D"/>
    <w:rsid w:val="009E3196"/>
    <w:rsid w:val="009E38C0"/>
    <w:rsid w:val="009E5D55"/>
    <w:rsid w:val="009E5E43"/>
    <w:rsid w:val="009E63D6"/>
    <w:rsid w:val="009E6935"/>
    <w:rsid w:val="009E6E96"/>
    <w:rsid w:val="009F0F4F"/>
    <w:rsid w:val="009F18BA"/>
    <w:rsid w:val="009F1B69"/>
    <w:rsid w:val="009F7551"/>
    <w:rsid w:val="00A00471"/>
    <w:rsid w:val="00A028AD"/>
    <w:rsid w:val="00A032EA"/>
    <w:rsid w:val="00A0464C"/>
    <w:rsid w:val="00A0767C"/>
    <w:rsid w:val="00A106B4"/>
    <w:rsid w:val="00A1231D"/>
    <w:rsid w:val="00A145CA"/>
    <w:rsid w:val="00A17965"/>
    <w:rsid w:val="00A22B92"/>
    <w:rsid w:val="00A22C21"/>
    <w:rsid w:val="00A23EF4"/>
    <w:rsid w:val="00A3240B"/>
    <w:rsid w:val="00A32EEA"/>
    <w:rsid w:val="00A3367B"/>
    <w:rsid w:val="00A34208"/>
    <w:rsid w:val="00A34905"/>
    <w:rsid w:val="00A379E4"/>
    <w:rsid w:val="00A43D28"/>
    <w:rsid w:val="00A4400D"/>
    <w:rsid w:val="00A456DD"/>
    <w:rsid w:val="00A46C91"/>
    <w:rsid w:val="00A51D9F"/>
    <w:rsid w:val="00A53663"/>
    <w:rsid w:val="00A56ED6"/>
    <w:rsid w:val="00A60077"/>
    <w:rsid w:val="00A60401"/>
    <w:rsid w:val="00A62F42"/>
    <w:rsid w:val="00A700FF"/>
    <w:rsid w:val="00A74D2C"/>
    <w:rsid w:val="00A76204"/>
    <w:rsid w:val="00A777D2"/>
    <w:rsid w:val="00A77C6F"/>
    <w:rsid w:val="00A8263B"/>
    <w:rsid w:val="00A83ED5"/>
    <w:rsid w:val="00A86628"/>
    <w:rsid w:val="00A86658"/>
    <w:rsid w:val="00A92CE2"/>
    <w:rsid w:val="00A93DB5"/>
    <w:rsid w:val="00A94EDE"/>
    <w:rsid w:val="00A952D8"/>
    <w:rsid w:val="00AA0F6E"/>
    <w:rsid w:val="00AA716B"/>
    <w:rsid w:val="00AB0AEB"/>
    <w:rsid w:val="00AB30BC"/>
    <w:rsid w:val="00AB4DD5"/>
    <w:rsid w:val="00AB50C0"/>
    <w:rsid w:val="00AB635F"/>
    <w:rsid w:val="00AC0E50"/>
    <w:rsid w:val="00AC35EC"/>
    <w:rsid w:val="00AC5379"/>
    <w:rsid w:val="00AC7641"/>
    <w:rsid w:val="00AD0E5A"/>
    <w:rsid w:val="00AD4AC6"/>
    <w:rsid w:val="00AD71D9"/>
    <w:rsid w:val="00AD733C"/>
    <w:rsid w:val="00AD7B08"/>
    <w:rsid w:val="00AE0C5E"/>
    <w:rsid w:val="00AE2064"/>
    <w:rsid w:val="00AE4D6C"/>
    <w:rsid w:val="00AE6E20"/>
    <w:rsid w:val="00AF00E0"/>
    <w:rsid w:val="00AF064A"/>
    <w:rsid w:val="00AF0F51"/>
    <w:rsid w:val="00AF1DA0"/>
    <w:rsid w:val="00AF3032"/>
    <w:rsid w:val="00AF4DBE"/>
    <w:rsid w:val="00AF59F9"/>
    <w:rsid w:val="00AF6F4A"/>
    <w:rsid w:val="00B03712"/>
    <w:rsid w:val="00B045B7"/>
    <w:rsid w:val="00B046D2"/>
    <w:rsid w:val="00B04D5A"/>
    <w:rsid w:val="00B04F57"/>
    <w:rsid w:val="00B05753"/>
    <w:rsid w:val="00B07F43"/>
    <w:rsid w:val="00B110F1"/>
    <w:rsid w:val="00B139AD"/>
    <w:rsid w:val="00B16E8C"/>
    <w:rsid w:val="00B20B62"/>
    <w:rsid w:val="00B21DE8"/>
    <w:rsid w:val="00B244D7"/>
    <w:rsid w:val="00B266B7"/>
    <w:rsid w:val="00B30D05"/>
    <w:rsid w:val="00B33D2A"/>
    <w:rsid w:val="00B34E11"/>
    <w:rsid w:val="00B36171"/>
    <w:rsid w:val="00B36694"/>
    <w:rsid w:val="00B36F9E"/>
    <w:rsid w:val="00B42CAC"/>
    <w:rsid w:val="00B42CD7"/>
    <w:rsid w:val="00B43D4E"/>
    <w:rsid w:val="00B45AF1"/>
    <w:rsid w:val="00B45F42"/>
    <w:rsid w:val="00B47022"/>
    <w:rsid w:val="00B50D3A"/>
    <w:rsid w:val="00B52DFA"/>
    <w:rsid w:val="00B53B36"/>
    <w:rsid w:val="00B567C3"/>
    <w:rsid w:val="00B60675"/>
    <w:rsid w:val="00B62DFE"/>
    <w:rsid w:val="00B64C6C"/>
    <w:rsid w:val="00B65B75"/>
    <w:rsid w:val="00B668C7"/>
    <w:rsid w:val="00B67DBE"/>
    <w:rsid w:val="00B71232"/>
    <w:rsid w:val="00B73C4D"/>
    <w:rsid w:val="00B766FE"/>
    <w:rsid w:val="00B815A0"/>
    <w:rsid w:val="00B85218"/>
    <w:rsid w:val="00B87B63"/>
    <w:rsid w:val="00B906E2"/>
    <w:rsid w:val="00B91036"/>
    <w:rsid w:val="00B9142B"/>
    <w:rsid w:val="00B93E03"/>
    <w:rsid w:val="00B94FBF"/>
    <w:rsid w:val="00B97428"/>
    <w:rsid w:val="00B97F39"/>
    <w:rsid w:val="00BA1EAC"/>
    <w:rsid w:val="00BA4E7B"/>
    <w:rsid w:val="00BA7B5A"/>
    <w:rsid w:val="00BB29D3"/>
    <w:rsid w:val="00BB320E"/>
    <w:rsid w:val="00BB6903"/>
    <w:rsid w:val="00BB6A76"/>
    <w:rsid w:val="00BC03BB"/>
    <w:rsid w:val="00BC0A08"/>
    <w:rsid w:val="00BC51C7"/>
    <w:rsid w:val="00BC5A19"/>
    <w:rsid w:val="00BD2DC1"/>
    <w:rsid w:val="00BD6372"/>
    <w:rsid w:val="00BE5471"/>
    <w:rsid w:val="00BE5AF4"/>
    <w:rsid w:val="00BF06AE"/>
    <w:rsid w:val="00BF17AA"/>
    <w:rsid w:val="00BF2806"/>
    <w:rsid w:val="00BF2FCE"/>
    <w:rsid w:val="00BF418E"/>
    <w:rsid w:val="00BF43BB"/>
    <w:rsid w:val="00BF7F5B"/>
    <w:rsid w:val="00C02211"/>
    <w:rsid w:val="00C04422"/>
    <w:rsid w:val="00C04691"/>
    <w:rsid w:val="00C04DFA"/>
    <w:rsid w:val="00C05706"/>
    <w:rsid w:val="00C06A19"/>
    <w:rsid w:val="00C072C4"/>
    <w:rsid w:val="00C10532"/>
    <w:rsid w:val="00C10DF1"/>
    <w:rsid w:val="00C26E3E"/>
    <w:rsid w:val="00C27078"/>
    <w:rsid w:val="00C274AC"/>
    <w:rsid w:val="00C34437"/>
    <w:rsid w:val="00C34E05"/>
    <w:rsid w:val="00C34E85"/>
    <w:rsid w:val="00C35700"/>
    <w:rsid w:val="00C358D2"/>
    <w:rsid w:val="00C46DE8"/>
    <w:rsid w:val="00C513D1"/>
    <w:rsid w:val="00C5156A"/>
    <w:rsid w:val="00C53F4E"/>
    <w:rsid w:val="00C55F02"/>
    <w:rsid w:val="00C569B1"/>
    <w:rsid w:val="00C57085"/>
    <w:rsid w:val="00C627F0"/>
    <w:rsid w:val="00C66C73"/>
    <w:rsid w:val="00C66DC7"/>
    <w:rsid w:val="00C726B4"/>
    <w:rsid w:val="00C73DF4"/>
    <w:rsid w:val="00C7414F"/>
    <w:rsid w:val="00C7457B"/>
    <w:rsid w:val="00C82E81"/>
    <w:rsid w:val="00C838BC"/>
    <w:rsid w:val="00C83D06"/>
    <w:rsid w:val="00C85157"/>
    <w:rsid w:val="00C929C5"/>
    <w:rsid w:val="00C96C30"/>
    <w:rsid w:val="00CA021B"/>
    <w:rsid w:val="00CA12A8"/>
    <w:rsid w:val="00CA392E"/>
    <w:rsid w:val="00CA3E42"/>
    <w:rsid w:val="00CA4425"/>
    <w:rsid w:val="00CA4916"/>
    <w:rsid w:val="00CB0469"/>
    <w:rsid w:val="00CB144A"/>
    <w:rsid w:val="00CB19AF"/>
    <w:rsid w:val="00CB28AA"/>
    <w:rsid w:val="00CB35D8"/>
    <w:rsid w:val="00CB79A6"/>
    <w:rsid w:val="00CC3C88"/>
    <w:rsid w:val="00CC7F0B"/>
    <w:rsid w:val="00CD0616"/>
    <w:rsid w:val="00CD1741"/>
    <w:rsid w:val="00CD18AD"/>
    <w:rsid w:val="00CD2482"/>
    <w:rsid w:val="00CD2996"/>
    <w:rsid w:val="00CD58A9"/>
    <w:rsid w:val="00CD7726"/>
    <w:rsid w:val="00CE2AF4"/>
    <w:rsid w:val="00CE6205"/>
    <w:rsid w:val="00CF27EB"/>
    <w:rsid w:val="00CF38ED"/>
    <w:rsid w:val="00D00F9F"/>
    <w:rsid w:val="00D02083"/>
    <w:rsid w:val="00D03745"/>
    <w:rsid w:val="00D11A76"/>
    <w:rsid w:val="00D12846"/>
    <w:rsid w:val="00D13502"/>
    <w:rsid w:val="00D15621"/>
    <w:rsid w:val="00D15865"/>
    <w:rsid w:val="00D16A5A"/>
    <w:rsid w:val="00D27AE2"/>
    <w:rsid w:val="00D3134C"/>
    <w:rsid w:val="00D338EF"/>
    <w:rsid w:val="00D35070"/>
    <w:rsid w:val="00D3599A"/>
    <w:rsid w:val="00D36C44"/>
    <w:rsid w:val="00D4138C"/>
    <w:rsid w:val="00D44441"/>
    <w:rsid w:val="00D51AA3"/>
    <w:rsid w:val="00D53C96"/>
    <w:rsid w:val="00D54012"/>
    <w:rsid w:val="00D6350C"/>
    <w:rsid w:val="00D63F38"/>
    <w:rsid w:val="00D727C4"/>
    <w:rsid w:val="00D75F46"/>
    <w:rsid w:val="00D77DDB"/>
    <w:rsid w:val="00D82C6B"/>
    <w:rsid w:val="00D86074"/>
    <w:rsid w:val="00D87583"/>
    <w:rsid w:val="00D8762E"/>
    <w:rsid w:val="00D876BB"/>
    <w:rsid w:val="00D9030C"/>
    <w:rsid w:val="00D91562"/>
    <w:rsid w:val="00D92EF7"/>
    <w:rsid w:val="00D942D1"/>
    <w:rsid w:val="00D95A43"/>
    <w:rsid w:val="00D95B71"/>
    <w:rsid w:val="00D964E8"/>
    <w:rsid w:val="00D97A0D"/>
    <w:rsid w:val="00DA4090"/>
    <w:rsid w:val="00DA4371"/>
    <w:rsid w:val="00DA589C"/>
    <w:rsid w:val="00DA6943"/>
    <w:rsid w:val="00DB04A5"/>
    <w:rsid w:val="00DB1C94"/>
    <w:rsid w:val="00DB2D25"/>
    <w:rsid w:val="00DB3895"/>
    <w:rsid w:val="00DB3F9C"/>
    <w:rsid w:val="00DB669F"/>
    <w:rsid w:val="00DB7AA5"/>
    <w:rsid w:val="00DB7EA8"/>
    <w:rsid w:val="00DB7F2F"/>
    <w:rsid w:val="00DC2184"/>
    <w:rsid w:val="00DC34E7"/>
    <w:rsid w:val="00DC352F"/>
    <w:rsid w:val="00DC4410"/>
    <w:rsid w:val="00DD11B1"/>
    <w:rsid w:val="00DD60F3"/>
    <w:rsid w:val="00DE0760"/>
    <w:rsid w:val="00DE139D"/>
    <w:rsid w:val="00DE2459"/>
    <w:rsid w:val="00DE3509"/>
    <w:rsid w:val="00DE42B9"/>
    <w:rsid w:val="00DE4CBD"/>
    <w:rsid w:val="00DE7B09"/>
    <w:rsid w:val="00DF0DCC"/>
    <w:rsid w:val="00DF21A0"/>
    <w:rsid w:val="00DF26B4"/>
    <w:rsid w:val="00DF33B0"/>
    <w:rsid w:val="00DF382E"/>
    <w:rsid w:val="00DF3A14"/>
    <w:rsid w:val="00DF75E6"/>
    <w:rsid w:val="00E00150"/>
    <w:rsid w:val="00E02777"/>
    <w:rsid w:val="00E02833"/>
    <w:rsid w:val="00E04B12"/>
    <w:rsid w:val="00E06C2F"/>
    <w:rsid w:val="00E1073B"/>
    <w:rsid w:val="00E10B39"/>
    <w:rsid w:val="00E11D36"/>
    <w:rsid w:val="00E154DE"/>
    <w:rsid w:val="00E15CE1"/>
    <w:rsid w:val="00E16DA2"/>
    <w:rsid w:val="00E171E4"/>
    <w:rsid w:val="00E223EA"/>
    <w:rsid w:val="00E23F1C"/>
    <w:rsid w:val="00E25B7D"/>
    <w:rsid w:val="00E377E5"/>
    <w:rsid w:val="00E4189A"/>
    <w:rsid w:val="00E42FA3"/>
    <w:rsid w:val="00E43587"/>
    <w:rsid w:val="00E43B1C"/>
    <w:rsid w:val="00E45E16"/>
    <w:rsid w:val="00E46D1D"/>
    <w:rsid w:val="00E46F0A"/>
    <w:rsid w:val="00E5030E"/>
    <w:rsid w:val="00E50A4E"/>
    <w:rsid w:val="00E51A63"/>
    <w:rsid w:val="00E5291F"/>
    <w:rsid w:val="00E54378"/>
    <w:rsid w:val="00E55439"/>
    <w:rsid w:val="00E571B1"/>
    <w:rsid w:val="00E57747"/>
    <w:rsid w:val="00E60507"/>
    <w:rsid w:val="00E63E52"/>
    <w:rsid w:val="00E707B8"/>
    <w:rsid w:val="00E73E6E"/>
    <w:rsid w:val="00E77F1D"/>
    <w:rsid w:val="00E80301"/>
    <w:rsid w:val="00E819DF"/>
    <w:rsid w:val="00E8256A"/>
    <w:rsid w:val="00E841DC"/>
    <w:rsid w:val="00E900F4"/>
    <w:rsid w:val="00E9423A"/>
    <w:rsid w:val="00E944C7"/>
    <w:rsid w:val="00E962E3"/>
    <w:rsid w:val="00E97A7D"/>
    <w:rsid w:val="00EA0469"/>
    <w:rsid w:val="00EA186E"/>
    <w:rsid w:val="00EA1DF1"/>
    <w:rsid w:val="00EA2250"/>
    <w:rsid w:val="00EB0301"/>
    <w:rsid w:val="00EB12F9"/>
    <w:rsid w:val="00EB1E40"/>
    <w:rsid w:val="00EB3BDE"/>
    <w:rsid w:val="00EB5ABD"/>
    <w:rsid w:val="00EB5D99"/>
    <w:rsid w:val="00EB5ED3"/>
    <w:rsid w:val="00EC0B42"/>
    <w:rsid w:val="00EC21F2"/>
    <w:rsid w:val="00EC2385"/>
    <w:rsid w:val="00EC2C3E"/>
    <w:rsid w:val="00EC56A9"/>
    <w:rsid w:val="00EC639A"/>
    <w:rsid w:val="00EC6E03"/>
    <w:rsid w:val="00EC7C06"/>
    <w:rsid w:val="00ED1EC7"/>
    <w:rsid w:val="00ED359B"/>
    <w:rsid w:val="00ED3FD4"/>
    <w:rsid w:val="00EE0B51"/>
    <w:rsid w:val="00EE7B9A"/>
    <w:rsid w:val="00EF40FC"/>
    <w:rsid w:val="00EF4583"/>
    <w:rsid w:val="00EF499B"/>
    <w:rsid w:val="00EF5ABD"/>
    <w:rsid w:val="00EF6269"/>
    <w:rsid w:val="00EF6C11"/>
    <w:rsid w:val="00F00872"/>
    <w:rsid w:val="00F05ECC"/>
    <w:rsid w:val="00F06A69"/>
    <w:rsid w:val="00F1185E"/>
    <w:rsid w:val="00F15F89"/>
    <w:rsid w:val="00F178F6"/>
    <w:rsid w:val="00F17FAA"/>
    <w:rsid w:val="00F209F9"/>
    <w:rsid w:val="00F21D36"/>
    <w:rsid w:val="00F2377D"/>
    <w:rsid w:val="00F251D5"/>
    <w:rsid w:val="00F2653C"/>
    <w:rsid w:val="00F30C4C"/>
    <w:rsid w:val="00F357A1"/>
    <w:rsid w:val="00F47F83"/>
    <w:rsid w:val="00F50872"/>
    <w:rsid w:val="00F539A3"/>
    <w:rsid w:val="00F54235"/>
    <w:rsid w:val="00F60961"/>
    <w:rsid w:val="00F64599"/>
    <w:rsid w:val="00F64C16"/>
    <w:rsid w:val="00F71B01"/>
    <w:rsid w:val="00F733F8"/>
    <w:rsid w:val="00F7525E"/>
    <w:rsid w:val="00F75757"/>
    <w:rsid w:val="00F77128"/>
    <w:rsid w:val="00F77C0E"/>
    <w:rsid w:val="00F77F6B"/>
    <w:rsid w:val="00F81887"/>
    <w:rsid w:val="00F82E57"/>
    <w:rsid w:val="00F8535C"/>
    <w:rsid w:val="00F85EF1"/>
    <w:rsid w:val="00F909C7"/>
    <w:rsid w:val="00F91B0D"/>
    <w:rsid w:val="00F96047"/>
    <w:rsid w:val="00FA035A"/>
    <w:rsid w:val="00FA4218"/>
    <w:rsid w:val="00FA50E0"/>
    <w:rsid w:val="00FA7F3A"/>
    <w:rsid w:val="00FB31DB"/>
    <w:rsid w:val="00FC00ED"/>
    <w:rsid w:val="00FC06D1"/>
    <w:rsid w:val="00FC358D"/>
    <w:rsid w:val="00FC43D9"/>
    <w:rsid w:val="00FD13E4"/>
    <w:rsid w:val="00FD3210"/>
    <w:rsid w:val="00FD442F"/>
    <w:rsid w:val="00FD779E"/>
    <w:rsid w:val="00FD7815"/>
    <w:rsid w:val="00FD7BB1"/>
    <w:rsid w:val="00FE3B48"/>
    <w:rsid w:val="00FE3C47"/>
    <w:rsid w:val="00FE40F2"/>
    <w:rsid w:val="00FE7966"/>
    <w:rsid w:val="00FF092D"/>
    <w:rsid w:val="00FF3196"/>
    <w:rsid w:val="00FF3CA4"/>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dx.co.id" TargetMode="Externa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60F5C60E-FD3D-4646-A606-CA7FB3119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6113</Words>
  <Characters>34849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40881</CharactersWithSpaces>
  <SharedDoc>false</SharedDoc>
  <HLinks>
    <vt:vector size="6" baseType="variant">
      <vt:variant>
        <vt:i4>2490384</vt:i4>
      </vt:variant>
      <vt:variant>
        <vt:i4>0</vt:i4>
      </vt:variant>
      <vt:variant>
        <vt:i4>0</vt:i4>
      </vt:variant>
      <vt:variant>
        <vt:i4>5</vt:i4>
      </vt:variant>
      <vt:variant>
        <vt:lpwstr>mailto:launada49@gmail.com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ismail - [2010]</cp:lastModifiedBy>
  <cp:revision>2</cp:revision>
  <cp:lastPrinted>2023-10-13T22:55:00Z</cp:lastPrinted>
  <dcterms:created xsi:type="dcterms:W3CDTF">2023-10-24T20:56:00Z</dcterms:created>
  <dcterms:modified xsi:type="dcterms:W3CDTF">2023-10-24T20:56:00Z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e6cd85e3-fb55-3454-85a7-23fae7524996</vt:lpwstr>
  </property>
  <property fmtid="{D5CDD505-2E9C-101B-9397-08002B2CF9AE}" pid="24" name="Mendeley Citation Style_1">
    <vt:lpwstr>http://www.zotero.org/styles/apa</vt:lpwstr>
  </property>
</Properties>
</file>