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2D88" w14:textId="5E505006" w:rsidR="00155CF4" w:rsidRDefault="003A4F1D">
      <w:pPr>
        <w:jc w:val="center"/>
      </w:pPr>
      <w:r>
        <w:rPr>
          <w:b/>
        </w:rPr>
        <w:t>CRITICAL DISCOURSE ANALYSIS OF THE REPRESENTATION OF RELIGIOUS TOLERANCE IN INDONESIA ONLINE MEDIA.</w:t>
      </w:r>
    </w:p>
    <w:p w14:paraId="72E3B30A" w14:textId="3B466829" w:rsidR="00155CF4" w:rsidRPr="00082B79" w:rsidRDefault="00082B79" w:rsidP="003A4F1D">
      <w:pPr>
        <w:jc w:val="center"/>
        <w:rPr>
          <w:b/>
        </w:rPr>
      </w:pPr>
      <w:r w:rsidRPr="00082B79">
        <w:rPr>
          <w:b/>
          <w:vertAlign w:val="superscript"/>
          <w:lang w:val="id-ID"/>
        </w:rPr>
        <w:t>1</w:t>
      </w:r>
      <w:r w:rsidR="007E6B5B">
        <w:rPr>
          <w:b/>
        </w:rPr>
        <w:t xml:space="preserve">Ride Wira </w:t>
      </w:r>
      <w:proofErr w:type="spellStart"/>
      <w:r w:rsidR="007E6B5B">
        <w:rPr>
          <w:b/>
        </w:rPr>
        <w:t>Chakti</w:t>
      </w:r>
      <w:proofErr w:type="spellEnd"/>
      <w:r w:rsidR="007E6B5B">
        <w:rPr>
          <w:b/>
        </w:rPr>
        <w:t xml:space="preserve"> </w:t>
      </w:r>
      <w:proofErr w:type="spellStart"/>
      <w:r w:rsidR="007E6B5B">
        <w:rPr>
          <w:b/>
        </w:rPr>
        <w:t>Yudha</w:t>
      </w:r>
      <w:proofErr w:type="spellEnd"/>
      <w:r w:rsidR="00E0767F" w:rsidRPr="00082B79">
        <w:rPr>
          <w:b/>
        </w:rPr>
        <w:t xml:space="preserve">, </w:t>
      </w:r>
      <w:r w:rsidRPr="00082B79">
        <w:rPr>
          <w:b/>
          <w:vertAlign w:val="superscript"/>
          <w:lang w:val="id-ID"/>
        </w:rPr>
        <w:t>2</w:t>
      </w:r>
      <w:r w:rsidR="007E6B5B">
        <w:rPr>
          <w:b/>
        </w:rPr>
        <w:t xml:space="preserve">Nazilah </w:t>
      </w:r>
      <w:proofErr w:type="spellStart"/>
      <w:r w:rsidR="007E6B5B">
        <w:rPr>
          <w:b/>
        </w:rPr>
        <w:t>Syarifatuz</w:t>
      </w:r>
      <w:proofErr w:type="spellEnd"/>
      <w:r w:rsidR="007E6B5B">
        <w:rPr>
          <w:b/>
        </w:rPr>
        <w:t xml:space="preserve"> Zaqiyyah</w:t>
      </w:r>
      <w:r w:rsidR="00E0767F" w:rsidRPr="00082B79">
        <w:rPr>
          <w:b/>
        </w:rPr>
        <w:t xml:space="preserve">, </w:t>
      </w:r>
      <w:r w:rsidRPr="00082B79">
        <w:rPr>
          <w:b/>
          <w:vertAlign w:val="superscript"/>
          <w:lang w:val="id-ID"/>
        </w:rPr>
        <w:t>3</w:t>
      </w:r>
      <w:r w:rsidR="007E6B5B" w:rsidRPr="00082B79">
        <w:rPr>
          <w:b/>
          <w:vertAlign w:val="superscript"/>
          <w:lang w:val="id-ID"/>
        </w:rPr>
        <w:t>4</w:t>
      </w:r>
      <w:r w:rsidR="007E6B5B" w:rsidRPr="00082B79">
        <w:rPr>
          <w:b/>
        </w:rPr>
        <w:t xml:space="preserve">Dr. </w:t>
      </w:r>
      <w:proofErr w:type="spellStart"/>
      <w:r w:rsidR="007E6B5B" w:rsidRPr="00082B79">
        <w:rPr>
          <w:b/>
        </w:rPr>
        <w:t>Suparwoto</w:t>
      </w:r>
      <w:proofErr w:type="spellEnd"/>
      <w:r w:rsidR="007E6B5B" w:rsidRPr="00082B79">
        <w:rPr>
          <w:b/>
        </w:rPr>
        <w:t xml:space="preserve"> </w:t>
      </w:r>
      <w:proofErr w:type="spellStart"/>
      <w:r w:rsidR="007E6B5B" w:rsidRPr="00082B79">
        <w:rPr>
          <w:b/>
        </w:rPr>
        <w:t>Sapto</w:t>
      </w:r>
      <w:proofErr w:type="spellEnd"/>
      <w:r w:rsidR="007E6B5B" w:rsidRPr="00082B79">
        <w:rPr>
          <w:b/>
        </w:rPr>
        <w:t xml:space="preserve"> Wahono, </w:t>
      </w:r>
      <w:proofErr w:type="spellStart"/>
      <w:r w:rsidR="007E6B5B" w:rsidRPr="00082B79">
        <w:rPr>
          <w:b/>
        </w:rPr>
        <w:t>M.Pd</w:t>
      </w:r>
      <w:proofErr w:type="spellEnd"/>
      <w:r w:rsidR="007E6B5B" w:rsidRPr="00082B79">
        <w:rPr>
          <w:b/>
        </w:rPr>
        <w:t>.</w:t>
      </w:r>
      <w:r w:rsidR="007E6B5B" w:rsidRPr="00082B79">
        <w:rPr>
          <w:b/>
        </w:rPr>
        <w:br/>
      </w:r>
      <w:r w:rsidR="00E0767F" w:rsidRPr="00082B79">
        <w:rPr>
          <w:b/>
        </w:rPr>
        <w:t>English Language Education Study Program,</w:t>
      </w:r>
      <w:r w:rsidR="00E0767F" w:rsidRPr="00082B79">
        <w:rPr>
          <w:b/>
        </w:rPr>
        <w:br/>
        <w:t>Faculty of Education and Teacher Training,</w:t>
      </w:r>
      <w:r w:rsidR="00E0767F" w:rsidRPr="00082B79">
        <w:rPr>
          <w:b/>
        </w:rPr>
        <w:br/>
      </w:r>
      <w:r w:rsidR="00E0767F" w:rsidRPr="0008340F">
        <w:rPr>
          <w:b/>
        </w:rPr>
        <w:t>Universitas Islam Negeri Kiai Haji Achmad Siddiq Jember</w:t>
      </w:r>
      <w:r w:rsidR="00E0767F" w:rsidRPr="0008340F">
        <w:rPr>
          <w:b/>
        </w:rPr>
        <w:br/>
      </w:r>
      <w:r w:rsidR="007E6B5B">
        <w:rPr>
          <w:b/>
        </w:rPr>
        <w:t>nazilahsyarifatuzaqiyyah</w:t>
      </w:r>
      <w:r w:rsidR="00E0767F" w:rsidRPr="00082B79">
        <w:rPr>
          <w:b/>
        </w:rPr>
        <w:t xml:space="preserve">@gmail.com, </w:t>
      </w:r>
      <w:r w:rsidR="007C5C6E" w:rsidRPr="007C5C6E">
        <w:rPr>
          <w:b/>
        </w:rPr>
        <w:t>wiracy9@gmail.com</w:t>
      </w:r>
      <w:r w:rsidR="003A4F1D">
        <w:rPr>
          <w:b/>
        </w:rPr>
        <w:t xml:space="preserve">, </w:t>
      </w:r>
      <w:r w:rsidR="00E0767F" w:rsidRPr="00082B79">
        <w:rPr>
          <w:b/>
        </w:rPr>
        <w:t>wahsapto@uin.ac.id</w:t>
      </w:r>
    </w:p>
    <w:p w14:paraId="2458718F" w14:textId="65785E60" w:rsidR="00155CF4" w:rsidRDefault="00E0767F">
      <w:r>
        <w:rPr>
          <w:b/>
        </w:rPr>
        <w:t>ABSTRACT:</w:t>
      </w:r>
      <w:r w:rsidR="00E03CDB">
        <w:rPr>
          <w:lang w:val="id-ID"/>
        </w:rPr>
        <w:t xml:space="preserve"> </w:t>
      </w:r>
      <w:r w:rsidR="003A4F1D" w:rsidRPr="003A4F1D">
        <w:t>This study analyzes how Indonesian online media represent the issue of religious tolerance using Norman Fairclough’s model of Critical Discourse Analysis (CDA). In the context of Indonesia's diversity, media representation of this issue has a significant impact on public perception and social cohesion. This is a qualitative study employing a literature review method, focusing on news articles from mainstream media. The findings indicate that the media tend to adopt ideological positions in constructing narratives of tolerance, which at times reinforce the dominance of certain actors while marginalizing minority groups. These findings highlight the need for media literacy and editorial policies that support the values of pluralism and social justice</w:t>
      </w:r>
      <w:r w:rsidR="003A4F1D">
        <w:t>.</w:t>
      </w:r>
    </w:p>
    <w:p w14:paraId="70093637" w14:textId="77777777" w:rsidR="00155CF4" w:rsidRDefault="00E0767F">
      <w:r>
        <w:rPr>
          <w:i/>
        </w:rPr>
        <w:t xml:space="preserve">Keywords: </w:t>
      </w:r>
    </w:p>
    <w:p w14:paraId="1F49D49A" w14:textId="77777777" w:rsidR="003A4F1D" w:rsidRDefault="003A4F1D">
      <w:pPr>
        <w:rPr>
          <w:i/>
        </w:rPr>
      </w:pPr>
      <w:r w:rsidRPr="003A4F1D">
        <w:rPr>
          <w:i/>
        </w:rPr>
        <w:t>Critical discourse analysis, religious tolerance, online media, representation, ideology</w:t>
      </w:r>
    </w:p>
    <w:p w14:paraId="32303CDE" w14:textId="77777777" w:rsidR="003A4F1D" w:rsidRPr="003A4F1D" w:rsidRDefault="00E0767F" w:rsidP="003A4F1D">
      <w:pPr>
        <w:rPr>
          <w:lang w:val="en-ID"/>
        </w:rPr>
      </w:pPr>
      <w:r>
        <w:rPr>
          <w:b/>
        </w:rPr>
        <w:t>INTRODUCTION</w:t>
      </w:r>
      <w:r w:rsidR="00E03CDB">
        <w:rPr>
          <w:lang w:val="id-ID"/>
        </w:rPr>
        <w:t xml:space="preserve">: </w:t>
      </w:r>
      <w:r w:rsidR="003A4F1D" w:rsidRPr="003A4F1D">
        <w:rPr>
          <w:lang w:val="en-ID"/>
        </w:rPr>
        <w:t>Religious tolerance is one of the fundamental pillars of Indonesia’s diverse society. In a country with more than 1,300 ethnic groups and various religions, the media's role in framing issues of pluralism is crucial. Media do not merely convey information, but also shape public opinion through symbolic representations and word choices. As Van Dijk (1998) states, the media are key agents in the reproduction of ideological discourse that can either reinforce or challenge power structures.</w:t>
      </w:r>
    </w:p>
    <w:p w14:paraId="7F9BDC53" w14:textId="77777777" w:rsidR="003A4F1D" w:rsidRPr="003A4F1D" w:rsidRDefault="003A4F1D" w:rsidP="003A4F1D">
      <w:pPr>
        <w:rPr>
          <w:lang w:val="en-ID"/>
        </w:rPr>
      </w:pPr>
      <w:r w:rsidRPr="003A4F1D">
        <w:rPr>
          <w:lang w:val="en-ID"/>
        </w:rPr>
        <w:t xml:space="preserve">In discourse studies, the most relevant approach to uncover such representational biases is </w:t>
      </w:r>
      <w:r w:rsidRPr="003A4F1D">
        <w:rPr>
          <w:b/>
          <w:bCs/>
          <w:lang w:val="en-ID"/>
        </w:rPr>
        <w:t>Critical Discourse Analysis (CDA)</w:t>
      </w:r>
      <w:r w:rsidRPr="003A4F1D">
        <w:rPr>
          <w:lang w:val="en-ID"/>
        </w:rPr>
        <w:t>. Fairclough (1995) argues that language is not a neutral tool, but a medium through which ideology is embedded and maintained.</w:t>
      </w:r>
    </w:p>
    <w:p w14:paraId="19605E88" w14:textId="77777777" w:rsidR="003A4F1D" w:rsidRPr="003A4F1D" w:rsidRDefault="003A4F1D" w:rsidP="003A4F1D">
      <w:pPr>
        <w:rPr>
          <w:lang w:val="en-ID"/>
        </w:rPr>
      </w:pPr>
      <w:r w:rsidRPr="003A4F1D">
        <w:rPr>
          <w:lang w:val="en-ID"/>
        </w:rPr>
        <w:t>However, while various studies have examined media representations of political and gender issues, research on how the media frame interreligious tolerance in Indonesia remains limited—particularly those employing the CDA framework.</w:t>
      </w:r>
    </w:p>
    <w:p w14:paraId="21173CFB" w14:textId="77777777" w:rsidR="003A4F1D" w:rsidRPr="003A4F1D" w:rsidRDefault="003A4F1D" w:rsidP="003A4F1D">
      <w:pPr>
        <w:rPr>
          <w:lang w:val="en-ID"/>
        </w:rPr>
      </w:pPr>
      <w:r w:rsidRPr="003A4F1D">
        <w:rPr>
          <w:lang w:val="en-ID"/>
        </w:rPr>
        <w:t>Therefore, this study aims to answer the following questions:</w:t>
      </w:r>
    </w:p>
    <w:p w14:paraId="138B3E28" w14:textId="77777777" w:rsidR="003A4F1D" w:rsidRPr="003A4F1D" w:rsidRDefault="003A4F1D" w:rsidP="003A4F1D">
      <w:pPr>
        <w:numPr>
          <w:ilvl w:val="0"/>
          <w:numId w:val="10"/>
        </w:numPr>
        <w:rPr>
          <w:lang w:val="en-ID"/>
        </w:rPr>
      </w:pPr>
      <w:r w:rsidRPr="003A4F1D">
        <w:rPr>
          <w:lang w:val="en-ID"/>
        </w:rPr>
        <w:t>How do Indonesian online media represent the issue of religious tolerance?</w:t>
      </w:r>
    </w:p>
    <w:p w14:paraId="5FDC3742" w14:textId="77777777" w:rsidR="003A4F1D" w:rsidRPr="003A4F1D" w:rsidRDefault="003A4F1D" w:rsidP="003A4F1D">
      <w:pPr>
        <w:numPr>
          <w:ilvl w:val="0"/>
          <w:numId w:val="10"/>
        </w:numPr>
        <w:rPr>
          <w:lang w:val="en-ID"/>
        </w:rPr>
      </w:pPr>
      <w:r w:rsidRPr="003A4F1D">
        <w:rPr>
          <w:lang w:val="en-ID"/>
        </w:rPr>
        <w:t>What ideologies are hidden behind the construction of such discourse</w:t>
      </w:r>
    </w:p>
    <w:p w14:paraId="60338460" w14:textId="77777777" w:rsidR="003A4F1D" w:rsidRDefault="00E0767F">
      <w:r>
        <w:rPr>
          <w:b/>
        </w:rPr>
        <w:lastRenderedPageBreak/>
        <w:t>METHODOLOGY</w:t>
      </w:r>
      <w:r w:rsidR="00E03CDB">
        <w:rPr>
          <w:lang w:val="id-ID"/>
        </w:rPr>
        <w:t xml:space="preserve">: </w:t>
      </w:r>
      <w:r w:rsidR="003A4F1D" w:rsidRPr="003A4F1D">
        <w:t>This study employs a library research method, analyzing a selection of news articles from mainstream online media outlets (Kompas.com, Detik.com, Republika.co.id) during the period of 2021–2024. The approach used is Fairclough’s model of Critical Discourse Analysis, with a focus on text structure, the actors who are given a platform, and the ideologies being represented.</w:t>
      </w:r>
    </w:p>
    <w:p w14:paraId="5137D5AE" w14:textId="77777777" w:rsidR="005B2848" w:rsidRDefault="00E0767F" w:rsidP="005B2848">
      <w:pPr>
        <w:rPr>
          <w:lang w:val="en-ID"/>
        </w:rPr>
      </w:pPr>
      <w:r>
        <w:rPr>
          <w:b/>
        </w:rPr>
        <w:t>FINDINGS AND DISCUSSION</w:t>
      </w:r>
      <w:r w:rsidR="00E03CDB">
        <w:rPr>
          <w:lang w:val="id-ID"/>
        </w:rPr>
        <w:t xml:space="preserve">: </w:t>
      </w:r>
      <w:r w:rsidR="005B2848" w:rsidRPr="005B2848">
        <w:rPr>
          <w:lang w:val="en-ID"/>
        </w:rPr>
        <w:t xml:space="preserve">Representation of Tolerance as Nationalist Rhetoric Media outlets such as </w:t>
      </w:r>
      <w:r w:rsidR="005B2848" w:rsidRPr="005B2848">
        <w:rPr>
          <w:i/>
          <w:iCs/>
          <w:lang w:val="en-ID"/>
        </w:rPr>
        <w:t>Kompas</w:t>
      </w:r>
      <w:r w:rsidR="005B2848" w:rsidRPr="005B2848">
        <w:rPr>
          <w:lang w:val="en-ID"/>
        </w:rPr>
        <w:t xml:space="preserve"> and </w:t>
      </w:r>
      <w:proofErr w:type="spellStart"/>
      <w:r w:rsidR="005B2848" w:rsidRPr="005B2848">
        <w:rPr>
          <w:i/>
          <w:iCs/>
          <w:lang w:val="en-ID"/>
        </w:rPr>
        <w:t>Detik</w:t>
      </w:r>
      <w:proofErr w:type="spellEnd"/>
      <w:r w:rsidR="005B2848" w:rsidRPr="005B2848">
        <w:rPr>
          <w:lang w:val="en-ID"/>
        </w:rPr>
        <w:t xml:space="preserve"> often frame tolerance within a nationalist narrative, for example by emphasizing phrases like </w:t>
      </w:r>
      <w:r w:rsidR="005B2848" w:rsidRPr="005B2848">
        <w:rPr>
          <w:i/>
          <w:iCs/>
          <w:lang w:val="en-ID"/>
        </w:rPr>
        <w:t>“</w:t>
      </w:r>
      <w:proofErr w:type="spellStart"/>
      <w:r w:rsidR="005B2848" w:rsidRPr="005B2848">
        <w:rPr>
          <w:i/>
          <w:iCs/>
          <w:lang w:val="en-ID"/>
        </w:rPr>
        <w:t>Bhinneka</w:t>
      </w:r>
      <w:proofErr w:type="spellEnd"/>
      <w:r w:rsidR="005B2848" w:rsidRPr="005B2848">
        <w:rPr>
          <w:i/>
          <w:iCs/>
          <w:lang w:val="en-ID"/>
        </w:rPr>
        <w:t xml:space="preserve"> Tunggal Ika”</w:t>
      </w:r>
      <w:r w:rsidR="005B2848" w:rsidRPr="005B2848">
        <w:rPr>
          <w:lang w:val="en-ID"/>
        </w:rPr>
        <w:t xml:space="preserve"> (Unity in Diversity) or </w:t>
      </w:r>
      <w:r w:rsidR="005B2848" w:rsidRPr="005B2848">
        <w:rPr>
          <w:i/>
          <w:iCs/>
          <w:lang w:val="en-ID"/>
        </w:rPr>
        <w:t>“interfaith harmony.”</w:t>
      </w:r>
      <w:r w:rsidR="005B2848" w:rsidRPr="005B2848">
        <w:rPr>
          <w:lang w:val="en-ID"/>
        </w:rPr>
        <w:t xml:space="preserve"> However, this discourse tends to be normative and avoids addressing the structural roots of conflict.</w:t>
      </w:r>
      <w:r w:rsidR="005B2848">
        <w:rPr>
          <w:lang w:val="en-ID"/>
        </w:rPr>
        <w:t xml:space="preserve"> </w:t>
      </w:r>
    </w:p>
    <w:p w14:paraId="62212C74" w14:textId="2DB343AB" w:rsidR="005B2848" w:rsidRDefault="005B2848" w:rsidP="005B2848">
      <w:pPr>
        <w:rPr>
          <w:lang w:val="en-ID"/>
        </w:rPr>
      </w:pPr>
      <w:r w:rsidRPr="005B2848">
        <w:rPr>
          <w:lang w:val="en-ID"/>
        </w:rPr>
        <w:t xml:space="preserve">Dominance of Majority Voices In many cases, the media give significant space to majority figures (such as public officials or prominent religious leaders) to speak about tolerance, while minority groups are present only as objects, not subjects, within the narrative. </w:t>
      </w:r>
    </w:p>
    <w:p w14:paraId="2CAD1A1A" w14:textId="7B2C00A1" w:rsidR="005B2848" w:rsidRPr="005B2848" w:rsidRDefault="005B2848" w:rsidP="005B2848">
      <w:pPr>
        <w:rPr>
          <w:lang w:val="en-ID"/>
        </w:rPr>
      </w:pPr>
      <w:r w:rsidRPr="005B2848">
        <w:rPr>
          <w:lang w:val="en-ID"/>
        </w:rPr>
        <w:t>Linguistic Bias and Conflict Framing</w:t>
      </w:r>
      <w:r>
        <w:rPr>
          <w:lang w:val="en-ID"/>
        </w:rPr>
        <w:t xml:space="preserve"> </w:t>
      </w:r>
      <w:r w:rsidRPr="005B2848">
        <w:rPr>
          <w:lang w:val="en-ID"/>
        </w:rPr>
        <w:t xml:space="preserve">The choice of words such as </w:t>
      </w:r>
      <w:r w:rsidRPr="005B2848">
        <w:rPr>
          <w:i/>
          <w:iCs/>
          <w:lang w:val="en-ID"/>
        </w:rPr>
        <w:t>“clash,” “rogue individuals,”</w:t>
      </w:r>
      <w:r w:rsidRPr="005B2848">
        <w:rPr>
          <w:lang w:val="en-ID"/>
        </w:rPr>
        <w:t xml:space="preserve"> or </w:t>
      </w:r>
      <w:r w:rsidRPr="005B2848">
        <w:rPr>
          <w:i/>
          <w:iCs/>
          <w:lang w:val="en-ID"/>
        </w:rPr>
        <w:t>“unidentified mobs”</w:t>
      </w:r>
      <w:r w:rsidRPr="005B2848">
        <w:rPr>
          <w:lang w:val="en-ID"/>
        </w:rPr>
        <w:t xml:space="preserve"> reflects a discursive strategy that obscures the actors involved and avoids directly confronting the sources of intolerance.</w:t>
      </w:r>
    </w:p>
    <w:p w14:paraId="1AC1DFB2" w14:textId="6EE480D7" w:rsidR="00155CF4" w:rsidRDefault="00E0767F">
      <w:pPr>
        <w:rPr>
          <w:lang w:val="en-ID"/>
        </w:rPr>
      </w:pPr>
      <w:r>
        <w:rPr>
          <w:b/>
        </w:rPr>
        <w:t>CONCLUSION</w:t>
      </w:r>
      <w:r w:rsidR="00E03CDB">
        <w:rPr>
          <w:lang w:val="id-ID"/>
        </w:rPr>
        <w:t xml:space="preserve">: </w:t>
      </w:r>
      <w:r w:rsidR="005B2848" w:rsidRPr="005B2848">
        <w:rPr>
          <w:lang w:val="en-ID"/>
        </w:rPr>
        <w:t>Online media play a significant role in shaping public perceptions of religious tolerance. These findings show that media representation is not value-free but is influenced by dominant ideologies that often normalize inequality. Therefore, it is essential to develop critical media literacy among the public and to encourage media outlets to provide fair representation for all groups.</w:t>
      </w:r>
    </w:p>
    <w:p w14:paraId="7417C7F2" w14:textId="77777777" w:rsidR="005B2848" w:rsidRPr="005B2848" w:rsidRDefault="005B2848">
      <w:pPr>
        <w:rPr>
          <w:lang w:val="en-ID"/>
        </w:rPr>
      </w:pPr>
    </w:p>
    <w:p w14:paraId="1AAF653E" w14:textId="77777777" w:rsidR="0008340F" w:rsidRDefault="00E0767F">
      <w:pPr>
        <w:rPr>
          <w:lang w:val="id-ID"/>
        </w:rPr>
      </w:pPr>
      <w:r>
        <w:rPr>
          <w:b/>
        </w:rPr>
        <w:t>REFERENCE</w:t>
      </w:r>
      <w:r w:rsidR="00E03CDB">
        <w:rPr>
          <w:b/>
          <w:lang w:val="id-ID"/>
        </w:rPr>
        <w:t xml:space="preserve"> </w:t>
      </w:r>
    </w:p>
    <w:p w14:paraId="478748B8" w14:textId="2BFD96DB" w:rsidR="005B2848" w:rsidRDefault="005B2848" w:rsidP="005B2848">
      <w:r>
        <w:t>Fairclough, N. (1992). Discourse and Social Change. Polity Press.</w:t>
      </w:r>
    </w:p>
    <w:p w14:paraId="4FF8C38E" w14:textId="1E413B29" w:rsidR="005B2848" w:rsidRDefault="005B2848" w:rsidP="005B2848">
      <w:r>
        <w:t>Fairclough, N. (1995). Critical Discourse Analysis: The Critical Study of Language. Longman.</w:t>
      </w:r>
    </w:p>
    <w:p w14:paraId="77DC31D1" w14:textId="4858D2E4" w:rsidR="005B2848" w:rsidRDefault="005B2848" w:rsidP="005B2848">
      <w:r>
        <w:t>Van Dijk, T.A. (1998). Ideology: A Multidisciplinary Approach. Sage.</w:t>
      </w:r>
    </w:p>
    <w:p w14:paraId="3E5CBE0E" w14:textId="77777777" w:rsidR="005B2848" w:rsidRDefault="005B2848" w:rsidP="005B2848">
      <w:pPr>
        <w:ind w:left="720" w:hanging="720"/>
      </w:pPr>
      <w:r>
        <w:t>Van Dijk, T.A. (2006). Discourse and Manipulation. Discourse &amp; Society.</w:t>
      </w:r>
    </w:p>
    <w:p w14:paraId="0141BEF9" w14:textId="0BA6D970" w:rsidR="005B2848" w:rsidRDefault="005B2848" w:rsidP="005B2848">
      <w:r>
        <w:t>Hall, S. (1997). Representation: Cultural Representations and Signifying Practices. Sage.</w:t>
      </w:r>
    </w:p>
    <w:p w14:paraId="74066B4E" w14:textId="77777777" w:rsidR="005B2848" w:rsidRDefault="005B2848" w:rsidP="005B2848">
      <w:proofErr w:type="spellStart"/>
      <w:r>
        <w:t>McQuail</w:t>
      </w:r>
      <w:proofErr w:type="spellEnd"/>
      <w:r>
        <w:t xml:space="preserve">, D. (2010). </w:t>
      </w:r>
      <w:proofErr w:type="spellStart"/>
      <w:r>
        <w:t>McQuail’s</w:t>
      </w:r>
      <w:proofErr w:type="spellEnd"/>
      <w:r>
        <w:t xml:space="preserve"> Mass Communication Theory (6th ed.). Sage.</w:t>
      </w:r>
    </w:p>
    <w:p w14:paraId="789771DE" w14:textId="1875A34C" w:rsidR="005B2848" w:rsidRDefault="005B2848" w:rsidP="005B2848">
      <w:r>
        <w:t>Hoon, C. Y. (2013). God and Discipline: Religious Education and Schooling in Indonesia. Religion, State and Society.</w:t>
      </w:r>
    </w:p>
    <w:p w14:paraId="43DADF7B" w14:textId="406D4434" w:rsidR="005B2848" w:rsidRDefault="005B2848" w:rsidP="005B2848">
      <w:r>
        <w:t>Barker, C. (2004). The Sage Dictionary of Cultural Studies. Sage.</w:t>
      </w:r>
    </w:p>
    <w:p w14:paraId="5676CA71" w14:textId="77777777" w:rsidR="005B2848" w:rsidRDefault="005B2848" w:rsidP="005B2848">
      <w:r>
        <w:t>Foucault, M. (1980). Power/Knowledge: Selected Interviews and Other Writings. Pantheon.</w:t>
      </w:r>
    </w:p>
    <w:p w14:paraId="5E903024" w14:textId="51056169" w:rsidR="005B2848" w:rsidRDefault="005B2848" w:rsidP="005B2848">
      <w:proofErr w:type="spellStart"/>
      <w:r>
        <w:t>Eriyanto</w:t>
      </w:r>
      <w:proofErr w:type="spellEnd"/>
      <w:r>
        <w:t xml:space="preserve">. (2001). </w:t>
      </w:r>
      <w:proofErr w:type="spellStart"/>
      <w:r>
        <w:t>Analisis</w:t>
      </w:r>
      <w:proofErr w:type="spellEnd"/>
      <w:r>
        <w:t xml:space="preserve"> Wacana: </w:t>
      </w:r>
      <w:proofErr w:type="spellStart"/>
      <w:r>
        <w:t>Pengantar</w:t>
      </w:r>
      <w:proofErr w:type="spellEnd"/>
      <w:r>
        <w:t xml:space="preserve"> </w:t>
      </w:r>
      <w:proofErr w:type="spellStart"/>
      <w:r>
        <w:t>Analisis</w:t>
      </w:r>
      <w:proofErr w:type="spellEnd"/>
      <w:r>
        <w:t xml:space="preserve"> Teks Media. </w:t>
      </w:r>
      <w:proofErr w:type="spellStart"/>
      <w:r>
        <w:t>LKiS</w:t>
      </w:r>
      <w:proofErr w:type="spellEnd"/>
      <w:r>
        <w:t>.</w:t>
      </w:r>
    </w:p>
    <w:p w14:paraId="300210EC" w14:textId="628294EA" w:rsidR="005B2848" w:rsidRDefault="005B2848" w:rsidP="005B2848">
      <w:r>
        <w:t>Lestari, H. (2020). “</w:t>
      </w:r>
      <w:proofErr w:type="spellStart"/>
      <w:r>
        <w:t>Representasi</w:t>
      </w:r>
      <w:proofErr w:type="spellEnd"/>
      <w:r>
        <w:t xml:space="preserve"> </w:t>
      </w:r>
      <w:proofErr w:type="spellStart"/>
      <w:r>
        <w:t>Toleransi</w:t>
      </w:r>
      <w:proofErr w:type="spellEnd"/>
      <w:r>
        <w:t xml:space="preserve"> </w:t>
      </w:r>
      <w:proofErr w:type="spellStart"/>
      <w:r>
        <w:t>dalam</w:t>
      </w:r>
      <w:proofErr w:type="spellEnd"/>
      <w:r>
        <w:t xml:space="preserve"> Media </w:t>
      </w:r>
      <w:proofErr w:type="spellStart"/>
      <w:r>
        <w:t>Sosial</w:t>
      </w:r>
      <w:proofErr w:type="spellEnd"/>
      <w:r>
        <w:t xml:space="preserve">”. </w:t>
      </w:r>
      <w:proofErr w:type="spellStart"/>
      <w:r>
        <w:t>Jurnal</w:t>
      </w:r>
      <w:proofErr w:type="spellEnd"/>
      <w:r>
        <w:t xml:space="preserve"> Komunikasi Islam, 10(2).</w:t>
      </w:r>
    </w:p>
    <w:p w14:paraId="0458F697" w14:textId="77777777" w:rsidR="005B2848" w:rsidRDefault="005B2848" w:rsidP="005B2848">
      <w:r>
        <w:t>Susanto, A. (2018). “</w:t>
      </w:r>
      <w:proofErr w:type="spellStart"/>
      <w:r>
        <w:t>Konstruksi</w:t>
      </w:r>
      <w:proofErr w:type="spellEnd"/>
      <w:r>
        <w:t xml:space="preserve"> Media </w:t>
      </w:r>
      <w:proofErr w:type="spellStart"/>
      <w:r>
        <w:t>terhadap</w:t>
      </w:r>
      <w:proofErr w:type="spellEnd"/>
      <w:r>
        <w:t xml:space="preserve"> Kasus </w:t>
      </w:r>
      <w:proofErr w:type="spellStart"/>
      <w:r>
        <w:t>Intoleransi</w:t>
      </w:r>
      <w:proofErr w:type="spellEnd"/>
      <w:r>
        <w:t xml:space="preserve">”. </w:t>
      </w:r>
      <w:proofErr w:type="spellStart"/>
      <w:r>
        <w:t>Jurnal</w:t>
      </w:r>
      <w:proofErr w:type="spellEnd"/>
      <w:r>
        <w:t xml:space="preserve"> </w:t>
      </w:r>
      <w:proofErr w:type="spellStart"/>
      <w:r>
        <w:t>Ilmu</w:t>
      </w:r>
      <w:proofErr w:type="spellEnd"/>
      <w:r>
        <w:t xml:space="preserve"> </w:t>
      </w:r>
      <w:proofErr w:type="spellStart"/>
      <w:r>
        <w:t>Sosial</w:t>
      </w:r>
      <w:proofErr w:type="spellEnd"/>
      <w:r>
        <w:t xml:space="preserve"> dan </w:t>
      </w:r>
      <w:proofErr w:type="spellStart"/>
      <w:r>
        <w:t>Ilmu</w:t>
      </w:r>
      <w:proofErr w:type="spellEnd"/>
      <w:r>
        <w:t xml:space="preserve"> </w:t>
      </w:r>
      <w:proofErr w:type="spellStart"/>
      <w:r>
        <w:t>Politik</w:t>
      </w:r>
      <w:proofErr w:type="spellEnd"/>
      <w:r>
        <w:t>, 22(1).</w:t>
      </w:r>
    </w:p>
    <w:p w14:paraId="7B1D9622" w14:textId="5E9C6549" w:rsidR="005B2848" w:rsidRDefault="005B2848" w:rsidP="005B2848">
      <w:r>
        <w:t xml:space="preserve">Wahyuni, R. (2022). Media, Agama, dan </w:t>
      </w:r>
      <w:proofErr w:type="spellStart"/>
      <w:r>
        <w:t>Politik</w:t>
      </w:r>
      <w:proofErr w:type="spellEnd"/>
      <w:r>
        <w:t xml:space="preserve"> </w:t>
      </w:r>
      <w:proofErr w:type="spellStart"/>
      <w:r>
        <w:t>Identitas</w:t>
      </w:r>
      <w:proofErr w:type="spellEnd"/>
      <w:r>
        <w:t xml:space="preserve"> di Indonesia. </w:t>
      </w:r>
      <w:proofErr w:type="spellStart"/>
      <w:r>
        <w:t>Prenada</w:t>
      </w:r>
      <w:proofErr w:type="spellEnd"/>
      <w:r>
        <w:t xml:space="preserve"> Media.</w:t>
      </w:r>
    </w:p>
    <w:p w14:paraId="2FA21CB9" w14:textId="24296D1F" w:rsidR="005B2848" w:rsidRDefault="005B2848" w:rsidP="005B2848">
      <w:r>
        <w:t>Kress, G. &amp; van Leeuwen, T. (2001). Multimodal Discourse: The Modes and Media of Contemporary Communication. Arnold.</w:t>
      </w:r>
    </w:p>
    <w:p w14:paraId="7831DB53" w14:textId="7CDB249F" w:rsidR="005B2848" w:rsidRDefault="005B2848" w:rsidP="005B2848">
      <w:r>
        <w:t xml:space="preserve">Rahardjo, M.D. (2017). “Media, </w:t>
      </w:r>
      <w:proofErr w:type="spellStart"/>
      <w:r>
        <w:t>Minoritas</w:t>
      </w:r>
      <w:proofErr w:type="spellEnd"/>
      <w:r>
        <w:t xml:space="preserve">, dan </w:t>
      </w:r>
      <w:proofErr w:type="spellStart"/>
      <w:r>
        <w:t>Representasi</w:t>
      </w:r>
      <w:proofErr w:type="spellEnd"/>
      <w:r>
        <w:t xml:space="preserve">”. </w:t>
      </w:r>
      <w:proofErr w:type="spellStart"/>
      <w:r>
        <w:t>Jurnal</w:t>
      </w:r>
      <w:proofErr w:type="spellEnd"/>
      <w:r>
        <w:t xml:space="preserve"> Masyarakat dan </w:t>
      </w:r>
      <w:proofErr w:type="spellStart"/>
      <w:r>
        <w:t>Budaya</w:t>
      </w:r>
      <w:proofErr w:type="spellEnd"/>
      <w:r>
        <w:t>.</w:t>
      </w:r>
    </w:p>
    <w:p w14:paraId="3B1FA131" w14:textId="5C5C428A" w:rsidR="005B2848" w:rsidRDefault="005B2848" w:rsidP="005B2848">
      <w:r>
        <w:t>Habermas, J. (1989). The Structural Transformation of the Public Sphere. MIT Press.</w:t>
      </w:r>
    </w:p>
    <w:p w14:paraId="0E244D9C" w14:textId="18023ADE" w:rsidR="005B2848" w:rsidRDefault="005B2848" w:rsidP="005B2848">
      <w:r>
        <w:t>Setiawan, T. (2021). “</w:t>
      </w:r>
      <w:proofErr w:type="spellStart"/>
      <w:r>
        <w:t>Toleransi</w:t>
      </w:r>
      <w:proofErr w:type="spellEnd"/>
      <w:r>
        <w:t xml:space="preserve"> </w:t>
      </w:r>
      <w:proofErr w:type="spellStart"/>
      <w:r>
        <w:t>dalam</w:t>
      </w:r>
      <w:proofErr w:type="spellEnd"/>
      <w:r>
        <w:t xml:space="preserve"> Berita Media Daring”. </w:t>
      </w:r>
      <w:proofErr w:type="spellStart"/>
      <w:r>
        <w:t>Jurnal</w:t>
      </w:r>
      <w:proofErr w:type="spellEnd"/>
      <w:r>
        <w:t xml:space="preserve"> Komunikasi dan Media, 9(1).</w:t>
      </w:r>
    </w:p>
    <w:p w14:paraId="2BB05E85" w14:textId="20E1DCCA" w:rsidR="005B2848" w:rsidRDefault="005B2848" w:rsidP="005B2848">
      <w:proofErr w:type="spellStart"/>
      <w:r>
        <w:t>Wodak</w:t>
      </w:r>
      <w:proofErr w:type="spellEnd"/>
      <w:r>
        <w:t>, R. &amp; Meyer, M. (2001). Methods of Critical Discourse Analysis. Sage.</w:t>
      </w:r>
    </w:p>
    <w:p w14:paraId="3825D134" w14:textId="65DE1F8C" w:rsidR="005B2848" w:rsidRDefault="005B2848" w:rsidP="005B2848">
      <w:proofErr w:type="spellStart"/>
      <w:r>
        <w:t>Alatas</w:t>
      </w:r>
      <w:proofErr w:type="spellEnd"/>
      <w:r>
        <w:t>, S.H. (1977). The Myth of the Lazy Native. Routledge.</w:t>
      </w:r>
    </w:p>
    <w:p w14:paraId="1A3127C2" w14:textId="00DD685B" w:rsidR="00155CF4" w:rsidRDefault="005B2848" w:rsidP="005B2848">
      <w:pPr>
        <w:ind w:left="720" w:hanging="720"/>
      </w:pPr>
      <w:r w:rsidRPr="005B2848">
        <w:t>Bourdieu, P. (1991). Language and Symbolic Power. Harvard University Press.</w:t>
      </w:r>
    </w:p>
    <w:sectPr w:rsidR="00155C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B57D3C"/>
    <w:multiLevelType w:val="multilevel"/>
    <w:tmpl w:val="8D5A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8B5C23"/>
    <w:multiLevelType w:val="hybridMultilevel"/>
    <w:tmpl w:val="965A93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61128430">
    <w:abstractNumId w:val="8"/>
  </w:num>
  <w:num w:numId="2" w16cid:durableId="1017852712">
    <w:abstractNumId w:val="6"/>
  </w:num>
  <w:num w:numId="3" w16cid:durableId="813639972">
    <w:abstractNumId w:val="5"/>
  </w:num>
  <w:num w:numId="4" w16cid:durableId="636305352">
    <w:abstractNumId w:val="4"/>
  </w:num>
  <w:num w:numId="5" w16cid:durableId="695934291">
    <w:abstractNumId w:val="7"/>
  </w:num>
  <w:num w:numId="6" w16cid:durableId="1788037823">
    <w:abstractNumId w:val="3"/>
  </w:num>
  <w:num w:numId="7" w16cid:durableId="1181237353">
    <w:abstractNumId w:val="2"/>
  </w:num>
  <w:num w:numId="8" w16cid:durableId="338582572">
    <w:abstractNumId w:val="1"/>
  </w:num>
  <w:num w:numId="9" w16cid:durableId="1306353581">
    <w:abstractNumId w:val="0"/>
  </w:num>
  <w:num w:numId="10" w16cid:durableId="437718257">
    <w:abstractNumId w:val="9"/>
  </w:num>
  <w:num w:numId="11" w16cid:durableId="897714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B79"/>
    <w:rsid w:val="0008340F"/>
    <w:rsid w:val="0015074B"/>
    <w:rsid w:val="00155CF4"/>
    <w:rsid w:val="0029639D"/>
    <w:rsid w:val="00326F90"/>
    <w:rsid w:val="003A4F1D"/>
    <w:rsid w:val="005B2848"/>
    <w:rsid w:val="00604FAE"/>
    <w:rsid w:val="007C5C6E"/>
    <w:rsid w:val="007E6B5B"/>
    <w:rsid w:val="008F18E5"/>
    <w:rsid w:val="00AA1D8D"/>
    <w:rsid w:val="00AB4C47"/>
    <w:rsid w:val="00B47730"/>
    <w:rsid w:val="00CB0664"/>
    <w:rsid w:val="00E03CDB"/>
    <w:rsid w:val="00E0767F"/>
    <w:rsid w:val="00F56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206F2"/>
  <w14:defaultImageDpi w14:val="300"/>
  <w15:docId w15:val="{B8D4010F-8AB7-4F27-AB1D-BF7B518D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4F1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61929">
      <w:bodyDiv w:val="1"/>
      <w:marLeft w:val="0"/>
      <w:marRight w:val="0"/>
      <w:marTop w:val="0"/>
      <w:marBottom w:val="0"/>
      <w:divBdr>
        <w:top w:val="none" w:sz="0" w:space="0" w:color="auto"/>
        <w:left w:val="none" w:sz="0" w:space="0" w:color="auto"/>
        <w:bottom w:val="none" w:sz="0" w:space="0" w:color="auto"/>
        <w:right w:val="none" w:sz="0" w:space="0" w:color="auto"/>
      </w:divBdr>
    </w:div>
    <w:div w:id="437137230">
      <w:bodyDiv w:val="1"/>
      <w:marLeft w:val="0"/>
      <w:marRight w:val="0"/>
      <w:marTop w:val="0"/>
      <w:marBottom w:val="0"/>
      <w:divBdr>
        <w:top w:val="none" w:sz="0" w:space="0" w:color="auto"/>
        <w:left w:val="none" w:sz="0" w:space="0" w:color="auto"/>
        <w:bottom w:val="none" w:sz="0" w:space="0" w:color="auto"/>
        <w:right w:val="none" w:sz="0" w:space="0" w:color="auto"/>
      </w:divBdr>
    </w:div>
    <w:div w:id="647586617">
      <w:bodyDiv w:val="1"/>
      <w:marLeft w:val="0"/>
      <w:marRight w:val="0"/>
      <w:marTop w:val="0"/>
      <w:marBottom w:val="0"/>
      <w:divBdr>
        <w:top w:val="none" w:sz="0" w:space="0" w:color="auto"/>
        <w:left w:val="none" w:sz="0" w:space="0" w:color="auto"/>
        <w:bottom w:val="none" w:sz="0" w:space="0" w:color="auto"/>
        <w:right w:val="none" w:sz="0" w:space="0" w:color="auto"/>
      </w:divBdr>
    </w:div>
    <w:div w:id="749548072">
      <w:bodyDiv w:val="1"/>
      <w:marLeft w:val="0"/>
      <w:marRight w:val="0"/>
      <w:marTop w:val="0"/>
      <w:marBottom w:val="0"/>
      <w:divBdr>
        <w:top w:val="none" w:sz="0" w:space="0" w:color="auto"/>
        <w:left w:val="none" w:sz="0" w:space="0" w:color="auto"/>
        <w:bottom w:val="none" w:sz="0" w:space="0" w:color="auto"/>
        <w:right w:val="none" w:sz="0" w:space="0" w:color="auto"/>
      </w:divBdr>
    </w:div>
    <w:div w:id="1714303943">
      <w:bodyDiv w:val="1"/>
      <w:marLeft w:val="0"/>
      <w:marRight w:val="0"/>
      <w:marTop w:val="0"/>
      <w:marBottom w:val="0"/>
      <w:divBdr>
        <w:top w:val="none" w:sz="0" w:space="0" w:color="auto"/>
        <w:left w:val="none" w:sz="0" w:space="0" w:color="auto"/>
        <w:bottom w:val="none" w:sz="0" w:space="0" w:color="auto"/>
        <w:right w:val="none" w:sz="0" w:space="0" w:color="auto"/>
      </w:divBdr>
    </w:div>
    <w:div w:id="1768846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7B06C-D951-466F-8AE8-076910052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 - zila</cp:lastModifiedBy>
  <cp:revision>3</cp:revision>
  <dcterms:created xsi:type="dcterms:W3CDTF">2025-06-19T18:10:00Z</dcterms:created>
  <dcterms:modified xsi:type="dcterms:W3CDTF">2025-06-20T07:02:00Z</dcterms:modified>
  <cp:category/>
</cp:coreProperties>
</file>