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98AFD">
      <w:pPr>
        <w:contextualSpacing/>
        <w:jc w:val="center"/>
        <w:rPr>
          <w:rFonts w:ascii="Times New Roman" w:hAnsi="Times New Roman"/>
          <w:b/>
          <w:sz w:val="24"/>
          <w:szCs w:val="24"/>
        </w:rPr>
      </w:pPr>
      <w:r>
        <w:rPr>
          <w:rFonts w:ascii="Times New Roman" w:hAnsi="Times New Roman"/>
          <w:b/>
          <w:sz w:val="24"/>
          <w:szCs w:val="24"/>
        </w:rPr>
        <w:t>CURRICULUM COHERENCE AND LANGUAGE DEVELOPMENT: A REVIEW-BASED STUDY</w:t>
      </w:r>
    </w:p>
    <w:p w14:paraId="3FCE0102">
      <w:pPr>
        <w:contextualSpacing/>
        <w:jc w:val="center"/>
        <w:rPr>
          <w:rFonts w:ascii="Times New Roman" w:hAnsi="Times New Roman"/>
          <w:b/>
          <w:sz w:val="24"/>
          <w:szCs w:val="24"/>
        </w:rPr>
      </w:pPr>
    </w:p>
    <w:p w14:paraId="2D7014DA">
      <w:pPr>
        <w:tabs>
          <w:tab w:val="left" w:pos="8647"/>
        </w:tabs>
        <w:spacing w:before="240"/>
        <w:ind w:left="540" w:right="429"/>
        <w:jc w:val="both"/>
        <w:rPr>
          <w:rFonts w:ascii="Times New Roman" w:hAnsi="Times New Roman"/>
          <w:b/>
        </w:rPr>
      </w:pPr>
      <w:r>
        <w:rPr>
          <w:rFonts w:ascii="Times New Roman" w:hAnsi="Times New Roman"/>
          <w:b/>
        </w:rPr>
        <w:t xml:space="preserve">ABSTRACT: </w:t>
      </w:r>
      <w:r>
        <w:rPr>
          <w:rFonts w:ascii="Times New Roman" w:hAnsi="Times New Roman" w:eastAsia="Times New Roman"/>
          <w:lang w:val="en-US" w:bidi="th-TH"/>
        </w:rPr>
        <w:t>Curriculum coherence that simultaneously ensures and increases the quality of student learning. This study explores the critical role of curriculum coherence in fostering language development within educational settings. Recognizing that a coherent curriculum one that is purposefully designed, logically sequenced, and aligned across grade levels and subject areas ensures cumulative and meaningful learning, the research investigates how such alignment influences students’ acquisition of language skills. The primary objective is to analyze the relationship between curriculum coherence and language development by synthesizing findings from recent scholarly literature. Employing a qualitative library research design with a narrative literature review approach, this study draws upon peer-reviewed journals, academic books, and reports published between 2010 and 2025, selected through thematic analysis. The research focuses on key areas including the definition and impact of curriculum coherence, its implementation in high-performing education systems, challenges in maintaining coherence, and strategies for improvement. Furthermore, it examines how intercultural communication, multilingualism, and assessment practices intersect with coherent curriculum design to support progressive and inclusive language learning experiences.</w:t>
      </w:r>
    </w:p>
    <w:p w14:paraId="6A20D4C8">
      <w:pPr>
        <w:tabs>
          <w:tab w:val="left" w:pos="8647"/>
        </w:tabs>
        <w:spacing w:before="240"/>
        <w:ind w:left="540" w:right="429"/>
        <w:jc w:val="both"/>
        <w:rPr>
          <w:rFonts w:ascii="Times New Roman" w:hAnsi="Times New Roman"/>
          <w:sz w:val="20"/>
          <w:szCs w:val="20"/>
          <w:lang w:val="en-US"/>
        </w:rPr>
      </w:pPr>
    </w:p>
    <w:p w14:paraId="55CC6EF4">
      <w:pPr>
        <w:pStyle w:val="30"/>
        <w:rPr>
          <w:rFonts w:eastAsia="Times New Roman"/>
          <w:lang w:val="en-US" w:eastAsia="en-US" w:bidi="th-TH"/>
        </w:rPr>
      </w:pPr>
      <w:r>
        <w:rPr>
          <w:b/>
        </w:rPr>
        <w:t>Keywords</w:t>
      </w:r>
      <w:r>
        <w:t>:</w:t>
      </w:r>
      <w:r>
        <w:rPr>
          <w:i/>
        </w:rPr>
        <w:t xml:space="preserve"> </w:t>
      </w:r>
      <w:r>
        <w:rPr>
          <w:rFonts w:eastAsia="Times New Roman"/>
          <w:b/>
          <w:bCs/>
          <w:lang w:val="en-US" w:eastAsia="en-US" w:bidi="th-TH"/>
        </w:rPr>
        <w:t>Keywords:</w:t>
      </w:r>
      <w:r>
        <w:rPr>
          <w:rFonts w:eastAsia="Times New Roman"/>
          <w:lang w:val="en-US" w:eastAsia="en-US" w:bidi="th-TH"/>
        </w:rPr>
        <w:t xml:space="preserve"> </w:t>
      </w:r>
      <w:r>
        <w:rPr>
          <w:rFonts w:eastAsia="Times New Roman"/>
          <w:i/>
          <w:iCs/>
          <w:sz w:val="22"/>
          <w:szCs w:val="22"/>
          <w:lang w:val="en-US" w:eastAsia="en-US" w:bidi="th-TH"/>
        </w:rPr>
        <w:t>Curriculum coherence, language development, educational alignment.</w:t>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7241A73E">
      <w:pPr>
        <w:pStyle w:val="30"/>
        <w:jc w:val="center"/>
        <w:rPr>
          <w:rFonts w:eastAsia="Times New Roman"/>
          <w:lang w:val="sv-SE" w:eastAsia="en-US" w:bidi="th-TH"/>
        </w:rPr>
      </w:pPr>
      <w:r>
        <w:rPr>
          <w:rFonts w:eastAsia="Times New Roman"/>
          <w:b/>
          <w:bCs/>
          <w:lang w:val="sv-SE" w:eastAsia="en-US" w:bidi="th-TH"/>
        </w:rPr>
        <w:t>KOHERENSI KURIKULUM DAN PENGEMBANGAN BAHASA: SEBUAH STUDI BERBASIS TINJAUAN PUSTAKA</w:t>
      </w:r>
    </w:p>
    <w:p w14:paraId="64AD2AAE">
      <w:pPr>
        <w:pStyle w:val="30"/>
        <w:jc w:val="both"/>
        <w:rPr>
          <w:sz w:val="22"/>
          <w:szCs w:val="22"/>
        </w:rPr>
      </w:pPr>
      <w:r>
        <w:rPr>
          <w:b/>
        </w:rPr>
        <w:t xml:space="preserve">ABSTRAK: </w:t>
      </w:r>
      <w:r>
        <w:rPr>
          <w:sz w:val="22"/>
          <w:szCs w:val="22"/>
        </w:rPr>
        <w:t>Koherensi kurikulum yang secara simultan memastikan dan meningkatkan kualitas pembelajaran siswa. Penelitian ini mengeksplorasi peran penting dari koherensi kurikulum dalam mendorong perkembangan bahasa dalam lingkungan pendidikan. Menyadari bahwa kurikulum yang koheren, yang dirancang dengan sengaja, diurutkan secara logis, dan diselaraskan di seluruh tingkat kelas dan bidang studi memastikan pembelajaran yang kumulatif dan bermakna, penelitian ini menyelidiki bagaimana keselarasan tersebut memengaruhi perolehan keterampilan bahasa siswa. Tujuan utamanya adalah untuk menganalisis hubungan antara koherensi kurikulum dan pengembangan bahasa dengan mensintesis temuan dari literatur ilmiah terbaru. Menggunakan desain penelitian perpustakaan kualitatif dengan pendekatan tinjauan literatur naratif, penelitian ini mengacu pada jurnal, buku akademik, dan laporan yang ditinjau oleh rekan sejawat yang diterbitkan antara tahun 2010 dan 2025, yang dipilih melalui analisis tematik. Penelitian ini berfokus pada bidang-bidang utama termasuk definisi dan dampak dari koherensi kurikulum, implementasinya dalam sistem pendidikan yang berkinerja tinggi, tantangan dalam mempertahankan koherensi, dan strategi untuk perbaikan. Selain itu, penelitian ini juga mengkaji bagaimana komunikasi antar budaya, multibahasa, dan praktik penilaian bersinggungan dengan desain kurikulum yang koheren untuk mendukung pengalaman belajar bahasa yang progresif dan inklusif.</w:t>
      </w:r>
    </w:p>
    <w:p w14:paraId="04CE8B7C">
      <w:pPr>
        <w:pStyle w:val="30"/>
        <w:rPr>
          <w:i/>
        </w:rPr>
      </w:pPr>
      <w: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b/>
        </w:rPr>
        <w:t>Kata Kunci:</w:t>
      </w:r>
      <w:r>
        <w:rPr>
          <w:i/>
        </w:rPr>
        <w:t xml:space="preserve">  </w:t>
      </w:r>
      <w:r>
        <w:rPr>
          <w:rFonts w:eastAsia="Times New Roman"/>
          <w:i/>
          <w:iCs/>
          <w:sz w:val="22"/>
          <w:szCs w:val="22"/>
          <w:lang w:val="sv-SE" w:eastAsia="en-US" w:bidi="th-TH"/>
        </w:rPr>
        <w:t>Koherensi kurikulum, pengembangan bahasa, penyelarasan pendidikan.</w:t>
      </w:r>
    </w:p>
    <w:p w14:paraId="70FD1326">
      <w:pPr>
        <w:rPr>
          <w:lang w:val="sv-SE" w:bidi="th-TH"/>
        </w:rPr>
      </w:pPr>
    </w:p>
    <w:p w14:paraId="1EB0B27F">
      <w:pPr>
        <w:rPr>
          <w:lang w:val="sv-SE" w:bidi="th-TH"/>
        </w:rPr>
      </w:pPr>
    </w:p>
    <w:p w14:paraId="05065F93">
      <w:pPr>
        <w:ind w:right="-46"/>
        <w:jc w:val="both"/>
        <w:rPr>
          <w:rFonts w:ascii="Times New Roman" w:hAnsi="Times New Roman"/>
          <w:b/>
          <w:bCs/>
          <w:sz w:val="24"/>
          <w:szCs w:val="24"/>
        </w:rPr>
      </w:pPr>
      <w:commentRangeStart w:id="0"/>
      <w:r>
        <w:rPr>
          <w:rFonts w:ascii="Times New Roman" w:hAnsi="Times New Roman"/>
          <w:b/>
          <w:bCs/>
          <w:sz w:val="24"/>
          <w:szCs w:val="24"/>
        </w:rPr>
        <w:t>INTRODUCTION</w:t>
      </w:r>
      <w:commentRangeEnd w:id="0"/>
      <w:r>
        <w:commentReference w:id="0"/>
      </w:r>
    </w:p>
    <w:p w14:paraId="608D478B">
      <w:pPr>
        <w:pStyle w:val="73"/>
        <w:ind w:firstLine="720"/>
        <w:contextualSpacing/>
        <w:rPr>
          <w:sz w:val="24"/>
          <w:lang w:val="en-US"/>
        </w:rPr>
      </w:pPr>
      <w:r>
        <w:rPr>
          <w:sz w:val="24"/>
          <w:lang w:val="en-US"/>
        </w:rPr>
        <w:t xml:space="preserve">The term coherent curriculum, or aligned curriculum, refers to an academic program that is (1) well organized and purposefully designed to facilitate learning, (2) free of academic gaps and needless repetitions, and (3) aligned across lessons, courses, subject areas, and grade levels (a curriculum, in the sense that the term is typically used by educators, encompasses everything that teachers teach to students in a school or course, including the instructional materials and techniques they use). </w:t>
      </w:r>
      <w:r>
        <w:rPr>
          <w:rStyle w:val="26"/>
          <w:sz w:val="24"/>
          <w:lang w:val="en-US"/>
        </w:rPr>
        <w:fldChar w:fldCharType="begin" w:fldLock="1"/>
      </w:r>
      <w:r>
        <w:rPr>
          <w:sz w:val="24"/>
          <w:lang w:val="en-US"/>
        </w:rPr>
        <w:instrText xml:space="preserve">ADDIN CSL_CITATION {"citationItems":[{"id":"ITEM-1","itemData":{"ISSN":"1812-9129","abstract":"The University of Nevada, Las Vegas (UNLV) was one of four participating institutions in the Association of American Colleges and Universities' (AAC&amp;U) Purposeful Pathways: Faculty Planning for Curricular Coherence Project, funded by the Teagle Foundation. The goal of the project was to examine and improve curriculum coherence in undergraduate programs at our institution. A team of UNLV faculty and administrators developed a framework for curricular review and a consultative model to support programs in the process of reviewing and revising their curricula. We implemented this process with the faculty of nine academic programs and assessed the impact of curricular review and revisions at various levels. To assess the impact of the revisions on curricular complexity, we made pre-post comparisons of complexity scores, as calculated by the University of New Mexico's Curricular Analytics platform (Heileman, Slim, Hickman, &amp; Abdallah, 2017). We used a survey adapted from the Concerns Based Adoption Model (George, Hall, &amp; Stiegelbauer, 2006) to evaluate faculty's perceptions of the curricular review and revision process. Finally, we used a custom rubric to qualitatively assess the outcome of the curriculum revisions and level of alignment with project goals. The results showed that, although faculty expressed high levels of confidence and low levels of concern about the curricular changes they proposed, most of the changes were focused on removing structural barriers to student progression and had little impact on curricular complexity. Future efforts should focus on incentivizing more holistic, ambitious, and substantive curricular revision.","author":[{"dropping-particle":"","family":"Pritchard","given":"Laurel M","non-dropping-particle":"","parse-names":false,"suffix":""},{"dropping-particle":"","family":"Bowles-Terry","given":"Melissa","non-dropping-particle":"","parse-names":false,"suffix":""},{"dropping-particle":"","family":"Couzens","given":"Lindsay","non-dropping-particle":"","parse-names":false,"suffix":""},{"dropping-particle":"","family":"Drake","given":"Maria","non-dropping-particle":"","parse-names":false,"suffix":""},{"dropping-particle":"","family":"Rodriguez-Robles","given":"Javier A","non-dropping-particle":"","parse-names":false,"suffix":""},{"dropping-particle":"","family":"Copeland","given":"David E","non-dropping-particle":"","parse-names":false,"suffix":""},{"dropping-particle":"","family":"Kim","given":"Peter","non-dropping-particle":"","parse-names":false,"suffix":""},{"dropping-particle":"","family":"Tillery","given":"Denise","non-dropping-particle":"","parse-names":false,"suffix":""},{"dropping-particle":"","family":"Drake","given":"Brent","non-dropping-particle":"","parse-names":false,"suffix":""}],"container-title":"International Journal of Teaching and Learning in Higher Education 2021","id":"ITEM-1","issue":"1","issued":{"date-parts":[["2021"]]},"page":"34-47","title":"Implementing Curricular Change Across the University: Challenges and Successes","type":"article-journal","volume":"33"},"uris":["http://www.mendeley.com/documents/?uuid=79571752-f50a-4cb8-8815-678e291626cd"]}],"mendeley":{"formattedCitation":"(Pritchard et al., 2021)","manualFormatting":"(Liu et al., 2021; Pritchard et al., 2021)","plainTextFormattedCitation":"(Pritchard et al., 2021)","previouslyFormattedCitation":"(Pritchard et al., 2021)"},"properties":{"noteIndex":0},"schema":"https://github.com/citation-style-language/schema/raw/master/csl-citation.json"}</w:instrText>
      </w:r>
      <w:r>
        <w:rPr>
          <w:rStyle w:val="26"/>
          <w:sz w:val="24"/>
          <w:lang w:val="en-US"/>
        </w:rPr>
        <w:fldChar w:fldCharType="separate"/>
      </w:r>
      <w:r>
        <w:rPr>
          <w:bCs/>
          <w:sz w:val="24"/>
        </w:rPr>
        <w:t>(</w:t>
      </w:r>
      <w:r>
        <w:rPr>
          <w:bCs/>
          <w:sz w:val="24"/>
          <w:lang w:val="en-US"/>
        </w:rPr>
        <w:t xml:space="preserve">Liu et al., 2021; </w:t>
      </w:r>
      <w:r>
        <w:rPr>
          <w:bCs/>
          <w:sz w:val="24"/>
        </w:rPr>
        <w:t>Pritchard et al., 2021)</w:t>
      </w:r>
      <w:r>
        <w:rPr>
          <w:rStyle w:val="26"/>
          <w:sz w:val="24"/>
          <w:lang w:val="en-US"/>
        </w:rPr>
        <w:fldChar w:fldCharType="end"/>
      </w:r>
      <w:r>
        <w:rPr>
          <w:sz w:val="24"/>
          <w:lang w:val="en-US"/>
        </w:rPr>
        <w:t>.</w:t>
      </w:r>
    </w:p>
    <w:p w14:paraId="26FE81BB">
      <w:pPr>
        <w:pStyle w:val="73"/>
        <w:ind w:firstLine="720"/>
        <w:contextualSpacing/>
        <w:rPr>
          <w:sz w:val="24"/>
          <w:lang w:val="en-US" w:bidi="th-TH"/>
        </w:rPr>
      </w:pPr>
      <w:r>
        <w:rPr>
          <w:sz w:val="24"/>
          <w:lang w:val="en-US" w:bidi="th-TH"/>
        </w:rPr>
        <w:t xml:space="preserve">The term generally refers to the alignment between learning standards and teaching, specifically how effectively and thoroughly a school or teacher ensures that the material taught to students corresponds with the academic expectations outlined in official learning standards (Soini et al., 2022). However, it also encompasses the broader coherence among the many interconnected elements involved in the educational process, such as assessments, standardized tests, textbooks, assignments, lessons, and instructional strategies (Ge et al., 2023; Ritz &amp; Sherf, 2023). When a curriculum lacks coherence, it may result from teachers independently selecting what to teach without collaborating with colleagues, aligning with uniform learning standards, or taking into account what students have previously learned and what they need to know in the future. As a result, students might encounter repetitive content from earlier years, face overlapping material across different subjects, or be exposed to lessons that are not developmentally appropriate </w:t>
      </w:r>
      <w:r>
        <w:rPr>
          <w:sz w:val="24"/>
          <w:lang w:val="en-US" w:bidi="th-TH"/>
        </w:rPr>
        <w:fldChar w:fldCharType="begin" w:fldLock="1"/>
      </w:r>
      <w:r>
        <w:rPr>
          <w:sz w:val="24"/>
          <w:lang w:val="en-US" w:bidi="th-TH"/>
        </w:rPr>
        <w:instrText xml:space="preserve">ADDIN CSL_CITATION {"citationItems":[{"id":"ITEM-1","itemData":{"DOI":"10.53761/1.20.4.12","ISSN":"14499789","abstract":"Academic developers work with colleagues from every discipline to facilitate learning about teaching, learning and assessment. Boud and Brew (2013) called for academic development to be significantly ‘closer to everyday practice’ while also recognising development involves extending notions of what ‘practice’ is. Moreover, Loads and Campbell (2015) called for greater authenticity of academic development: questioning and challenging custom and practice within disciplines in higher education. So how do academic developers, tasked with redeveloping their mandatory Postgraduate Certificate in Academic Practice (PGCAP), create an authentic and practical programme? Especially one that extends the scope of teaching practice, transforms curricula and assessment and meets strategic objectives around developing student literacies, graduate attributes and strengthening engagement in continuing professional development (University of Glasgow, 2015, 2021). This good practice example showcases the curricula design process of redesigning a cross-institutional PGCAP programme at a UK university, to one that has a strong focus on everyday academic practice, while also adopting authentic learning activities and practical assessments to unlock the creative pedagogical potential of early career academics, and build their confidence. The aim of the redesigned curricula being to encourage collaboration across disciplines, reflection, and learning beyond ‘normal’ and customary practices within disciplines. This paper also discusses the results of a mixed methods survey of academic colleagues (as students) studying the PGCAP, exploring their perceptions of the programme’s authenticity, its practicality, as well as the value of learning activities and assessments and, importantly, the impact on their practice. In terms of implications for practice, this paper encourages readers to consider how they could develop their own curriculum, introduce greater authenticity, and move away from deficit models of academic development.","author":[{"dropping-particle":"","family":"McEwan","given":"Michael P.","non-dropping-particle":"","parse-names":false,"suffix":""},{"dropping-particle":"","family":"Geary Pate","given":"Amanda C.","non-dropping-particle":"","parse-names":false,"suffix":""},{"dropping-particle":"","family":"Wilder-Davis","given":"Kimberly","non-dropping-particle":"","parse-names":false,"suffix":""}],"container-title":"Journal of University Teaching and Learning Practice","id":"ITEM-1","issue":"4","issued":{"date-parts":[["2023"]]},"title":"Academic development: Leading by example with an authentic and practical approach to curriculum design","type":"article-journal","volume":"20"},"uris":["http://www.mendeley.com/documents/?uuid=9b656c81-94b2-46a2-af5a-1dcede1f3121"]}],"mendeley":{"formattedCitation":"(McEwan et al., 2023)","plainTextFormattedCitation":"(McEwan et al., 2023)","previouslyFormattedCitation":"(McEwan et al., 2023)"},"properties":{"noteIndex":0},"schema":"https://github.com/citation-style-language/schema/raw/master/csl-citation.json"}</w:instrText>
      </w:r>
      <w:r>
        <w:rPr>
          <w:sz w:val="24"/>
          <w:lang w:val="en-US" w:bidi="th-TH"/>
        </w:rPr>
        <w:fldChar w:fldCharType="separate"/>
      </w:r>
      <w:r>
        <w:rPr>
          <w:sz w:val="24"/>
          <w:lang w:val="en-US" w:bidi="th-TH"/>
        </w:rPr>
        <w:t>(McEwan et al., 2023)</w:t>
      </w:r>
      <w:r>
        <w:rPr>
          <w:sz w:val="24"/>
          <w:lang w:val="en-US" w:bidi="th-TH"/>
        </w:rPr>
        <w:fldChar w:fldCharType="end"/>
      </w:r>
      <w:r>
        <w:rPr>
          <w:sz w:val="24"/>
          <w:lang w:val="en-US" w:bidi="th-TH"/>
        </w:rPr>
        <w:t>. Furthermore, the instructional materials and assignments may not effectively prepare students for upcoming assessments, and the tests used in a given course might fail to accurately measure whether students have achieved the intended academic outcomes for their grade level or subject.</w:t>
      </w:r>
    </w:p>
    <w:p w14:paraId="0CC39B6F">
      <w:pPr>
        <w:pStyle w:val="73"/>
        <w:ind w:firstLine="720"/>
        <w:contextualSpacing/>
        <w:rPr>
          <w:sz w:val="24"/>
          <w:lang w:val="en-US"/>
        </w:rPr>
      </w:pPr>
      <w:r>
        <w:rPr>
          <w:sz w:val="24"/>
          <w:lang w:val="en-US"/>
        </w:rPr>
        <w:t>The relationship between curriculum coherence and language development is rooted in the alignment and integration of educational elements to support meaningful and progressive learning experiences. Language development is about more than talking. It includes all the different ways a child understands and communicates, only part of which are spoken words (</w:t>
      </w:r>
      <w:r>
        <w:rPr>
          <w:sz w:val="24"/>
          <w:shd w:val="clear" w:color="auto" w:fill="FFFFFF"/>
        </w:rPr>
        <w:t>Álvarez Valencia</w:t>
      </w:r>
      <w:r>
        <w:rPr>
          <w:sz w:val="24"/>
          <w:shd w:val="clear" w:color="auto" w:fill="FFFFFF"/>
          <w:lang w:val="en-US"/>
        </w:rPr>
        <w:t xml:space="preserve"> &amp; Michelson, 2022</w:t>
      </w:r>
      <w:r>
        <w:rPr>
          <w:sz w:val="24"/>
          <w:lang w:val="en-US"/>
        </w:rPr>
        <w:t xml:space="preserve">; Duarte et al., 2020). To understand and use a language effectively, children must master four basic components of the language. First, they must master phonology: They must know how words sound and be able to produce the sequence of sounds that make up any given word. Second, they must master semantics, the meanings of a large number of words. Third, they must have a good command of syntax, rules for how words can be combined to form understandable phrases and sentences </w:t>
      </w:r>
      <w:r>
        <w:rPr>
          <w:sz w:val="24"/>
          <w:lang w:val="en-US"/>
        </w:rPr>
        <w:fldChar w:fldCharType="begin" w:fldLock="1"/>
      </w:r>
      <w:r>
        <w:rPr>
          <w:sz w:val="24"/>
          <w:lang w:val="en-US"/>
        </w:rPr>
        <w:instrText xml:space="preserve">ADDIN CSL_CITATION {"citationItems":[{"id":"ITEM-1","itemData":{"DOI":"10.1177/003368828401500101","ISSN":"1745526X","abstract":"In this survey paper the field of language curriculum develop ment is defined as encompassing the processes of needs analysis, goal setting, syllabus design, methodology and evaluation. Each of these curriculum processes is surveyed and issues and practices in each area are discussed. Needs analysis is discussed in relation to language pro gram planning and evaluation and different needs analysis pro cedures are examined. Different approaches to the planning of pro gram objectives in language teaching are illustrated and a distinction between behavioural, process, content and proficiency-based objec tives is made. The status of methodology within curriculum develop ment is discussed in terms of a distinction between content oriented methods and those concerned primarily with instructional processes. The role of a syllabus within each approach is illustrated. The need for an empirical basis for methodological statements is emphasized and it is suggested that the classroom processes methods generate cannot necessarily be inferred from the philosophy of the method itself. The role of evaluation is discussed and different procedures used in summative and formative evaluation in language teaching are surveyed. The paper emphasizes that language curriculum develop ment is not generally viewed in language teaching as a systematic set of interrelated processes and procedures which generate the data needed to develop sound educational practices. This may account for the lack of rigour and accountability in many language teaching pro grams. © 1984, Sage Publications. All rights reserved.","author":[{"dropping-particle":"","family":"Richards","given":"Jack C.","non-dropping-particle":"","parse-names":false,"suffix":""}],"container-title":"RELC Journal","id":"ITEM-1","issue":"1","issued":{"date-parts":[["1984"]]},"page":"1-29","title":"Language Curriculum Development","type":"article-journal","volume":"15"},"uris":["http://www.mendeley.com/documents/?uuid=d9b63840-59e3-499c-a387-558409042372"]}],"mendeley":{"formattedCitation":"(Richards, 1984)","manualFormatting":"(Richards, 1984; Liu et al., 2021)","plainTextFormattedCitation":"(Richards, 1984)","previouslyFormattedCitation":"(Richards, 1984)"},"properties":{"noteIndex":0},"schema":"https://github.com/citation-style-language/schema/raw/master/csl-citation.json"}</w:instrText>
      </w:r>
      <w:r>
        <w:rPr>
          <w:sz w:val="24"/>
          <w:lang w:val="en-US"/>
        </w:rPr>
        <w:fldChar w:fldCharType="separate"/>
      </w:r>
      <w:r>
        <w:rPr>
          <w:sz w:val="24"/>
          <w:lang w:val="en-US"/>
        </w:rPr>
        <w:t>(Richards, 1984; Liu et al., 2021)</w:t>
      </w:r>
      <w:r>
        <w:rPr>
          <w:sz w:val="24"/>
          <w:lang w:val="en-US"/>
        </w:rPr>
        <w:fldChar w:fldCharType="end"/>
      </w:r>
      <w:r>
        <w:rPr>
          <w:sz w:val="24"/>
          <w:lang w:val="en-US"/>
        </w:rPr>
        <w:t>. Finally, children must master the pragmatics of language, the use of social conventions and speaking strategies that enable effective communication with others.</w:t>
      </w:r>
    </w:p>
    <w:p w14:paraId="472EA327">
      <w:pPr>
        <w:pStyle w:val="73"/>
        <w:ind w:firstLine="709"/>
        <w:contextualSpacing/>
        <w:rPr>
          <w:sz w:val="24"/>
          <w:lang w:val="en-US"/>
        </w:rPr>
      </w:pPr>
      <w:r>
        <w:rPr>
          <w:sz w:val="24"/>
          <w:lang w:val="en-US" w:bidi="th-TH"/>
        </w:rPr>
        <w:t xml:space="preserve">Curriculum coherence and language development are deeply interconnected, as a well-structured and consistently aligned curriculum provides the foundation necessary for students to develop language skills in a meaningful and progressive way </w:t>
      </w:r>
      <w:r>
        <w:rPr>
          <w:sz w:val="24"/>
          <w:lang w:val="en-US" w:bidi="th-TH"/>
        </w:rPr>
        <w:fldChar w:fldCharType="begin" w:fldLock="1"/>
      </w:r>
      <w:r>
        <w:rPr>
          <w:sz w:val="24"/>
          <w:lang w:val="en-US" w:bidi="th-TH"/>
        </w:rPr>
        <w:instrText xml:space="preserve">ADDIN CSL_CITATION {"citationItems":[{"id":"ITEM-1","itemData":{"abstract":"Topics that receive broad coverage with little integration provide a fragile  foundation for integrated knowledge growth. In order to support the development  of integrated understanding in science, coherent instructional materials should be  developed to emphasize not only the learning of individual topics, but also the  connections between ideas and across topics and disciplines. To build coherent  instructional materials, designers can use empirically tested learning progressions  as a ready-made artifact. However, well-developed coherent instructional  materials should be designed, implemented, and tested as part the process of  empirically tested learning progressions as well. Because the process of building  such learning progressions is complex and iterative, research-based guidelines  require fully articulating the process for designers use in their development of  instructional materials. In this paper, we discuss six guidelines needed for  learning progressions to inform the development of coherent curricula over the  span of K-12 science education, focusing on organizing, identifying and  specifying critical concepts within big ideas. We illustrate how these guidelines  are applied to develop learning progressions and associated coherent instructional  materials using a single principled and systematic design process, ConstructCentered Design. We conclude by stating major challenges for the development  of a coherent curriculum based on LPs.","author":[{"dropping-particle":"","family":"Shin","given":"Namsoo","non-dropping-particle":"","parse-names":false,"suffix":""},{"dropping-particle":"","family":"Stevens","given":"Shawn Y","non-dropping-particle":"","parse-names":false,"suffix":""},{"dropping-particle":"","family":"Short","given":"Harry","non-dropping-particle":"","parse-names":false,"suffix":""},{"dropping-particle":"","family":"Krajcik","given":"Joseph","non-dropping-particle":"","parse-names":false,"suffix":""}],"container-title":"Learning Progressions in Science (LeaPS) Conference","id":"ITEM-1","issue":"June","issued":{"date-parts":[["2009"]]},"title":"Learning progressions to support coherence curricula in instructional material, instruction, and assessment design","type":"article-journal"},"uris":["http://www.mendeley.com/documents/?uuid=188c4871-8acc-4223-9eac-ebeae2b1e6a8"]}],"mendeley":{"formattedCitation":"(Shin et al., 2009)","plainTextFormattedCitation":"(Shin et al., 2009)","previouslyFormattedCitation":"(Shin et al., 2009)"},"properties":{"noteIndex":0},"schema":"https://github.com/citation-style-language/schema/raw/master/csl-citation.json"}</w:instrText>
      </w:r>
      <w:r>
        <w:rPr>
          <w:sz w:val="24"/>
          <w:lang w:val="en-US" w:bidi="th-TH"/>
        </w:rPr>
        <w:fldChar w:fldCharType="separate"/>
      </w:r>
      <w:r>
        <w:rPr>
          <w:sz w:val="24"/>
          <w:lang w:val="en-US" w:bidi="th-TH"/>
        </w:rPr>
        <w:t>(Shin et al., 2009)</w:t>
      </w:r>
      <w:r>
        <w:rPr>
          <w:sz w:val="24"/>
          <w:lang w:val="en-US" w:bidi="th-TH"/>
        </w:rPr>
        <w:fldChar w:fldCharType="end"/>
      </w:r>
      <w:r>
        <w:rPr>
          <w:sz w:val="24"/>
          <w:lang w:val="en-US" w:bidi="th-TH"/>
        </w:rPr>
        <w:t xml:space="preserve">. A coherent curriculum one that is intentionally designed, free of unnecessary repetition, and aligned across grade levels and subjects ensures that students receive instruction that builds logically on prior knowledge and prepares them for future learning (Islam et al., 2021). This alignment is especially crucial in language development, which involves mastering complex components such as phonology, semantics, syntax, and pragmatics (Liu et al., 2021; Ritz &amp; Sherf, 2023). When the curriculum is fragmented or lacks coherence, students may experience inconsistent exposure to essential language concepts, leading to gaps in their ability to understand and use language effectively. By contrast, when instructional materials, lessons, assessments, and teaching strategies are all aligned with academic standards and coordinated across grades, students are better supported in their language acquisition journey </w:t>
      </w:r>
      <w:r>
        <w:rPr>
          <w:sz w:val="24"/>
          <w:lang w:val="en-US" w:bidi="th-TH"/>
        </w:rPr>
        <w:fldChar w:fldCharType="begin" w:fldLock="1"/>
      </w:r>
      <w:r>
        <w:rPr>
          <w:sz w:val="24"/>
          <w:lang w:val="en-US" w:bidi="th-TH"/>
        </w:rPr>
        <w:instrText xml:space="preserve">ADDIN CSL_CITATION {"citationItems":[{"id":"ITEM-1","itemData":{"abstract":"This paper presents results from an exploratory case study of curriculum development processes at three Japanese universities. It considers the possible influence of \"The Action Plan to develop 'Japanese with Eng­ lish abilities'\" (Ministry of Education, 2003), reviews models of curriculum development from theory and compares those to data collected from informants working at the three institutions. Analysis focuses on how the processes undertaken by the universities over the last five years show similarities to those predicted by theory, but also highlights how activities in the institutions have differed. Results indicate that the national university in the study undertook curriculum development in the most systematic way, one key being the de­ velopment of a university­wide English language education policy, which was supported by the majority of teachers and administrators. The municipal university (only one faculty in this study) had carried out devel­ opment activities at its formation (2000), but had not continued the processes, particularly in the areas of needs and situation analysis plus evaluation. Curriculum development processes in the prefectural university were centered around an individual teacher, with little input from the rest of the organization. The most sig­ nificant insights from the study are formulated into guidelines for curriculum developers. Finally, the Action Plan was found to have had little influence on language curriculum development processes at the three uni­ versities in the study.","author":[{"dropping-particle":"","family":"Storey","given":"Christopher W","non-dropping-particle":"","parse-names":false,"suffix":""}],"container-title":"Electronic Journal of Foreign Language Teaching","id":"ITEM-1","issue":"1","issued":{"date-parts":[["2007"]]},"page":"86-107","title":"Insights into Language Curriculum Development","type":"article-journal","volume":"4"},"uris":["http://www.mendeley.com/documents/?uuid=40001194-7771-4559-8e3a-cd37a671517e"]}],"mendeley":{"formattedCitation":"(Storey, 2007)","plainTextFormattedCitation":"(Storey, 2007)","previouslyFormattedCitation":"(Storey, 2007)"},"properties":{"noteIndex":0},"schema":"https://github.com/citation-style-language/schema/raw/master/csl-citation.json"}</w:instrText>
      </w:r>
      <w:r>
        <w:rPr>
          <w:sz w:val="24"/>
          <w:lang w:val="en-US" w:bidi="th-TH"/>
        </w:rPr>
        <w:fldChar w:fldCharType="separate"/>
      </w:r>
      <w:r>
        <w:rPr>
          <w:sz w:val="24"/>
          <w:lang w:val="en-US" w:bidi="th-TH"/>
        </w:rPr>
        <w:t>(Storey, 2007)</w:t>
      </w:r>
      <w:r>
        <w:rPr>
          <w:sz w:val="24"/>
          <w:lang w:val="en-US" w:bidi="th-TH"/>
        </w:rPr>
        <w:fldChar w:fldCharType="end"/>
      </w:r>
      <w:r>
        <w:rPr>
          <w:sz w:val="24"/>
          <w:lang w:val="en-US" w:bidi="th-TH"/>
        </w:rPr>
        <w:t>. Therefore, curriculum coherence directly contributes to the successful development of language skills, as it creates a stable and supportive learning environment that promotes cumulative and age-appropriate linguistic growth.</w:t>
      </w:r>
    </w:p>
    <w:p w14:paraId="6335E0FD">
      <w:pPr>
        <w:pStyle w:val="73"/>
        <w:ind w:firstLine="0"/>
        <w:contextualSpacing/>
        <w:rPr>
          <w:sz w:val="24"/>
          <w:lang w:val="en-US"/>
        </w:rPr>
      </w:pPr>
    </w:p>
    <w:p w14:paraId="2505313D">
      <w:pPr>
        <w:pStyle w:val="73"/>
        <w:ind w:firstLine="0"/>
        <w:contextualSpacing/>
        <w:rPr>
          <w:b/>
          <w:bCs/>
          <w:sz w:val="24"/>
          <w:lang w:val="en-US"/>
        </w:rPr>
      </w:pPr>
      <w:r>
        <w:rPr>
          <w:b/>
          <w:bCs/>
          <w:sz w:val="24"/>
          <w:lang w:val="en-US"/>
        </w:rPr>
        <w:t>LITERATURE REVIEW</w:t>
      </w:r>
    </w:p>
    <w:p w14:paraId="533EB724">
      <w:pPr>
        <w:pStyle w:val="73"/>
        <w:ind w:firstLine="0"/>
        <w:contextualSpacing/>
        <w:rPr>
          <w:sz w:val="24"/>
          <w:lang w:val="en-US"/>
        </w:rPr>
      </w:pPr>
    </w:p>
    <w:p w14:paraId="2804D2F2">
      <w:pPr>
        <w:pStyle w:val="4"/>
        <w:jc w:val="both"/>
        <w:rPr>
          <w:rStyle w:val="32"/>
          <w:rFonts w:ascii="Times New Roman" w:hAnsi="Times New Roman"/>
          <w:b/>
          <w:bCs w:val="0"/>
          <w:szCs w:val="24"/>
        </w:rPr>
      </w:pPr>
      <w:r>
        <w:rPr>
          <w:rStyle w:val="32"/>
          <w:rFonts w:ascii="Times New Roman" w:hAnsi="Times New Roman"/>
          <w:b/>
          <w:bCs w:val="0"/>
          <w:szCs w:val="24"/>
        </w:rPr>
        <w:t>1. Defining Curriculum Coherence in Language Education</w:t>
      </w:r>
    </w:p>
    <w:p w14:paraId="5C1D52D9">
      <w:pPr>
        <w:jc w:val="both"/>
        <w:rPr>
          <w:rFonts w:ascii="Times New Roman" w:hAnsi="Times New Roman"/>
          <w:sz w:val="24"/>
          <w:szCs w:val="24"/>
          <w:lang w:val="zh-CN"/>
        </w:rPr>
      </w:pPr>
      <w:r>
        <w:rPr>
          <w:lang w:val="en-US"/>
        </w:rPr>
        <w:tab/>
      </w:r>
      <w:r>
        <w:rPr>
          <w:rFonts w:ascii="Times New Roman" w:hAnsi="Times New Roman"/>
          <w:sz w:val="24"/>
          <w:szCs w:val="24"/>
          <w:lang w:val="zh-CN"/>
        </w:rPr>
        <w:t>Assessment practices are integral to curriculum coherence and language development because they serve as a critical mechanism for measuring student progress, guiding instructional decisions, and ensuring alignment between learning objectives and outcomes (Richards, 1984). Mueller (2014) advocates for authentic assessment methods that closely align with instructional goals and reflect real-world language use, emphasizing that such assessments move beyond traditional paper-and-pencil tests to evaluate students’ ability to apply language skills in meaningful, practical contexts. Authentic assessments such as portfolios, oral presentations, role-plays, and project-based tasks offer opportunities for learners to demonstrate their communicative competence in ways that mirror real-life language demands (McEwan et al., 2023). These assessments provide rich, actionable feedback that not only highlights students’ strengths and weaknesses but also motivates learners by connecting classroom activities to their everyday language experiences (Dieckmann &amp; Skarin, 2024). When embedded within a coherent curriculum, authentic assessments promote deeper language learning (McPhail, 2020), foster student engagement (Fay et al., 2021), and support the development of critical thinking and problem-solving skills, all of which are essential for effective language acquisition and lifelong learning (Dickinson et al., 2012).</w:t>
      </w:r>
    </w:p>
    <w:p w14:paraId="6C002CDD">
      <w:pPr>
        <w:ind w:firstLine="720"/>
        <w:jc w:val="both"/>
        <w:rPr>
          <w:rFonts w:ascii="Times New Roman" w:hAnsi="Times New Roman"/>
          <w:sz w:val="24"/>
          <w:szCs w:val="24"/>
          <w:lang w:val="zh-CN"/>
        </w:rPr>
      </w:pPr>
      <w:r>
        <w:rPr>
          <w:rFonts w:ascii="Times New Roman" w:hAnsi="Times New Roman"/>
          <w:sz w:val="24"/>
          <w:szCs w:val="24"/>
          <w:lang w:val="zh-CN"/>
        </w:rPr>
        <w:t>Penaflorida (2014) explores nontraditional forms of assessment and underscores their significant role in fostering learner autonomy, a crucial factor for sustained and self-directed language development. Unlike conventional assessments that often emphasize memorization or isolated language skills, nontraditional assessments—such as self-assessments, peer evaluations, learner portfolios, and reflective journals—encourage students to actively participate in the evaluation process and critically reflect on their own progress (Álvarez Valencia &amp; Michelson, 2022). By incorporating diverse assessment strategies that reflect the varied contexts in which language is used, educators can create a more inclusive and learner-centered environment that supports individual differences and promotes personalized learning paths (Liu et al., 2021). This approach empowers students to become independent language users who can set goals, monitor their progress, and adjust their learning strategies accordingly (Storey, 2007). Furthermore, nontraditional assessments align well with communicative and task-based language teaching methodologies (Richards &amp; Renandya, 2002), as they emphasize authentic language use and learner engagement, thereby enhancing motivation, confidence, and ultimately, language proficiency (Widiati &amp; Cahyono, 2006).</w:t>
      </w:r>
    </w:p>
    <w:p w14:paraId="5DC618EA">
      <w:pPr>
        <w:ind w:firstLine="720"/>
        <w:jc w:val="both"/>
        <w:rPr>
          <w:rFonts w:ascii="Times New Roman" w:hAnsi="Times New Roman"/>
          <w:sz w:val="24"/>
          <w:szCs w:val="24"/>
          <w:lang w:val="zh-CN"/>
        </w:rPr>
      </w:pPr>
      <w:r>
        <w:rPr>
          <w:rFonts w:ascii="Times New Roman" w:hAnsi="Times New Roman"/>
          <w:sz w:val="24"/>
          <w:szCs w:val="24"/>
          <w:lang w:val="zh-CN"/>
        </w:rPr>
        <w:t>Islam et al. (2021) provide a comprehensive examination of English language assessment practices in Bangladesh, revealing several systemic challenges that impede the effective alignment of assessment with curriculum objectives. Their study highlights issues such as the over-reliance on standardized testing formats, lack of teacher training in assessment design, and insufficient integration of formative assessment practices, all of which contribute to a disconnect between what is taught and what is assessed. These challenges result in assessments that often fail to capture the full spectrum of students’ communicative abilities and do not provide meaningful feedback to guide further learning (Duarte et al., 2020). The authors emphasize the urgent need for coherent and contextually relevant assessment strategies that support holistic language development and reflect the curriculum’s goals of fostering communicative competence and critical thinking (Jaelani et al., 2019). Addressing these gaps requires collaborative efforts among policymakers, curriculum designers, educators, and assessment specialists to develop assessment frameworks that are valid, reliable, and aligned with instructional practices (Ritz &amp; Sherf, 2023). Such coherence in assessment not only enhances the quality of language education but also ensures that students are better prepared to meet the linguistic demands of academic, professional, and social contexts (Ge et al., 2023).</w:t>
      </w:r>
    </w:p>
    <w:p w14:paraId="13B6A1F3">
      <w:pPr>
        <w:rPr>
          <w:lang w:val="en-US"/>
        </w:rPr>
      </w:pPr>
    </w:p>
    <w:p w14:paraId="606FB20E">
      <w:pPr>
        <w:pStyle w:val="4"/>
        <w:jc w:val="both"/>
        <w:rPr>
          <w:rFonts w:ascii="Times New Roman" w:hAnsi="Times New Roman"/>
          <w:szCs w:val="24"/>
        </w:rPr>
      </w:pPr>
      <w:r>
        <w:rPr>
          <w:rStyle w:val="32"/>
          <w:rFonts w:ascii="Times New Roman" w:hAnsi="Times New Roman"/>
          <w:b/>
          <w:bCs w:val="0"/>
          <w:szCs w:val="24"/>
        </w:rPr>
        <w:t>2. Impact of Curriculum Coherence on Language Development</w:t>
      </w:r>
    </w:p>
    <w:p w14:paraId="380EA791">
      <w:pPr>
        <w:pStyle w:val="4"/>
        <w:ind w:firstLine="720"/>
        <w:jc w:val="both"/>
        <w:rPr>
          <w:rStyle w:val="88"/>
          <w:rFonts w:ascii="Times New Roman" w:hAnsi="Times New Roman" w:eastAsiaTheme="minorHAnsi"/>
          <w:b w:val="0"/>
          <w:szCs w:val="24"/>
        </w:rPr>
      </w:pPr>
      <w:r>
        <w:rPr>
          <w:rStyle w:val="88"/>
          <w:rFonts w:ascii="Times New Roman" w:hAnsi="Times New Roman" w:eastAsiaTheme="minorHAnsi"/>
          <w:b w:val="0"/>
          <w:szCs w:val="24"/>
          <w:lang w:val="id-ID"/>
        </w:rPr>
        <w:t>Empirical studies have consistently demonstrated the significant positive impact of curriculum coherence on language learning outcomes. Sullanmaa et al. (2019) found that perceived curriculum coherence</w:t>
      </w:r>
      <w:r>
        <w:rPr>
          <w:rStyle w:val="88"/>
          <w:rFonts w:ascii="Times New Roman" w:hAnsi="Times New Roman" w:eastAsiaTheme="minorHAnsi"/>
          <w:b w:val="0"/>
          <w:szCs w:val="24"/>
        </w:rPr>
        <w:t xml:space="preserve"> </w:t>
      </w:r>
      <w:r>
        <w:rPr>
          <w:rStyle w:val="88"/>
          <w:rFonts w:ascii="Times New Roman" w:hAnsi="Times New Roman" w:eastAsiaTheme="minorHAnsi"/>
          <w:b w:val="0"/>
          <w:szCs w:val="24"/>
          <w:lang w:val="id-ID"/>
        </w:rPr>
        <w:t>characterized by consistent objectives, integrative teaching approaches, and clear alignment between content and assessments—plays a crucial role in effective language instruction. This coherence ensures that learners experience a logical progression of skills and knowledge, which is essential for building foundational language abilities and conceptual understanding. When curricula are well-structured and sequenced, students are able to build on prior knowledge, avoid unnecessary repetition, and engage with increasingly challenging material as they progress. This approach not only supports language development but also fosters deeper learning and greater retention of language skills.</w:t>
      </w:r>
      <w:r>
        <w:rPr>
          <w:rStyle w:val="88"/>
          <w:rFonts w:ascii="Times New Roman" w:hAnsi="Times New Roman" w:eastAsiaTheme="minorHAnsi"/>
          <w:b w:val="0"/>
          <w:szCs w:val="24"/>
        </w:rPr>
        <w:t xml:space="preserve"> </w:t>
      </w:r>
    </w:p>
    <w:p w14:paraId="253F2F68">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Dieckmann and Skarin (2024) further argue that when language development supports are coherently embedded across instructional materials, multilingual learners are better able to transfer their language skills across different contexts and disciplines. This is particularly important in today’s diverse classrooms, where students often need to apply language skills in a variety of academic and real-world situations. Coherent curricula help learners see the relevance of language learning to other subjects and everyday life, thereby increasing motivation and engagement. For example, integrated curriculum models, which combine multiple disciplines and language skills into a cohesive framework, have been shown to improve both language proficiency and content knowledge by encouraging language use in diverse contexts and promoting critical thinking.</w:t>
      </w:r>
    </w:p>
    <w:p w14:paraId="040A786F">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A growing body of international research supports the idea that curriculum coherence is a fundamental characteristic of high-performing education systems. Studies have shown that countries or regions with highly coherent curricula</w:t>
      </w:r>
      <w:r>
        <w:rPr>
          <w:rStyle w:val="88"/>
          <w:rFonts w:ascii="Times New Roman" w:hAnsi="Times New Roman" w:eastAsiaTheme="minorHAnsi"/>
          <w:b w:val="0"/>
          <w:szCs w:val="24"/>
        </w:rPr>
        <w:t xml:space="preserve"> </w:t>
      </w:r>
      <w:r>
        <w:rPr>
          <w:rStyle w:val="88"/>
          <w:rFonts w:ascii="Times New Roman" w:hAnsi="Times New Roman" w:eastAsiaTheme="minorHAnsi"/>
          <w:b w:val="0"/>
          <w:szCs w:val="24"/>
          <w:lang w:val="id-ID"/>
        </w:rPr>
        <w:t>where intended content is present in textbooks, taught in classrooms, and assessed in a consistent manner</w:t>
      </w:r>
      <w:r>
        <w:rPr>
          <w:rStyle w:val="88"/>
          <w:rFonts w:ascii="Times New Roman" w:hAnsi="Times New Roman" w:eastAsiaTheme="minorHAnsi"/>
          <w:b w:val="0"/>
          <w:szCs w:val="24"/>
        </w:rPr>
        <w:t xml:space="preserve"> </w:t>
      </w:r>
      <w:r>
        <w:rPr>
          <w:rStyle w:val="88"/>
          <w:rFonts w:ascii="Times New Roman" w:hAnsi="Times New Roman" w:eastAsiaTheme="minorHAnsi"/>
          <w:b w:val="0"/>
          <w:szCs w:val="24"/>
          <w:lang w:val="id-ID"/>
        </w:rPr>
        <w:t>tend to achieve higher scores on international assessments (sunberg, 2022). For instance, Schmidt and colleagues found that in countries with high test scores, curricula were characterized by a clear progression of topics, alignment of instructional approaches, and a focus on depth rather than breadth. Similarly, in Chicago public schools, internal and external curriculum coherence was strongly associated with higher student achievement in reading and mathematics. These findings suggest that curriculum coherence not only enhances language development but also supports overall academic success.</w:t>
      </w:r>
    </w:p>
    <w:p w14:paraId="20BAF106">
      <w:pPr>
        <w:ind w:firstLine="720"/>
        <w:jc w:val="both"/>
        <w:rPr>
          <w:rFonts w:ascii="Times New Roman" w:hAnsi="Times New Roman"/>
          <w:sz w:val="24"/>
          <w:szCs w:val="24"/>
        </w:rPr>
      </w:pPr>
      <w:r>
        <w:rPr>
          <w:rFonts w:ascii="Times New Roman" w:hAnsi="Times New Roman"/>
          <w:sz w:val="24"/>
          <w:szCs w:val="24"/>
        </w:rPr>
        <w:t>However, the successful implementation of coherent curricula is not without challenges. It requires strong teacher collaboration, institutional support, and ongoing professional development. Research has shown that teacher readiness and the ability to integrate language instruction with other subjects are critical factors in achieving positive outcomes (Amrina et.al., 2024). Additionally, contextual and cultural factors can influence the effectiveness of curriculum coherence. For example, in the implementation of the Kurikulum Merdeka in Indonesia, while the curriculum offers flexibility and supports meaningful language learning experiences, challenges such as limited teacher understanding, insufficient resources, and difficulties in adapting to new teaching methods can hinder its effectiveness (Nuraini et. al., 2025) Continuous professional development, adequate resources, and supportive policies are essential to overcome these barriers and maximize the benefits of coherent curricula.</w:t>
      </w:r>
    </w:p>
    <w:p w14:paraId="3EBD3D95">
      <w:pPr>
        <w:ind w:firstLine="720"/>
        <w:jc w:val="both"/>
        <w:rPr>
          <w:rFonts w:ascii="Times New Roman" w:hAnsi="Times New Roman"/>
          <w:sz w:val="24"/>
          <w:szCs w:val="24"/>
        </w:rPr>
      </w:pPr>
      <w:r>
        <w:rPr>
          <w:rFonts w:ascii="Times New Roman" w:hAnsi="Times New Roman"/>
          <w:sz w:val="24"/>
          <w:szCs w:val="24"/>
        </w:rPr>
        <w:t>In summary, curriculum coherence is widely recognized as a key driver of effective language instruction and overall educational quality. By aligning objectives, content, teaching, and assessment, coherent curricula support deeper learning, skill transfer, and higher achievement. However, realizing these benefits requires careful planning, teacher collaboration, and ongoing support. As education systems continue to evolve, ensuring curriculum coherence will remain a critical factor in fostering language development and preparing students for success in an increasingly interconnected world (Amrina et.al, 2024).</w:t>
      </w:r>
    </w:p>
    <w:p w14:paraId="7CF06520">
      <w:pPr>
        <w:pStyle w:val="4"/>
        <w:jc w:val="both"/>
        <w:rPr>
          <w:rFonts w:ascii="Times New Roman" w:hAnsi="Times New Roman"/>
          <w:szCs w:val="24"/>
        </w:rPr>
      </w:pPr>
      <w:r>
        <w:rPr>
          <w:rStyle w:val="32"/>
          <w:rFonts w:ascii="Times New Roman" w:hAnsi="Times New Roman"/>
          <w:b/>
          <w:bCs w:val="0"/>
          <w:szCs w:val="24"/>
        </w:rPr>
        <w:t>3. Curriculum Coherence in High-Performing Education Systems</w:t>
      </w:r>
    </w:p>
    <w:p w14:paraId="2D648153">
      <w:pPr>
        <w:pStyle w:val="4"/>
        <w:ind w:firstLine="720"/>
        <w:jc w:val="both"/>
        <w:rPr>
          <w:rFonts w:ascii="Times New Roman" w:hAnsi="Times New Roman"/>
          <w:b w:val="0"/>
          <w:bCs/>
          <w:szCs w:val="24"/>
          <w:lang w:val="zh-CN"/>
        </w:rPr>
      </w:pPr>
      <w:r>
        <w:rPr>
          <w:rFonts w:ascii="Times New Roman" w:hAnsi="Times New Roman"/>
          <w:b w:val="0"/>
          <w:bCs/>
          <w:szCs w:val="24"/>
          <w:lang w:val="zh-CN"/>
        </w:rPr>
        <w:t>High-performing education systems often exhibit strong curriculum coherence, which is widely recognized as a foundational element in achieving consistent student success and high levels of attainment. In such systems, curriculum content, instructional methods, and assessment strategies are intentionally aligned across grade levels and subject areas, ensuring that learning objectives are clear, connected, and progressively build upon one another as students advance through their education</w:t>
      </w:r>
      <w:r>
        <w:t>.</w:t>
      </w:r>
      <w:r>
        <w:rPr>
          <w:rFonts w:ascii="Times New Roman" w:hAnsi="Times New Roman"/>
          <w:b w:val="0"/>
          <w:bCs/>
          <w:szCs w:val="24"/>
          <w:lang w:val="zh-CN"/>
        </w:rPr>
        <w:t> This alignment not only minimizes unnecessary repetition and content gaps but also allows for a more seamless and cumulative learning experience, supporting both academic growth and skill development</w:t>
      </w:r>
      <w:r>
        <w:t>.</w:t>
      </w:r>
    </w:p>
    <w:p w14:paraId="03C21B02">
      <w:pPr>
        <w:pStyle w:val="4"/>
        <w:ind w:firstLine="720"/>
        <w:jc w:val="both"/>
        <w:rPr>
          <w:rFonts w:ascii="Times New Roman" w:hAnsi="Times New Roman"/>
          <w:b w:val="0"/>
          <w:bCs/>
          <w:szCs w:val="24"/>
          <w:lang w:val="zh-CN"/>
        </w:rPr>
      </w:pPr>
      <w:r>
        <w:rPr>
          <w:rFonts w:ascii="Times New Roman" w:hAnsi="Times New Roman"/>
          <w:b w:val="0"/>
          <w:bCs/>
          <w:szCs w:val="24"/>
          <w:lang w:val="zh-CN"/>
        </w:rPr>
        <w:t>A notable example of curriculum coherence can be seen in the International Baccalaureate's Middle Years Programme (MYP), which places a strong emphasis on the alignment and integration of language acquisition objectives throughout the curriculum. In the MYP, language learning is not isolated within language classes but is embedded across various subjects and grade levels, enabling students to continually develop and apply their language skills in diverse disciplinary contexts (Thier et al., 2017). This cross-curricular approach ensures that students encounter consistent language expectations and opportunities for authentic practice, thereby fostering deeper understanding and greater proficiency in language use.</w:t>
      </w:r>
    </w:p>
    <w:p w14:paraId="4892C4A3">
      <w:pPr>
        <w:pStyle w:val="4"/>
        <w:ind w:firstLine="720"/>
        <w:jc w:val="both"/>
        <w:rPr>
          <w:rFonts w:ascii="Times New Roman" w:hAnsi="Times New Roman"/>
          <w:b w:val="0"/>
          <w:bCs/>
          <w:szCs w:val="24"/>
          <w:lang w:val="zh-CN"/>
        </w:rPr>
      </w:pPr>
      <w:r>
        <w:rPr>
          <w:rFonts w:ascii="Times New Roman" w:hAnsi="Times New Roman"/>
          <w:b w:val="0"/>
          <w:bCs/>
          <w:szCs w:val="24"/>
          <w:lang w:val="zh-CN"/>
        </w:rPr>
        <w:t>Empirical studies reinforce the significance of curriculum coherence in high-performing systems. For example, research comparing international education systems participating in the Trends in International Mathematics and Science Study (TIMSS) found that countries with highly coherent curricula where the intended content is reflected in textbooks and classroom instruction consistently achieve higher test scores. In these systems, curriculum content is carefully sequenced so that each topic builds on prior learning and increases in complexity, supporting a logical progression that enhances student mastery and confidence. Conversely, systems with fragmented or poorly aligned curricula often experience uneven student outcomes and lower overall performance, as seen in comparative studies involving the United States.</w:t>
      </w:r>
    </w:p>
    <w:p w14:paraId="418E81CC">
      <w:pPr>
        <w:pStyle w:val="4"/>
        <w:ind w:firstLine="720"/>
        <w:jc w:val="both"/>
        <w:rPr>
          <w:rFonts w:ascii="Times New Roman" w:hAnsi="Times New Roman"/>
          <w:b w:val="0"/>
          <w:bCs/>
          <w:szCs w:val="24"/>
          <w:lang w:val="zh-CN"/>
        </w:rPr>
      </w:pPr>
      <w:r>
        <w:rPr>
          <w:rFonts w:ascii="Times New Roman" w:hAnsi="Times New Roman"/>
          <w:b w:val="0"/>
          <w:bCs/>
          <w:szCs w:val="24"/>
          <w:lang w:val="zh-CN"/>
        </w:rPr>
        <w:t>Furthermore, coherent curriculum design benefits both teachers and students. Teachers are better equipped to plan instruction and assessments that align with overarching curricular goals, facilitating collaborative planning and professional development. For students, a coherent curriculum provides clarity regarding learning expectations and pathways, enabling them to transfer and apply their skills across subjects and in real-world situations</w:t>
      </w:r>
      <w:r>
        <w:t>.</w:t>
      </w:r>
      <w:r>
        <w:rPr>
          <w:rFonts w:ascii="Times New Roman" w:hAnsi="Times New Roman"/>
          <w:b w:val="0"/>
          <w:bCs/>
          <w:szCs w:val="24"/>
          <w:lang w:val="zh-CN"/>
        </w:rPr>
        <w:t> This holistic approach not only supports academic achievement but also prepares students for future challenges in an interconnected, multilingual world (Bateman et al., 2008; Ritz &amp; Sherf, 2023)</w:t>
      </w:r>
      <w:r>
        <w:rPr>
          <w:lang w:val="zh-CN"/>
        </w:rPr>
        <w:t>.</w:t>
      </w:r>
      <w:r>
        <w:rPr>
          <w:rFonts w:ascii="Times New Roman" w:hAnsi="Times New Roman"/>
          <w:b w:val="0"/>
          <w:bCs/>
          <w:szCs w:val="24"/>
          <w:lang w:val="zh-CN"/>
        </w:rPr>
        <w:t xml:space="preserve"> </w:t>
      </w:r>
    </w:p>
    <w:p w14:paraId="13164E1F">
      <w:pPr>
        <w:pStyle w:val="4"/>
        <w:jc w:val="both"/>
        <w:rPr>
          <w:rFonts w:ascii="Times New Roman" w:hAnsi="Times New Roman"/>
          <w:szCs w:val="24"/>
        </w:rPr>
      </w:pPr>
      <w:r>
        <w:rPr>
          <w:rStyle w:val="32"/>
          <w:rFonts w:ascii="Times New Roman" w:hAnsi="Times New Roman"/>
          <w:b/>
          <w:bCs w:val="0"/>
          <w:szCs w:val="24"/>
        </w:rPr>
        <w:t>4. Challenges in Achieving Curriculum Coherence</w:t>
      </w:r>
    </w:p>
    <w:p w14:paraId="59BFBB06">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Despite the well-documented benefits of curriculum coherence, implementing it consistently in educational settings presents several significant challenges. One of the primary obstacles is the variation in teacher interpretations of curriculum objectives and standards. Sullanmaa et al. (2019) emphasize that without a shared understanding of curriculum goals, educators may adopt disparate instructional practices, resulting in a fragmented learning experience for students. This lack of alignment can undermine the intended progression of skills and knowledge, ultimately diminishing the effectiveness of language instruction.</w:t>
      </w:r>
    </w:p>
    <w:p w14:paraId="2B76C520">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In addition to divergent interpretations, the lack of adequate professional development further complicates the pursuit of curriculum coherence. Teachers often require ongoing training and support to effectively integrate new pedagogical approaches and align their teaching with curriculum objectives (Darling-Hammond, 2017). Without access to high-quality professional development, educators may revert to traditional or less effective methods, which can perpetuate inconsistencies in instruction and assessment.</w:t>
      </w:r>
    </w:p>
    <w:p w14:paraId="06751E57">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Institutional constraints also play a critical role in hindering curriculum coherence. These constraints can include limited time for collaboration among teachers, insufficient resources for curriculum development, and rigid administrative structures that impede flexibility. For example, in many schools, teachers are burdened with heavy workloads and tight schedules, leaving little room for meaningful collaboration or curriculum planning (Hargreaves &amp; Fullan, 2012). Such conditions make it difficult to foster a shared vision and coordinated approach to teaching and learning.</w:t>
      </w:r>
    </w:p>
    <w:p w14:paraId="5619AE8B">
      <w:pPr>
        <w:pStyle w:val="4"/>
        <w:ind w:firstLine="720"/>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Another major challenge is the complexity involved in designing instructional materials that embed language supports across the curriculum. As noted by Dieckmann and Skarin (2024), creating materials that consistently integrate language development requires significant time, expertise, and resources. Schools and districts with limited budgets or expertise may struggle to produce or acquire high-quality materials, leading to gaps in instruction and assessment. This issue is particularly acute in multilingual and diverse classrooms, where the need for language-rich, contextually relevant materials is especially pronounced (Walqui, 2006).</w:t>
      </w:r>
    </w:p>
    <w:p w14:paraId="3249FA84">
      <w:pPr>
        <w:pStyle w:val="4"/>
        <w:ind w:firstLine="709"/>
        <w:jc w:val="both"/>
        <w:rPr>
          <w:rStyle w:val="88"/>
          <w:rFonts w:ascii="Times New Roman" w:hAnsi="Times New Roman" w:eastAsiaTheme="minorHAnsi"/>
          <w:b w:val="0"/>
          <w:szCs w:val="24"/>
          <w:lang w:val="id-ID"/>
        </w:rPr>
      </w:pPr>
      <w:r>
        <w:rPr>
          <w:rStyle w:val="88"/>
          <w:rFonts w:ascii="Times New Roman" w:hAnsi="Times New Roman" w:eastAsiaTheme="minorHAnsi"/>
          <w:b w:val="0"/>
          <w:szCs w:val="24"/>
          <w:lang w:val="id-ID"/>
        </w:rPr>
        <w:t>Moreover, the implementation of coherent curricula is often hampered by external pressures, such as standardized testing and accountability measures, which can divert attention away from deep, integrated learning experiences (Au, 2007). These pressures may encourage teachers to focus narrowly on test preparation rather than on fostering meaningful connections across subjects and disciplines.</w:t>
      </w:r>
      <w:r>
        <w:t xml:space="preserve"> </w:t>
      </w:r>
      <w:r>
        <w:rPr>
          <w:rStyle w:val="88"/>
          <w:rFonts w:ascii="Times New Roman" w:hAnsi="Times New Roman" w:eastAsiaTheme="minorHAnsi"/>
          <w:b w:val="0"/>
          <w:szCs w:val="24"/>
          <w:lang w:val="id-ID"/>
        </w:rPr>
        <w:t>In summary, while curriculum coherence is widely recognized as essential for effective language development and overall educational success, its achievement is fraught with challenges. Addressing these challenges requires a multifaceted approach, including ongoing professional development, strong teacher collaboration, adequate resources, and supportive institutional policies. Only by tackling these barriers can schools and educators fully realize the potential of coherent curricula to enhance student learning and language proficiency.</w:t>
      </w:r>
    </w:p>
    <w:p w14:paraId="5B1C62A2">
      <w:pPr>
        <w:pStyle w:val="4"/>
        <w:jc w:val="both"/>
        <w:rPr>
          <w:rStyle w:val="32"/>
          <w:rFonts w:ascii="Times New Roman" w:hAnsi="Times New Roman"/>
          <w:b/>
          <w:bCs w:val="0"/>
          <w:szCs w:val="24"/>
        </w:rPr>
      </w:pPr>
      <w:r>
        <w:rPr>
          <w:rStyle w:val="32"/>
          <w:rFonts w:ascii="Times New Roman" w:hAnsi="Times New Roman"/>
          <w:b/>
          <w:bCs w:val="0"/>
          <w:szCs w:val="24"/>
        </w:rPr>
        <w:t>5. Strategies for Enhancing Curriculum Coherence</w:t>
      </w:r>
    </w:p>
    <w:p w14:paraId="6B00C208">
      <w:pPr>
        <w:jc w:val="both"/>
        <w:rPr>
          <w:rFonts w:ascii="Times New Roman" w:hAnsi="Times New Roman"/>
          <w:sz w:val="24"/>
          <w:szCs w:val="24"/>
        </w:rPr>
      </w:pPr>
      <w:r>
        <w:rPr>
          <w:lang w:val="en-US"/>
        </w:rPr>
        <w:tab/>
      </w:r>
      <w:r>
        <w:rPr>
          <w:rFonts w:ascii="Times New Roman" w:hAnsi="Times New Roman"/>
          <w:sz w:val="24"/>
          <w:szCs w:val="24"/>
        </w:rPr>
        <w:t>To address these challenges, collaborative curriculum design and ongoing professional development are essential. McPhail (2020) suggests that involving educators in the curriculum development process fosters a deeper understanding of content coherence. Moreover, Dieckmann and Skarin (2024) recommend integrating language development supports across tasks, lessons, and units to create a cohesive learning experience for multilingual learners.​ A study by Voogt et al. (2019) highlights that collaboration among teachers in designing curricula enhances their understanding of content and structure while also strengthening their professional capacity. Grapin (2021) emphasizes that coherence in science instruction for multilingual students can be achieved by designing interconnected lessons that build knowledge progressively. Sullanmaa et al. (2022) found that teachers’ perceptions of curriculum coherence are significantly influenced by their understanding of curriculum reform goals and the alignment between those goals and their instructional practices. Hélot and Ó Laoire (2011) identified key principles of multilingual pedagogy, including the recognition of linguistic diversity and shifting identities in migratory contexts, as well as the development of students’ metalinguistic awareness. Integrating this approach into the curriculum can foster more inclusive and cohesive learning experiences for all students.</w:t>
      </w:r>
    </w:p>
    <w:p w14:paraId="17209D4D">
      <w:pPr>
        <w:rPr>
          <w:rFonts w:ascii="Times New Roman" w:hAnsi="Times New Roman"/>
          <w:sz w:val="24"/>
          <w:szCs w:val="24"/>
          <w:lang w:val="en-US"/>
        </w:rPr>
      </w:pPr>
    </w:p>
    <w:p w14:paraId="593F5821">
      <w:pPr>
        <w:jc w:val="both"/>
        <w:rPr>
          <w:rFonts w:ascii="Times New Roman" w:hAnsi="Times New Roman"/>
          <w:b/>
          <w:color w:val="000000" w:themeColor="text1"/>
          <w:sz w:val="24"/>
          <w:szCs w:val="24"/>
          <w14:textFill>
            <w14:solidFill>
              <w14:schemeClr w14:val="tx1"/>
            </w14:solidFill>
          </w14:textFill>
        </w:rPr>
      </w:pPr>
      <w:commentRangeStart w:id="1"/>
      <w:r>
        <w:rPr>
          <w:rFonts w:ascii="Times New Roman" w:hAnsi="Times New Roman"/>
          <w:b/>
          <w:color w:val="000000" w:themeColor="text1"/>
          <w:sz w:val="24"/>
          <w:szCs w:val="24"/>
          <w14:textFill>
            <w14:solidFill>
              <w14:schemeClr w14:val="tx1"/>
            </w14:solidFill>
          </w14:textFill>
        </w:rPr>
        <w:t>METHODOLOGY</w:t>
      </w:r>
      <w:commentRangeEnd w:id="1"/>
      <w:r>
        <w:commentReference w:id="1"/>
      </w:r>
    </w:p>
    <w:p w14:paraId="6E24DCED">
      <w:pPr>
        <w:ind w:firstLine="709"/>
        <w:jc w:val="both"/>
        <w:rPr>
          <w:rFonts w:ascii="Times New Roman" w:hAnsi="Times New Roman" w:eastAsia="Times New Roman"/>
          <w:b/>
          <w:bCs/>
          <w:sz w:val="28"/>
          <w:szCs w:val="28"/>
          <w:lang w:val="zh-CN" w:eastAsia="zh-CN"/>
        </w:rPr>
      </w:pPr>
      <w:r>
        <w:rPr>
          <w:rFonts w:ascii="Times New Roman" w:hAnsi="Times New Roman" w:eastAsia="Times New Roman"/>
          <w:sz w:val="24"/>
          <w:szCs w:val="24"/>
          <w:lang w:val="zh-CN" w:eastAsia="zh-CN"/>
        </w:rPr>
        <w:t>This study employed a qualitative library research design, using a narrative literature review approach to explore the relationship between curriculum coherence and language development. This method was selected to synthesize and critically evaluate existing theoretical and empirical studies related to the topic, providing a comprehensive understanding based on scholarly sources. The narrative review approach allows for flexible integration of diverse findings, interpretations, and conceptual frameworks across different educational systems and contexts.</w:t>
      </w:r>
      <w:r>
        <w:t xml:space="preserve"> </w:t>
      </w:r>
      <w:r>
        <w:rPr>
          <w:rFonts w:ascii="Times New Roman" w:hAnsi="Times New Roman"/>
          <w:sz w:val="24"/>
          <w:szCs w:val="24"/>
        </w:rPr>
        <w:t>This study seeks to answer the question:</w:t>
      </w:r>
      <w:r>
        <w:rPr>
          <w:rFonts w:ascii="Times New Roman" w:hAnsi="Times New Roman"/>
          <w:b/>
          <w:bCs/>
          <w:sz w:val="24"/>
          <w:szCs w:val="24"/>
        </w:rPr>
        <w:t xml:space="preserve"> </w:t>
      </w:r>
      <w:r>
        <w:rPr>
          <w:rStyle w:val="32"/>
          <w:rFonts w:ascii="Times New Roman" w:hAnsi="Times New Roman"/>
          <w:b w:val="0"/>
          <w:bCs w:val="0"/>
          <w:sz w:val="24"/>
          <w:szCs w:val="24"/>
        </w:rPr>
        <w:t>How does curriculum coherence influence language development in educational settings, as reflected in existing literature and theoretical perspectives?</w:t>
      </w:r>
    </w:p>
    <w:p w14:paraId="173C625E">
      <w:pPr>
        <w:ind w:firstLine="709"/>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The data for this study were obtained from secondary sources, including peer-reviewed journal articles, academic books, research reports, and policy documents issued by reputable educational institutions and organizations. These materials were sourced from academic databases such as Google Scholar, JSTOR, ERIC (Education Resources Information Center), Taylor &amp; Francis Online, and Cambridge Core. Additional data were gathered from the official websites of organizations like the International Baccalaureate (IB), Cambridge Assessment, and the British Educational Research Association (BERA).</w:t>
      </w:r>
    </w:p>
    <w:p w14:paraId="029663C7">
      <w:pPr>
        <w:ind w:firstLine="709"/>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To ensure the relevance and quality of the literature reviewed, the study applied specific inclusion and exclusion criteria. The inclusion criteria required that sources be published within the last fifteen years (2010–2025), with exceptions made for foundational works deemed essential to the topic. Only English-language sources were considered, and the focus was limited to studies directly addressing curriculum coherence and language development across primary, secondary, and tertiary education. Publications were also required to be peer-reviewed or issued by established educational organizations. In contrast, studies that were unrelated to curriculum or language learning, not published in English, or derived from informal sources without academic backing were excluded.</w:t>
      </w:r>
    </w:p>
    <w:p w14:paraId="5E7E8289">
      <w:pPr>
        <w:ind w:firstLine="709"/>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A systematic literature search was conducted using keyword combinations such as "curriculum coherence," "language development," "curriculum alignment in language learning," "coherent instruction and language acquisition," and "curriculum integration and literacy skills." Boolean operators such as AND and OR were used to narrow and refine search results. Irrelevant or duplicate sources were removed manually during the selection process.</w:t>
      </w:r>
    </w:p>
    <w:p w14:paraId="3662B949">
      <w:pPr>
        <w:ind w:firstLine="709"/>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For data analysis, a thematic analysis approach was used. This involved identifying recurring patterns, coding essential ideas, and categorizing the findings into major themes such as definitions of curriculum coherence, its effects on language acquisition, and various curriculum models supporting coherence. These themes were then compared and synthesized to provide a nuanced understanding of how curriculum coherence contributes to language development across different educational settings.</w:t>
      </w:r>
    </w:p>
    <w:p w14:paraId="046AE523">
      <w:pPr>
        <w:ind w:firstLine="709"/>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To ensure the trustworthiness of the study, only academically credible and peer-reviewed sources were included. Nevertheless, the study is limited by its reliance on existing literature and the absence of primary data collection or field-based observations. These limitations suggest avenues for future research, particularly in applying and testing findings in practical teaching contexts.</w:t>
      </w:r>
    </w:p>
    <w:p w14:paraId="13E52B5C">
      <w:pPr>
        <w:jc w:val="both"/>
        <w:rPr>
          <w:rFonts w:ascii="Times New Roman" w:hAnsi="Times New Roman"/>
          <w:b/>
          <w:sz w:val="24"/>
          <w:szCs w:val="24"/>
          <w:lang w:val="en-US"/>
        </w:rPr>
      </w:pPr>
    </w:p>
    <w:p w14:paraId="59BD3260">
      <w:pPr>
        <w:jc w:val="both"/>
        <w:rPr>
          <w:rFonts w:ascii="Times New Roman" w:hAnsi="Times New Roman"/>
          <w:b/>
          <w:sz w:val="24"/>
          <w:szCs w:val="24"/>
        </w:rPr>
      </w:pPr>
      <w:commentRangeStart w:id="2"/>
      <w:r>
        <w:rPr>
          <w:rFonts w:ascii="Times New Roman" w:hAnsi="Times New Roman"/>
          <w:b/>
          <w:sz w:val="24"/>
          <w:szCs w:val="24"/>
        </w:rPr>
        <w:t>FINDINGS AND DISCUSSION</w:t>
      </w:r>
      <w:commentRangeEnd w:id="2"/>
      <w:r>
        <w:commentReference w:id="2"/>
      </w:r>
    </w:p>
    <w:p w14:paraId="4A42716E">
      <w:pPr>
        <w:pStyle w:val="4"/>
        <w:jc w:val="both"/>
        <w:rPr>
          <w:rStyle w:val="32"/>
          <w:rFonts w:ascii="Times New Roman" w:hAnsi="Times New Roman"/>
          <w:b/>
          <w:bCs w:val="0"/>
          <w:szCs w:val="24"/>
        </w:rPr>
      </w:pPr>
      <w:r>
        <w:rPr>
          <w:rStyle w:val="32"/>
          <w:rFonts w:ascii="Times New Roman" w:hAnsi="Times New Roman"/>
          <w:b/>
          <w:bCs w:val="0"/>
          <w:szCs w:val="24"/>
        </w:rPr>
        <w:t>1. Curriculum Coherence as a Catalyst for Language Development</w:t>
      </w:r>
    </w:p>
    <w:p w14:paraId="720659A8">
      <w:pPr>
        <w:jc w:val="both"/>
        <w:rPr>
          <w:rFonts w:ascii="Times New Roman" w:hAnsi="Times New Roman"/>
          <w:sz w:val="24"/>
          <w:szCs w:val="24"/>
          <w:lang w:val="zh-CN"/>
        </w:rPr>
      </w:pPr>
      <w:r>
        <w:rPr>
          <w:lang w:val="en-US"/>
        </w:rPr>
        <w:tab/>
      </w:r>
      <w:r>
        <w:rPr>
          <w:rFonts w:ascii="Times New Roman" w:hAnsi="Times New Roman"/>
          <w:sz w:val="24"/>
          <w:szCs w:val="24"/>
          <w:lang w:val="zh-CN"/>
        </w:rPr>
        <w:t>Curriculum coherence plays a pivotal role in enhancing language development by ensuring that instructional materials, teaching strategies, and assessments are systematically aligned to create a unified and progressive learning experience. Dieckmann and Skarin (2024) emphasize the necessity of embedding language development supports coherently within instructional materials, arguing that such integration allows students to engage with academic language in context rather than in isolation. They advocate for the explicit introduction and spiraling of content area language such as disciplinary vocabulary, syntactic structures, and discourse patterns across units and grade levels. This intentional repetition and reinforcement help students develop both conceptual understanding and analytical skills, enabling them to articulate complex ideas with precision (Dickinson et al., 2012). For instance, a science curriculum might systematically incorporate language objectives related to hypothesis formulation or data interpretation, ensuring that students practice these skills repeatedly in varied contexts. Green (2021) further underscores that such coherence in curriculum design not only facilitates the progression of students' language practices over time but also strengthens their ability to make interdisciplinary connections. By linking academic language to real-world applications such as using persuasive writing in social studies or technical vocabulary in mathematics educators can create authentic language learning experiences that resonate with students' lives and cultural backgrounds (Liu et al., 2021; Álvarez Valencia &amp; Michelson, 2022).</w:t>
      </w:r>
    </w:p>
    <w:p w14:paraId="78AA73EB">
      <w:pPr>
        <w:ind w:firstLine="720"/>
        <w:jc w:val="both"/>
        <w:rPr>
          <w:rFonts w:ascii="Times New Roman" w:hAnsi="Times New Roman"/>
          <w:sz w:val="24"/>
          <w:szCs w:val="24"/>
          <w:lang w:val="zh-CN"/>
        </w:rPr>
      </w:pPr>
      <w:r>
        <w:rPr>
          <w:rFonts w:ascii="Times New Roman" w:hAnsi="Times New Roman"/>
          <w:sz w:val="24"/>
          <w:szCs w:val="24"/>
          <w:lang w:val="zh-CN"/>
        </w:rPr>
        <w:t>McPhail (2020) introduces a curriculum coherence model that underscores the importance of deep learning through the alignment of curriculum components, including subject concepts, competencies, and assessments. This model posits that when curriculum elements are cohesively structured, students can achieve a more profound understanding of language concepts, leading to improved language proficiency and critical thinking. For example, a language curriculum that aligns grammar instruction with communicative tasks (e.g., debates, presentations) allows learners to apply structural knowledge in meaningful interactions, thereby reinforcing both accuracy and fluency (Widiati &amp; Cahyono, 2006). McPhail’s approach also emphasizes the role of prior knowledge, suggesting that coherent curricula should build on students' existing linguistic and cultural resources to foster inclusive and equitable learning environments (Duarte et al., 2020). Additionally, research by Sikorski and Straus (2025) supports this view, demonstrating that systems prioritizing curricular alignment see higher student engagement and retention rates, as learners perceive clearer relevance and purpose in their studies. By integrating formative assessments that mirror real-world language use such as portfolio reviews or project-based evaluations—educators can further align instruction with learners' developmental trajectories (Mueller, 2014; McEwan et al., 2023).</w:t>
      </w:r>
    </w:p>
    <w:p w14:paraId="3E2E022C">
      <w:pPr>
        <w:ind w:firstLine="720"/>
        <w:jc w:val="both"/>
        <w:rPr>
          <w:rFonts w:ascii="Times New Roman" w:hAnsi="Times New Roman"/>
          <w:sz w:val="24"/>
          <w:szCs w:val="24"/>
          <w:lang w:val="zh-CN"/>
        </w:rPr>
      </w:pPr>
      <w:r>
        <w:rPr>
          <w:rFonts w:ascii="Times New Roman" w:hAnsi="Times New Roman"/>
          <w:sz w:val="24"/>
          <w:szCs w:val="24"/>
          <w:lang w:val="zh-CN"/>
        </w:rPr>
        <w:t>In the context of the International Baccalaureate Middle Years Programme (MYP), Thier et al. (2017) found that alignment and coherence in language acquisition development are crucial for facilitating language learning across diverse student populations. Their study highlights that coherent curriculum structures, which interweave language objectives with disciplinary content, provide consistent and connected learning experiences. For instance, in MYP units exploring global issues, students might analyze texts, conduct research, and present findings in multiple languages, thereby practicing reading, writing, and speaking skills within an interdisciplinary framework. This approach not only reinforces language skills but also cultivates intercultural competence, as students engage with perspectives from different linguistic and cultural contexts (Ge et al., 2023). Furthermore, the MYP’s emphasis on collaborative planning among teachers ensures that language development is prioritized across subjects, reducing fragmentation and enhancing curricular continuity (Fay et al., 2021; Sullanmaa et al., 2019). Such coherence is particularly beneficial for multilingual learners, as it allows them to transfer skills and knowledge between their home languages and the target language, fostering metalinguistic awareness and cognitive flexibility (Warni et al., 2023). By embedding language learning in authentic, interdisciplinary tasks, coherent curricula like the MYP prepare students to navigate the linguistic demands of higher education and global citizenship (Ritz &amp; Sherf, 2023; Xhani et al., 2024).</w:t>
      </w:r>
    </w:p>
    <w:p w14:paraId="061618F2">
      <w:pPr>
        <w:rPr>
          <w:lang w:val="en-US"/>
        </w:rPr>
      </w:pPr>
    </w:p>
    <w:p w14:paraId="18C7AFEB">
      <w:pPr>
        <w:pStyle w:val="4"/>
        <w:jc w:val="both"/>
        <w:rPr>
          <w:rStyle w:val="32"/>
          <w:rFonts w:ascii="Times New Roman" w:hAnsi="Times New Roman"/>
          <w:b/>
          <w:bCs w:val="0"/>
          <w:szCs w:val="24"/>
        </w:rPr>
      </w:pPr>
      <w:r>
        <w:rPr>
          <w:rStyle w:val="32"/>
          <w:rFonts w:ascii="Times New Roman" w:hAnsi="Times New Roman"/>
          <w:b/>
          <w:bCs w:val="0"/>
          <w:szCs w:val="24"/>
        </w:rPr>
        <w:t>2. Intercultural Communication and Multilingualism in Curriculum Design</w:t>
      </w:r>
    </w:p>
    <w:p w14:paraId="3FB48018">
      <w:pPr>
        <w:ind w:firstLine="720"/>
        <w:jc w:val="both"/>
        <w:rPr>
          <w:rFonts w:ascii="Times New Roman" w:hAnsi="Times New Roman"/>
          <w:sz w:val="24"/>
          <w:szCs w:val="24"/>
          <w:lang w:val="en-US"/>
        </w:rPr>
      </w:pPr>
      <w:r>
        <w:rPr>
          <w:rFonts w:ascii="Times New Roman" w:hAnsi="Times New Roman"/>
          <w:sz w:val="24"/>
          <w:szCs w:val="24"/>
          <w:lang w:val="en-US"/>
        </w:rPr>
        <w:t>Álvarez Valencia and Michelson (2022) explore the integration of intercultural communication within second and foreign language education through a design perspective that embeds cultural contexts into the curriculum. They argue that this approach promotes holistic language development by moving beyond traditional models of intercultural competence to include social semiotics and critical interculturality, encouraging learners to engage with cultural identities, social justice, and equity issues. This method not only enhances language skills but also fosters empathy, empowerment, and critical awareness, transforming students into proactive agents of social change. Supporting this, a recent study on shifts in intercultural communicative competence among international students found that learners experience growth in knowledge, attitudes, skills, and awareness, although they also face linguistic, social, and cultural challenges during this process (Rohani et.al., 2025).</w:t>
      </w:r>
    </w:p>
    <w:p w14:paraId="0AA2FBA1">
      <w:pPr>
        <w:ind w:firstLine="720"/>
        <w:jc w:val="both"/>
        <w:rPr>
          <w:rFonts w:ascii="Times New Roman" w:hAnsi="Times New Roman"/>
          <w:sz w:val="24"/>
          <w:szCs w:val="24"/>
          <w:lang w:val="en-US"/>
        </w:rPr>
      </w:pPr>
      <w:r>
        <w:rPr>
          <w:rFonts w:ascii="Times New Roman" w:hAnsi="Times New Roman"/>
          <w:sz w:val="24"/>
          <w:szCs w:val="24"/>
          <w:lang w:val="en-US"/>
        </w:rPr>
        <w:t>Duarte et al. (2020) emphasize the importance of multilingualism in curriculum design, advocating for curricula that reflect learners’ linguistic realities by incorporating multiple languages. Their cross-national study demonstrates that such inclusive curricula support language development and promote social inclusivity by recognizing diverse linguistic backgrounds, which is essential in today’s globalized and multilingual societies. This aligns with findings by Asmo Dara Suci (2023), who revealed that intercultural communication courses significantly impact English education students’ teaching perceptions and practices by raising awareness of cultural biases, enhancing self-reflection, communication facilitation skills, and conflict resolution, ultimately leading to more inclusive and confident teaching.</w:t>
      </w:r>
    </w:p>
    <w:p w14:paraId="299BF9F9">
      <w:pPr>
        <w:ind w:firstLine="720"/>
        <w:jc w:val="both"/>
        <w:rPr>
          <w:rFonts w:ascii="Times New Roman" w:hAnsi="Times New Roman"/>
          <w:sz w:val="24"/>
          <w:szCs w:val="24"/>
          <w:lang w:val="en-US"/>
        </w:rPr>
      </w:pPr>
      <w:r>
        <w:rPr>
          <w:rFonts w:ascii="Times New Roman" w:hAnsi="Times New Roman"/>
          <w:sz w:val="24"/>
          <w:szCs w:val="24"/>
          <w:lang w:val="en-US"/>
        </w:rPr>
        <w:t>Ge, Wang, and Li (2023) present a case study on German language education in China, illustrating how curriculum coherence aligned with sustainable development goals can increase the relevance and effectiveness of foreign language education. Their findings suggest that integrating sustainability themes into language curricula not only enriches language learning but also raises learners’ awareness of global challenges, connecting language education with broader educational and societal objectives. This perspective is echoed by Djafri and Hasanah (2025), who emphasize the necessity of integrating cognitive, affective, and behavioral dimensions through reflective learning in Japanese and Korean language classes to develop intercultural communicative competence, preparing graduates for the demands of a multicultural global workforce.</w:t>
      </w:r>
    </w:p>
    <w:p w14:paraId="5FD19EEB">
      <w:pPr>
        <w:ind w:firstLine="720"/>
        <w:jc w:val="both"/>
        <w:rPr>
          <w:rFonts w:ascii="Times New Roman" w:hAnsi="Times New Roman"/>
          <w:sz w:val="24"/>
          <w:szCs w:val="24"/>
          <w:lang w:val="en-US"/>
        </w:rPr>
      </w:pPr>
      <w:r>
        <w:rPr>
          <w:rFonts w:ascii="Times New Roman" w:hAnsi="Times New Roman"/>
          <w:sz w:val="24"/>
          <w:szCs w:val="24"/>
          <w:lang w:val="en-US"/>
        </w:rPr>
        <w:t>Furthermore, Yusri and Andriyanti (2025) highlight that EFL teachers in Indonesia perceive the integration of intercultural communication strategies as essential for fostering true intercultural competence, which involves not only language proficiency but also cultural understanding, consistent with international frameworks such as the CEFR. Together, these studies underscore that embedding intercultural communication, multilingualism, and sustainable development into language education curricula enriches language learning by fostering cultural awareness, inclusivity, critical thinking, and social responsibility, thereby preparing learners for meaningful intercultural interactions in an increasingly interconnected world.</w:t>
      </w:r>
    </w:p>
    <w:p w14:paraId="07CA98EE">
      <w:pPr>
        <w:pStyle w:val="4"/>
        <w:jc w:val="both"/>
        <w:rPr>
          <w:rStyle w:val="32"/>
          <w:rFonts w:ascii="Times New Roman" w:hAnsi="Times New Roman"/>
          <w:b/>
          <w:bCs w:val="0"/>
          <w:szCs w:val="24"/>
        </w:rPr>
      </w:pPr>
      <w:r>
        <w:rPr>
          <w:rStyle w:val="32"/>
          <w:rFonts w:ascii="Times New Roman" w:hAnsi="Times New Roman"/>
          <w:b/>
          <w:bCs w:val="0"/>
          <w:szCs w:val="24"/>
        </w:rPr>
        <w:t>3. Assessment Practices and Learner Autonomy</w:t>
      </w:r>
    </w:p>
    <w:p w14:paraId="0259AA19">
      <w:pPr>
        <w:jc w:val="both"/>
        <w:rPr>
          <w:rFonts w:ascii="Times New Roman" w:hAnsi="Times New Roman"/>
          <w:sz w:val="24"/>
          <w:szCs w:val="24"/>
        </w:rPr>
      </w:pPr>
      <w:r>
        <w:rPr>
          <w:lang w:val="en-US"/>
        </w:rPr>
        <w:tab/>
      </w:r>
      <w:r>
        <w:rPr>
          <w:rFonts w:ascii="Times New Roman" w:hAnsi="Times New Roman"/>
          <w:sz w:val="24"/>
          <w:szCs w:val="24"/>
        </w:rPr>
        <w:t>Assessment practices are integral to curriculum coherence and language development. Mueller (2014) advocates for authentic assessment methods that align with instructional goals and real-world language use. Such assessments can provide meaningful feedback and promote deeper language learning.​</w:t>
      </w:r>
    </w:p>
    <w:p w14:paraId="44DF2712">
      <w:pPr>
        <w:jc w:val="both"/>
        <w:rPr>
          <w:rFonts w:ascii="Times New Roman" w:hAnsi="Times New Roman"/>
          <w:sz w:val="24"/>
          <w:szCs w:val="24"/>
        </w:rPr>
      </w:pPr>
      <w:r>
        <w:rPr>
          <w:rFonts w:ascii="Times New Roman" w:hAnsi="Times New Roman"/>
          <w:sz w:val="24"/>
          <w:szCs w:val="24"/>
        </w:rPr>
        <w:t>Penaflorida (2014) discusses nontraditional forms of assessment and their role in fostering learner autonomy. By incorporating diverse assessment strategies that reflect students' language use in various contexts, educators can support the development of independent language learners.​</w:t>
      </w:r>
    </w:p>
    <w:p w14:paraId="3FEABAE7">
      <w:pPr>
        <w:ind w:firstLine="720"/>
        <w:jc w:val="both"/>
        <w:rPr>
          <w:rFonts w:ascii="Times New Roman" w:hAnsi="Times New Roman"/>
          <w:sz w:val="24"/>
          <w:szCs w:val="24"/>
        </w:rPr>
      </w:pPr>
      <w:r>
        <w:rPr>
          <w:rFonts w:ascii="Times New Roman" w:hAnsi="Times New Roman"/>
          <w:sz w:val="24"/>
          <w:szCs w:val="24"/>
        </w:rPr>
        <w:t>Islam et al. (2021) examine English language assessment in Bangladesh, identifying challenges in aligning assessment practices with curriculum objectives. Their study underscores the need for coherent assessment strategies that support language development and reflect the curriculum's goals.​</w:t>
      </w:r>
    </w:p>
    <w:p w14:paraId="2B1106D6">
      <w:pPr>
        <w:jc w:val="both"/>
        <w:rPr>
          <w:rFonts w:ascii="Times New Roman" w:hAnsi="Times New Roman"/>
          <w:sz w:val="24"/>
          <w:szCs w:val="24"/>
          <w:lang w:val="zh-CN"/>
        </w:rPr>
      </w:pPr>
      <w:r>
        <w:rPr>
          <w:rFonts w:ascii="Times New Roman" w:hAnsi="Times New Roman"/>
          <w:sz w:val="24"/>
          <w:szCs w:val="24"/>
          <w:lang w:val="zh-CN"/>
        </w:rPr>
        <w:t>Certainly! Here's the expanded and academically worded version of those five citations in English:</w:t>
      </w:r>
    </w:p>
    <w:p w14:paraId="47400E31">
      <w:pPr>
        <w:jc w:val="both"/>
        <w:rPr>
          <w:rFonts w:ascii="Times New Roman" w:hAnsi="Times New Roman"/>
          <w:sz w:val="24"/>
          <w:szCs w:val="24"/>
          <w:lang w:val="zh-CN"/>
        </w:rPr>
      </w:pPr>
      <w:r>
        <w:rPr>
          <w:rFonts w:ascii="Times New Roman" w:hAnsi="Times New Roman"/>
          <w:sz w:val="24"/>
          <w:szCs w:val="24"/>
          <w:lang w:val="zh-CN"/>
        </w:rPr>
        <w:t>Widiartini and Sukerti (2023) emphasize that the integration of self-assessment and learner autonomy significantly contributes to improved academic performance among students in vocational education. Their findings suggest that when learners are actively involved in evaluating their own progress, they develop a deeper understanding of their learning process, which in turn fosters independence and responsibility for their own development.</w:t>
      </w:r>
    </w:p>
    <w:p w14:paraId="7F6D4E74">
      <w:pPr>
        <w:ind w:firstLine="720"/>
        <w:jc w:val="both"/>
        <w:rPr>
          <w:rFonts w:ascii="Times New Roman" w:hAnsi="Times New Roman"/>
          <w:sz w:val="24"/>
          <w:szCs w:val="24"/>
          <w:lang w:val="zh-CN"/>
        </w:rPr>
      </w:pPr>
      <w:r>
        <w:rPr>
          <w:rFonts w:ascii="Times New Roman" w:hAnsi="Times New Roman"/>
          <w:sz w:val="24"/>
          <w:szCs w:val="24"/>
          <w:lang w:val="zh-CN"/>
        </w:rPr>
        <w:t>Ebrahimi (2021) demonstrates that incorporating self-assessment in writing tasks among EFL learners in Iran leads to enhanced learner autonomy and increased metacognitive awareness. The study highlights how reflective practices allow learners to become more conscious of their strengths and areas for improvement, thereby promoting a sense of control over their learning journey.</w:t>
      </w:r>
    </w:p>
    <w:p w14:paraId="1F67C47C">
      <w:pPr>
        <w:ind w:firstLine="720"/>
        <w:jc w:val="both"/>
        <w:rPr>
          <w:rFonts w:ascii="Times New Roman" w:hAnsi="Times New Roman"/>
          <w:sz w:val="24"/>
          <w:szCs w:val="24"/>
          <w:lang w:val="zh-CN"/>
        </w:rPr>
      </w:pPr>
      <w:r>
        <w:rPr>
          <w:rFonts w:ascii="Times New Roman" w:hAnsi="Times New Roman"/>
          <w:sz w:val="24"/>
          <w:szCs w:val="24"/>
          <w:lang w:val="zh-CN"/>
        </w:rPr>
        <w:t>Alzabidi (2021) reveals that the use of self-assessment strategies in online learning environments not only encourages students’ active participation but also positively affects their academic achievement. This study supports the view that assessment practices that involve learners directly can serve as a motivational tool, increasing engagement and fostering a sense of agency in virtual learning contexts.</w:t>
      </w:r>
    </w:p>
    <w:p w14:paraId="6AE984C3">
      <w:pPr>
        <w:jc w:val="both"/>
        <w:rPr>
          <w:rFonts w:ascii="Times New Roman" w:hAnsi="Times New Roman"/>
          <w:sz w:val="24"/>
          <w:szCs w:val="24"/>
          <w:lang w:val="zh-CN"/>
        </w:rPr>
      </w:pPr>
      <w:r>
        <w:rPr>
          <w:rFonts w:ascii="Times New Roman" w:hAnsi="Times New Roman"/>
          <w:sz w:val="24"/>
          <w:szCs w:val="24"/>
          <w:lang w:val="zh-CN"/>
        </w:rPr>
        <w:t>Weydner-Volkmann and Bär (2024) argue that the design of learning analytics-based feedback systems must carefully consider the promotion of learner autonomy, particularly in higher education settings. Their research suggests that feedback mechanisms that support students in making informed decisions about their learning pathways can substantially enhance their capacity for self-regulated learning.</w:t>
      </w:r>
    </w:p>
    <w:p w14:paraId="1B972421">
      <w:pPr>
        <w:jc w:val="both"/>
        <w:rPr>
          <w:rFonts w:ascii="Times New Roman" w:hAnsi="Times New Roman"/>
          <w:sz w:val="24"/>
          <w:szCs w:val="24"/>
          <w:lang w:val="en-US"/>
        </w:rPr>
      </w:pPr>
      <w:r>
        <w:rPr>
          <w:rFonts w:ascii="Times New Roman" w:hAnsi="Times New Roman"/>
          <w:sz w:val="24"/>
          <w:szCs w:val="24"/>
          <w:lang w:val="zh-CN"/>
        </w:rPr>
        <w:t>Liu et al. (2016) introduce a pedagogical action program grounded in self-determination theory, which addresses students’ psychological needs for autonomy, competence, and relatedness. Their study found that satisfying these fundamental needs leads to a notable increase in students' intrinsic motivation and their willingness to engage in autonomous learning behaviors.</w:t>
      </w:r>
    </w:p>
    <w:p w14:paraId="1051C010">
      <w:pPr>
        <w:pStyle w:val="4"/>
        <w:jc w:val="both"/>
        <w:rPr>
          <w:rFonts w:ascii="Times New Roman" w:hAnsi="Times New Roman"/>
          <w:szCs w:val="24"/>
        </w:rPr>
      </w:pPr>
      <w:r>
        <w:rPr>
          <w:rStyle w:val="32"/>
          <w:rFonts w:ascii="Times New Roman" w:hAnsi="Times New Roman"/>
          <w:b/>
          <w:bCs w:val="0"/>
          <w:szCs w:val="24"/>
        </w:rPr>
        <w:t>4. Contextual Factors Influencing Curriculum Coherence</w:t>
      </w:r>
    </w:p>
    <w:p w14:paraId="2B41D086">
      <w:pPr>
        <w:ind w:firstLine="720"/>
        <w:jc w:val="both"/>
        <w:rPr>
          <w:rFonts w:ascii="Times New Roman" w:hAnsi="Times New Roman"/>
          <w:bCs/>
          <w:sz w:val="24"/>
          <w:szCs w:val="24"/>
        </w:rPr>
      </w:pPr>
      <w:r>
        <w:rPr>
          <w:rFonts w:ascii="Times New Roman" w:hAnsi="Times New Roman"/>
          <w:bCs/>
          <w:sz w:val="24"/>
          <w:szCs w:val="24"/>
        </w:rPr>
        <w:t>Curriculum coherence is influenced by various contextual factors, including educational policies and stakeholder perceptions. Sullanmaa et al. (2019) explore how district-level stakeholders in Finland perceive curriculum coherence during national curriculum reform. Their findings indicate that stakeholder engagement and clear communication are essential for achieving curriculum coherence.​</w:t>
      </w:r>
    </w:p>
    <w:p w14:paraId="16E96CB0">
      <w:pPr>
        <w:jc w:val="both"/>
        <w:rPr>
          <w:rFonts w:ascii="Times New Roman" w:hAnsi="Times New Roman"/>
          <w:bCs/>
          <w:sz w:val="24"/>
          <w:szCs w:val="24"/>
        </w:rPr>
      </w:pPr>
      <w:r>
        <w:rPr>
          <w:rFonts w:ascii="Times New Roman" w:hAnsi="Times New Roman"/>
          <w:bCs/>
          <w:sz w:val="24"/>
          <w:szCs w:val="24"/>
        </w:rPr>
        <w:t>Soini et al. (2022) further investigate differences in school-level curriculum making in Finland, revealing that building coherence and impact requires collaboration among educators and alignment with national educational goals.​</w:t>
      </w:r>
    </w:p>
    <w:p w14:paraId="13FB64C5">
      <w:pPr>
        <w:ind w:firstLine="720"/>
        <w:jc w:val="both"/>
        <w:rPr>
          <w:rFonts w:ascii="Times New Roman" w:hAnsi="Times New Roman"/>
          <w:bCs/>
          <w:sz w:val="24"/>
          <w:szCs w:val="24"/>
        </w:rPr>
      </w:pPr>
      <w:r>
        <w:rPr>
          <w:rFonts w:ascii="Times New Roman" w:hAnsi="Times New Roman"/>
          <w:bCs/>
          <w:sz w:val="24"/>
          <w:szCs w:val="24"/>
        </w:rPr>
        <w:t>Ritz and Sherf (2023) provide a snapshot of world language education in Massachusetts, highlighting the importance of aligning curriculum, instruction, and assessment to achieve coherence. Their study suggests that systemic support and professional development are critical for implementing coherent language curricula.​</w:t>
      </w:r>
    </w:p>
    <w:p w14:paraId="2E55A253">
      <w:pPr>
        <w:jc w:val="both"/>
        <w:rPr>
          <w:rFonts w:ascii="Times New Roman" w:hAnsi="Times New Roman"/>
          <w:bCs/>
          <w:sz w:val="24"/>
          <w:szCs w:val="24"/>
        </w:rPr>
      </w:pPr>
      <w:r>
        <w:rPr>
          <w:rFonts w:ascii="Times New Roman" w:hAnsi="Times New Roman"/>
          <w:bCs/>
          <w:sz w:val="24"/>
          <w:szCs w:val="24"/>
        </w:rPr>
        <w:t>Liu, Zhang, and Fang (2021) examine young English learners' attitudes towards China English, emphasizing the role of identity construction in language education. Their research implies that curriculum coherence should also consider learners' cultural identities to enhance language development.</w:t>
      </w:r>
    </w:p>
    <w:p w14:paraId="26410BF1">
      <w:pPr>
        <w:ind w:firstLine="720"/>
        <w:jc w:val="both"/>
        <w:rPr>
          <w:rFonts w:ascii="Times New Roman" w:hAnsi="Times New Roman"/>
          <w:bCs/>
          <w:sz w:val="24"/>
          <w:szCs w:val="24"/>
          <w:lang w:val="zh-CN"/>
        </w:rPr>
      </w:pPr>
      <w:r>
        <w:rPr>
          <w:rFonts w:ascii="Times New Roman" w:hAnsi="Times New Roman"/>
          <w:bCs/>
          <w:sz w:val="24"/>
          <w:szCs w:val="24"/>
          <w:lang w:val="zh-CN"/>
        </w:rPr>
        <w:t xml:space="preserve">These findings collectively underscore the multifaceted nature of curriculum coherence and its significant role in fostering language development. Curriculum coherence is not limited to the alignment of instructional content; rather, it encompasses a broader, systemic integration of objectives, pedagogy, assessment, and context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{"citationItems":[{"id":"ITEM-1","itemData":{"ISSN":"13099108","abstract":"Language development plays a pivotal role in a child's cognitive and overall growth, progressing through identifiable stages that ultimately lead to adult communication. It serves as a significant indicator of a child's intellectual and overall development. This study aims to explore the impact of daily technology use on children's language development. A quantitative retrospective approach was adopted, utilizing data from children aged 18 months to 5 years. The study analyzed the relationship between technology use and language development delays, focusing on both phonological and general language delays. The findings indicate a modest association between using technology for over two hours daily and language development delays in children. Specifically, the study concludes that constant use of technology for more than two hours a day by children aged 18 months to 5 years has a negative influence on their development, including language delays. In conclusion, these results highlight the importance of monitoring and regulating children's technology use to promote healthy language development and communication skills in early childhood.","author":[{"dropping-particle":"","family":"Xhani","given":"Dorina","non-dropping-particle":"","parse-names":false,"suffix":""},{"dropping-particle":"","family":"Kulluri","given":"Eliona","non-dropping-particle":"","parse-names":false,"suffix":""},{"dropping-particle":"","family":"Malësia","given":"Megi","non-dropping-particle":"","parse-names":false,"suffix":""}],"container-title":"Journal of Social Studies Education Research","id":"ITEM-1","issue":"5","issued":{"date-parts":[["2024"]]},"page":"148-168","title":"Technology Use and Its Effects on the Development of Communication Skills Among Children in Albania","type":"article-journal","volume":"15"},"uris":["http://www.mendeley.com/documents/?uuid=88b5b738-7e87-4481-ad03-f5e195c07747"]}],"mendeley":{"formattedCitation":"(Xhani et al., 2024)","plainTextFormattedCitation":"(Xhani et al., 2024)","previouslyFormattedCitation":"(Xhani et al., 2024)"},"properties":{"noteIndex":0},"schema":"https://github.com/citation-style-language/schema/raw/master/csl-citation.json"}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(Xhani et al., 2024)</w:t>
      </w:r>
      <w:r>
        <w:rPr>
          <w:rFonts w:ascii="Times New Roman" w:hAnsi="Times New Roman"/>
          <w:bCs/>
          <w:sz w:val="24"/>
          <w:szCs w:val="24"/>
          <w:lang w:val="en-US"/>
        </w:rPr>
        <w:fldChar w:fldCharType="end"/>
      </w:r>
      <w:r>
        <w:rPr>
          <w:rFonts w:ascii="Times New Roman" w:hAnsi="Times New Roman"/>
          <w:bCs/>
          <w:sz w:val="24"/>
          <w:szCs w:val="24"/>
          <w:lang w:val="zh-CN"/>
        </w:rPr>
        <w:t xml:space="preserve">. When curriculum components such as learning outcomes, instructional practices, and assessment methods are meaningfully aligned, they work synergistically to support students’ progressive acquisition of language skills across different levels of education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{"citationItems":[{"id":"ITEM-1","itemData":{"ISBN":"9782981030504","abstract":"Copie de conservation disponible en format électronique sur le serveur WEB du CDC. URL =","author":[{"dropping-particle":"","family":"Bateman","given":"Dianne","non-dropping-particle":"","parse-names":false,"suffix":""},{"dropping-particle":"","family":"Janik","given":"Elizabeth","non-dropping-particle":"","parse-names":false,"suffix":""},{"dropping-particle":"","family":"Logan","given":"Ann","non-dropping-particle":"","parse-names":false,"suffix":""},{"dropping-particle":"","family":"Taylor","given":"Stephen","non-dropping-particle":"","parse-names":false,"suffix":""}],"edition":"1","editor":[{"dropping-particle":"","family":"Gaudet","given":"Paule","non-dropping-particle":"","parse-names":false,"suffix":""}],"id":"ITEM-1","issued":{"date-parts":[["2008"]]},"number-of-pages":"316","publisher":"Dépôt légal","title":"Curriculum Coherence and S tudent Success","type":"book"},"uris":["http://www.mendeley.com/documents/?uuid=c1d79e25-3fda-41f6-95ef-cf1b53f54343"]}],"mendeley":{"formattedCitation":"(Bateman et al., 2008)","plainTextFormattedCitation":"(Bateman et al., 2008)","previouslyFormattedCitation":"(Bateman et al., 2008)"},"properties":{"noteIndex":0},"schema":"https://github.com/citation-style-language/schema/raw/master/csl-citation.json"}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(Bateman et al., 2008)</w:t>
      </w:r>
      <w:r>
        <w:rPr>
          <w:rFonts w:ascii="Times New Roman" w:hAnsi="Times New Roman"/>
          <w:bCs/>
          <w:sz w:val="24"/>
          <w:szCs w:val="24"/>
          <w:lang w:val="en-US"/>
        </w:rPr>
        <w:fldChar w:fldCharType="end"/>
      </w:r>
      <w:r>
        <w:rPr>
          <w:rFonts w:ascii="Times New Roman" w:hAnsi="Times New Roman"/>
          <w:bCs/>
          <w:sz w:val="24"/>
          <w:szCs w:val="24"/>
          <w:lang w:val="zh-CN"/>
        </w:rPr>
        <w:t xml:space="preserve">. Additionally, the integration of intercultural and multilingual perspectives enhances this coherence by making language learning more inclusive, culturally responsive, and relevant to learners’ lived experiences and identities. As demonstrated in the reviewed studies, incorporating multilingual realities and intercultural communication within the curriculum not only supports linguistic proficiency but also fosters critical global competencies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{"citationItems":[{"id":"ITEM-1","itemData":{"DOI":"10.1111/j.1540-4781.1940.tb00109.x","ISSN":"15404781","abstract":"Author's summary.— General Language deals with language in a broad sense and with English in particular. It is more than an exploratory course, with a definite surrender value, helping students to use language more effectively, to think and to express thought more clearly, and to read and interpret more accurately. It motivates and supplements foreign language study. It correlates with the social studies, music, art, and the sciences. 1940 The Modern Language Journal","author":[{"dropping-particle":"","family":"Lindquist","given":"Lilly","non-dropping-particle":"","parse-names":false,"suffix":""}],"container-title":"The Modern Language Journal","id":"ITEM-1","issue":"8","issued":{"date-parts":[["2015"]]},"page":"563-567","title":"General Language","type":"article-journal","volume":"24"},"uris":["http://www.mendeley.com/documents/?uuid=97e7a83d-1058-4021-b052-719fb1d1ba07"]}],"mendeley":{"formattedCitation":"(Lindquist, 2015)","plainTextFormattedCitation":"(Lindquist, 2015)","previouslyFormattedCitation":"(Lindquist, 2015)"},"properties":{"noteIndex":0},"schema":"https://github.com/citation-style-language/schema/raw/master/csl-citation.json"}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(Lindquist, 2015)</w:t>
      </w:r>
      <w:r>
        <w:rPr>
          <w:rFonts w:ascii="Times New Roman" w:hAnsi="Times New Roman"/>
          <w:bCs/>
          <w:sz w:val="24"/>
          <w:szCs w:val="24"/>
          <w:lang w:val="en-US"/>
        </w:rPr>
        <w:fldChar w:fldCharType="end"/>
      </w:r>
      <w:r>
        <w:rPr>
          <w:rFonts w:ascii="Times New Roman" w:hAnsi="Times New Roman"/>
          <w:bCs/>
          <w:sz w:val="24"/>
          <w:szCs w:val="24"/>
          <w:lang w:val="zh-CN"/>
        </w:rPr>
        <w:t>.</w:t>
      </w:r>
    </w:p>
    <w:p w14:paraId="2873E276">
      <w:pPr>
        <w:ind w:firstLine="720"/>
        <w:jc w:val="both"/>
        <w:rPr>
          <w:rFonts w:ascii="Times New Roman" w:hAnsi="Times New Roman"/>
          <w:bCs/>
          <w:sz w:val="24"/>
          <w:szCs w:val="24"/>
          <w:lang w:val="en-US"/>
        </w:rPr>
      </w:pPr>
      <w:r>
        <w:rPr>
          <w:rFonts w:ascii="Times New Roman" w:hAnsi="Times New Roman"/>
          <w:bCs/>
          <w:sz w:val="24"/>
          <w:szCs w:val="24"/>
          <w:lang w:val="zh-CN"/>
        </w:rPr>
        <w:t xml:space="preserve">Furthermore, assessment practices that are authentic and learner-centered contribute to curriculum coherence by reinforcing what is taught and offering meaningful insights into learners' progress. Nontraditional forms of assessment, when strategically embedded into instruction, promote learner autonomy and deeper engagement with language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{"citationItems":[{"id":"ITEM-1","itemData":{"DOI":"10.31004/obsesi.v7i2.3310","abstract":"This study describes the stages and development of children's first language using Indonesian. The object of this research is 2 children aged 1.6 years. The purpose of this study was to describe the stages and development of the first language in children. The method used is a qualitative method with a descriptive approach and the techniques used are observation and interviews. The data collected is documentation presented in tabular form. Data analysis using transcription, identification, and classification methods. The finding of this study is that CS is faster in language acquisition development at the phonological, morphological, and syntactic levels compared to MF. This is influenced by several factors such as gender, social, parenting, and environment.","author":[{"dropping-particle":"","family":"Warni","given":"Warni","non-dropping-particle":"","parse-names":false,"suffix":""},{"dropping-particle":"","family":"Afria","given":"Rengki","non-dropping-particle":"","parse-names":false,"suffix":""},{"dropping-particle":"","family":"Izar","given":"Julisah","non-dropping-particle":"","parse-names":false,"suffix":""},{"dropping-particle":"","family":"Harahap","given":"Maya Sari","non-dropping-particle":"","parse-names":false,"suffix":""}],"container-title":"Jurnal Obsesi : Jurnal Pendidikan Anak Usia Dini","id":"ITEM-1","issue":"2","issued":{"date-parts":[["2023"]]},"page":"2080-2093","title":"The Stages and Development of First Language Acquisition on Children 1,6 Years Old","type":"article-journal","volume":"7"},"uris":["http://www.mendeley.com/documents/?uuid=54d3df41-72d1-479a-bcaa-37757a81ee69"]}],"mendeley":{"formattedCitation":"(Warni et al., 2023)","plainTextFormattedCitation":"(Warni et al., 2023)","previouslyFormattedCitation":"(Warni et al., 2023)"},"properties":{"noteIndex":0},"schema":"https://github.com/citation-style-language/schema/raw/master/csl-citation.json"}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(Warni et al., 2023)</w:t>
      </w:r>
      <w:r>
        <w:rPr>
          <w:rFonts w:ascii="Times New Roman" w:hAnsi="Times New Roman"/>
          <w:bCs/>
          <w:sz w:val="24"/>
          <w:szCs w:val="24"/>
          <w:lang w:val="en-US"/>
        </w:rPr>
        <w:fldChar w:fldCharType="end"/>
      </w:r>
      <w:r>
        <w:rPr>
          <w:rFonts w:ascii="Times New Roman" w:hAnsi="Times New Roman"/>
          <w:bCs/>
          <w:sz w:val="24"/>
          <w:szCs w:val="24"/>
          <w:lang w:val="zh-CN"/>
        </w:rPr>
        <w:t xml:space="preserve">. Contextual considerations such as educational policy, institutional capacity, and stakeholder involvement further shape how curriculum coherence is understood and implemented. Stakeholders’ shared understanding and collaboration are crucial in sustaining coherence throughout curriculum design and reform processes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{"citationItems":[{"id":"ITEM-1","itemData":{"DOI":"10.1155/2012/602807","ISSN":"2090-3987","abstract":"Research on literacy development is increasingly making clear the centrality of oral language to long-term literacy development, with longitudinal studies revealing the continuity between language ability in the preschool years and later reading. The language competencies that literacy builds upon begin to emerge as soon as children begin acquiring language; thus, the period between birth and age three also is important to later literacy. Book reading consistently has been found to have the power to create interactional contexts that nourish language development. Researchers, pediatricians, and librarians have taken notice of the potential for interventions designed to encourage parents to read with their children. This article reviews research on the connections between language and later reading, environmental factors associated with language learning, and interventions developed in varied countries for encouraging book use by parents of young children.","author":[{"dropping-particle":"","family":"Dickinson","given":"David K.","non-dropping-particle":"","parse-names":false,"suffix":""},{"dropping-particle":"","family":"Griffith","given":"Julie A.","non-dropping-particle":"","parse-names":false,"suffix":""},{"dropping-particle":"","family":"Golinkoff","given":"Roberta Michnick","non-dropping-particle":"","parse-names":false,"suffix":""},{"dropping-particle":"","family":"Hirsh-Pasek","given":"Kathy","non-dropping-particle":"","parse-names":false,"suffix":""}],"container-title":"Child Development Research","id":"ITEM-1","issued":{"date-parts":[["2012"]]},"page":"1-15","title":"How Reading Books Fosters Language Development around the World","type":"article-journal"},"uris":["http://www.mendeley.com/documents/?uuid=c59b8a24-e291-4586-acb6-152c60b8767a"]}],"mendeley":{"formattedCitation":"(Dickinson et al., 2012)","plainTextFormattedCitation":"(Dickinson et al., 2012)","previouslyFormattedCitation":"(Dickinson et al., 2012)"},"properties":{"noteIndex":0},"schema":"https://github.com/citation-style-language/schema/raw/master/csl-citation.json"}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(Dickinson et al., 2012)</w:t>
      </w:r>
      <w:r>
        <w:rPr>
          <w:rFonts w:ascii="Times New Roman" w:hAnsi="Times New Roman"/>
          <w:bCs/>
          <w:sz w:val="24"/>
          <w:szCs w:val="24"/>
          <w:lang w:val="en-US"/>
        </w:rPr>
        <w:fldChar w:fldCharType="end"/>
      </w:r>
      <w:r>
        <w:rPr>
          <w:rFonts w:ascii="Times New Roman" w:hAnsi="Times New Roman"/>
          <w:bCs/>
          <w:sz w:val="24"/>
          <w:szCs w:val="24"/>
          <w:lang w:val="zh-CN"/>
        </w:rPr>
        <w:t xml:space="preserve">. Ultimately, a coherent curriculum provides learners with consistent, connected, and purposeful language learning experiences that enhance not only their academic performance but also their confidence, motivation, and capacity to use language meaningfully in diverse real-world contexts </w:t>
      </w:r>
      <w:r>
        <w:rPr>
          <w:rFonts w:ascii="Times New Roman" w:hAnsi="Times New Roman"/>
          <w:bCs/>
          <w:sz w:val="24"/>
          <w:szCs w:val="24"/>
          <w:lang w:val="zh-CN"/>
        </w:rPr>
        <w:fldChar w:fldCharType="begin" w:fldLock="1"/>
      </w:r>
      <w:r>
        <w:rPr>
          <w:rFonts w:ascii="Times New Roman" w:hAnsi="Times New Roman"/>
          <w:bCs/>
          <w:sz w:val="24"/>
          <w:szCs w:val="24"/>
          <w:lang w:val="zh-CN"/>
        </w:rPr>
        <w:instrText xml:space="preserve">ADDIN CSL_CITATION {"citationItems":[{"id":"ITEM-1","itemData":{"ISSN":"2599-0322","abstract":"Humans are social creatures that interact with each other. A language is a communication tool used to interact, every human development has a language development whose proportions are not the same. Starting with babies, children, adolescents to adults have different language development. And therefore the learning obtained is also different. How are language development and implications for development? In this paper use the library research. The result, the ability of language greatly affects the success of learning and cognitive development of children. Language facilitates teacher communication with students in teaching and learning activities. One of the factors that influence the success of learning is the effective use of language in every learning starting from planning, implementation, and assessment.","author":[{"dropping-particle":"","family":"Jaelani","given":"Abdul Qadir","non-dropping-particle":"","parse-names":false,"suffix":""},{"dropping-particle":"","family":"Sunan","given":"Uin","non-dropping-particle":"","parse-names":false,"suffix":""},{"dropping-particle":"","family":"Yogyakarta","given":"Kalijaga","non-dropping-particle":"","parse-names":false,"suffix":""},{"dropping-particle":"","family":"Asfiyah","given":"Wardatul","non-dropping-particle":"","parse-names":false,"suffix":""}],"container-title":"Linguistics, and Literature","id":"ITEM-1","issue":"2","issued":{"date-parts":[["2019"]]},"page":"8-22","title":"Development of Language and Its Implications on Learning","type":"article-journal","volume":"2"},"uris":["http://www.mendeley.com/documents/?uuid=be9ba39e-6f4e-4af1-8f5f-d82abc12beba"]}],"mendeley":{"formattedCitation":"(Jaelani et al., 2019)","plainTextFormattedCitation":"(Jaelani et al., 2019)","previouslyFormattedCitation":"(Jaelani et al., 2019)"},"properties":{"noteIndex":0},"schema":"https://github.com/citation-style-language/schema/raw/master/csl-citation.json"}</w:instrText>
      </w:r>
      <w:r>
        <w:rPr>
          <w:rFonts w:ascii="Times New Roman" w:hAnsi="Times New Roman"/>
          <w:bCs/>
          <w:sz w:val="24"/>
          <w:szCs w:val="24"/>
          <w:lang w:val="zh-CN"/>
        </w:rPr>
        <w:fldChar w:fldCharType="separate"/>
      </w:r>
      <w:r>
        <w:rPr>
          <w:rFonts w:ascii="Times New Roman" w:hAnsi="Times New Roman"/>
          <w:bCs/>
          <w:sz w:val="24"/>
          <w:szCs w:val="24"/>
          <w:lang w:val="zh-CN"/>
        </w:rPr>
        <w:t>(Jaelani et al., 2019)</w:t>
      </w:r>
      <w:r>
        <w:rPr>
          <w:rFonts w:ascii="Times New Roman" w:hAnsi="Times New Roman"/>
          <w:bCs/>
          <w:sz w:val="24"/>
          <w:szCs w:val="24"/>
          <w:lang w:val="en-US"/>
        </w:rPr>
        <w:fldChar w:fldCharType="end"/>
      </w:r>
    </w:p>
    <w:p w14:paraId="00C38E68">
      <w:pPr>
        <w:ind w:firstLine="720"/>
        <w:jc w:val="both"/>
        <w:rPr>
          <w:rFonts w:ascii="Times New Roman" w:hAnsi="Times New Roman"/>
          <w:bCs/>
          <w:sz w:val="24"/>
          <w:szCs w:val="24"/>
          <w:lang w:val="en-US"/>
        </w:rPr>
      </w:pPr>
    </w:p>
    <w:p w14:paraId="693ACE79">
      <w:pPr>
        <w:jc w:val="both"/>
        <w:rPr>
          <w:rFonts w:ascii="Times New Roman" w:hAnsi="Times New Roman"/>
          <w:b/>
          <w:sz w:val="24"/>
          <w:szCs w:val="24"/>
        </w:rPr>
      </w:pPr>
      <w:r>
        <w:rPr>
          <w:rFonts w:ascii="Times New Roman" w:hAnsi="Times New Roman"/>
          <w:b/>
          <w:sz w:val="24"/>
          <w:szCs w:val="24"/>
        </w:rPr>
        <w:t>CONCLUSION</w:t>
      </w:r>
    </w:p>
    <w:p w14:paraId="100FD59F">
      <w:pPr>
        <w:pStyle w:val="73"/>
        <w:contextualSpacing/>
        <w:rPr>
          <w:sz w:val="24"/>
        </w:rPr>
      </w:pPr>
      <w:r>
        <w:rPr>
          <w:sz w:val="24"/>
          <w:lang w:val="en-US"/>
        </w:rPr>
        <w:t>C</w:t>
      </w:r>
      <w:r>
        <w:rPr>
          <w:sz w:val="24"/>
          <w:lang w:val="en-US" w:bidi="th-TH"/>
        </w:rPr>
        <w:t>urriculum coherence is a fundamental component in fostering effective language development, as it ensures that instructional content, teaching strategies, assessments, and educational objectives are purposefully aligned and progressively structured. A coherent curriculum supports cumulative and age-appropriate linguistic growth by eliminating gaps and redundancies while reinforcing conceptual continuity across grade levels and subjects. The integration of intercultural communication, multilingual perspectives, and authentic assessment practices further enhances the inclusivity, relevance, and depth of language instruction. Moreover, contextual factors such as stakeholder collaboration, policy alignment, and professional development play a critical role in sustaining coherence across educational systems. When all elements of the curriculum work synergistically, they create a stable and engaging learning environment that not only enhances students’ language proficiency but also promotes learner autonomy, motivation, and meaningful real-world communication.</w:t>
      </w:r>
    </w:p>
    <w:p w14:paraId="1D16C6AF">
      <w:pPr>
        <w:jc w:val="both"/>
        <w:rPr>
          <w:rFonts w:ascii="Times New Roman" w:hAnsi="Times New Roman"/>
          <w:b/>
          <w:sz w:val="24"/>
          <w:szCs w:val="24"/>
          <w:lang w:val="en-US"/>
        </w:rPr>
      </w:pPr>
    </w:p>
    <w:p w14:paraId="0DD0F833">
      <w:pPr>
        <w:jc w:val="both"/>
        <w:rPr>
          <w:rFonts w:ascii="Times New Roman" w:hAnsi="Times New Roman"/>
          <w:b/>
          <w:sz w:val="24"/>
          <w:szCs w:val="24"/>
        </w:rPr>
      </w:pPr>
      <w:commentRangeStart w:id="3"/>
      <w:r>
        <w:rPr>
          <w:rFonts w:ascii="Times New Roman" w:hAnsi="Times New Roman"/>
          <w:b/>
          <w:sz w:val="24"/>
          <w:szCs w:val="24"/>
        </w:rPr>
        <w:t>REFERENCE</w:t>
      </w:r>
      <w:commentRangeEnd w:id="3"/>
      <w:r>
        <w:commentReference w:id="3"/>
      </w:r>
    </w:p>
    <w:p w14:paraId="24CE8117">
      <w:pPr>
        <w:jc w:val="both"/>
        <w:rPr>
          <w:rFonts w:ascii="Times New Roman" w:hAnsi="Times New Roman"/>
          <w:b/>
          <w:sz w:val="24"/>
          <w:szCs w:val="24"/>
        </w:rPr>
      </w:pPr>
    </w:p>
    <w:p w14:paraId="213B0A8D">
      <w:pPr>
        <w:ind w:left="1440" w:hanging="1440"/>
        <w:jc w:val="both"/>
        <w:rPr>
          <w:rFonts w:ascii="Times New Roman" w:hAnsi="Times New Roman"/>
          <w:sz w:val="24"/>
          <w:szCs w:val="24"/>
          <w:shd w:val="clear" w:color="auto" w:fill="FFFFFF"/>
          <w:lang w:val="en-US"/>
        </w:rPr>
      </w:pPr>
      <w:r>
        <w:rPr>
          <w:rFonts w:ascii="Times New Roman" w:hAnsi="Times New Roman"/>
          <w:sz w:val="24"/>
          <w:szCs w:val="24"/>
          <w:shd w:val="clear" w:color="auto" w:fill="FFFFFF"/>
        </w:rPr>
        <w:t>Álvarez Valencia, J. A., &amp; Michelson, K. (2022). A design perspective on intercultural communication in second/foreign language education. </w:t>
      </w:r>
      <w:r>
        <w:rPr>
          <w:rFonts w:ascii="Times New Roman" w:hAnsi="Times New Roman"/>
          <w:i/>
          <w:iCs/>
          <w:sz w:val="24"/>
          <w:szCs w:val="24"/>
          <w:shd w:val="clear" w:color="auto" w:fill="FFFFFF"/>
        </w:rPr>
        <w:t>Journal of International and Intercultural Communication</w:t>
      </w:r>
      <w:r>
        <w:rPr>
          <w:rFonts w:ascii="Times New Roman" w:hAnsi="Times New Roman"/>
          <w:sz w:val="24"/>
          <w:szCs w:val="24"/>
          <w:shd w:val="clear" w:color="auto" w:fill="FFFFFF"/>
        </w:rPr>
        <w:t>, </w:t>
      </w:r>
      <w:r>
        <w:rPr>
          <w:rFonts w:ascii="Times New Roman" w:hAnsi="Times New Roman"/>
          <w:i/>
          <w:iCs/>
          <w:sz w:val="24"/>
          <w:szCs w:val="24"/>
          <w:shd w:val="clear" w:color="auto" w:fill="FFFFFF"/>
        </w:rPr>
        <w:t>16</w:t>
      </w:r>
      <w:r>
        <w:rPr>
          <w:rFonts w:ascii="Times New Roman" w:hAnsi="Times New Roman"/>
          <w:sz w:val="24"/>
          <w:szCs w:val="24"/>
          <w:shd w:val="clear" w:color="auto" w:fill="FFFFFF"/>
        </w:rPr>
        <w:t xml:space="preserve">(4), 399–418. </w:t>
      </w:r>
      <w:r>
        <w:fldChar w:fldCharType="begin"/>
      </w:r>
      <w:r>
        <w:instrText xml:space="preserve"> HYPERLINK "https://doi.org/10.1080/17513057.2022.2066152" </w:instrText>
      </w:r>
      <w:r>
        <w:fldChar w:fldCharType="separate"/>
      </w:r>
      <w:r>
        <w:rPr>
          <w:rStyle w:val="29"/>
          <w:rFonts w:ascii="Times New Roman" w:hAnsi="Times New Roman"/>
          <w:sz w:val="24"/>
          <w:szCs w:val="24"/>
          <w:shd w:val="clear" w:color="auto" w:fill="FFFFFF"/>
        </w:rPr>
        <w:t>https://doi.org/10.1080/17513057.2022.2066152</w:t>
      </w:r>
      <w:r>
        <w:rPr>
          <w:rStyle w:val="29"/>
          <w:rFonts w:ascii="Times New Roman" w:hAnsi="Times New Roman"/>
          <w:sz w:val="24"/>
          <w:szCs w:val="24"/>
          <w:shd w:val="clear" w:color="auto" w:fill="FFFFFF"/>
        </w:rPr>
        <w:fldChar w:fldCharType="end"/>
      </w:r>
      <w:r>
        <w:rPr>
          <w:rFonts w:ascii="Times New Roman" w:hAnsi="Times New Roman"/>
          <w:sz w:val="24"/>
          <w:szCs w:val="24"/>
          <w:shd w:val="clear" w:color="auto" w:fill="FFFFFF"/>
          <w:lang w:val="en-US"/>
        </w:rPr>
        <w:t xml:space="preserve"> </w:t>
      </w:r>
    </w:p>
    <w:p w14:paraId="711089BA">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Bateman, D., Janik, E., Logan, A., &amp; Taylor, S. (2008). </w:t>
      </w:r>
      <w:r>
        <w:rPr>
          <w:rFonts w:ascii="Times New Roman" w:hAnsi="Times New Roman"/>
          <w:i/>
          <w:iCs/>
          <w:sz w:val="24"/>
          <w:szCs w:val="24"/>
        </w:rPr>
        <w:t>Curriculum Coherence and S tudent Success</w:t>
      </w:r>
      <w:r>
        <w:rPr>
          <w:rFonts w:ascii="Times New Roman" w:hAnsi="Times New Roman"/>
          <w:sz w:val="24"/>
          <w:szCs w:val="24"/>
        </w:rPr>
        <w:t xml:space="preserve"> (P. Gaudet (ed.); 1st ed.). Dépôt légal.</w:t>
      </w:r>
    </w:p>
    <w:p w14:paraId="2280A1DA">
      <w:pPr>
        <w:ind w:left="1440" w:hanging="1440"/>
        <w:jc w:val="both"/>
        <w:rPr>
          <w:rFonts w:ascii="Times New Roman" w:hAnsi="Times New Roman"/>
          <w:sz w:val="28"/>
          <w:szCs w:val="28"/>
          <w:lang w:val="en-US"/>
        </w:rPr>
      </w:pPr>
      <w:r>
        <w:rPr>
          <w:rFonts w:ascii="Times New Roman" w:hAnsi="Times New Roman"/>
          <w:sz w:val="24"/>
          <w:szCs w:val="24"/>
        </w:rPr>
        <w:t xml:space="preserve">Dickinson, D. K., Griffith, J. A., Golinkoff, R. M., &amp; Hirsh-Pasek, K. (2012). How Reading Books Fosters Language Development around the World. </w:t>
      </w:r>
      <w:r>
        <w:rPr>
          <w:rFonts w:ascii="Times New Roman" w:hAnsi="Times New Roman"/>
          <w:i/>
          <w:iCs/>
          <w:sz w:val="24"/>
          <w:szCs w:val="24"/>
        </w:rPr>
        <w:t>Child Development Research</w:t>
      </w:r>
      <w:r>
        <w:rPr>
          <w:rFonts w:ascii="Times New Roman" w:hAnsi="Times New Roman"/>
          <w:sz w:val="24"/>
          <w:szCs w:val="24"/>
        </w:rPr>
        <w:t>, 1–15</w:t>
      </w:r>
      <w:r>
        <w:rPr>
          <w:rFonts w:ascii="Times New Roman" w:hAnsi="Times New Roman"/>
          <w:sz w:val="24"/>
          <w:szCs w:val="24"/>
          <w:lang w:val="en-US"/>
        </w:rPr>
        <w:t xml:space="preserve">. </w:t>
      </w:r>
      <w:r>
        <w:rPr>
          <w:rFonts w:ascii="Times New Roman" w:hAnsi="Times New Roman"/>
          <w:sz w:val="24"/>
          <w:szCs w:val="24"/>
        </w:rPr>
        <w:t>https://doi.org/10.1155/2012/602807</w:t>
      </w:r>
    </w:p>
    <w:p w14:paraId="3BCDF6A5">
      <w:pPr>
        <w:ind w:left="1440" w:hanging="1440"/>
        <w:jc w:val="both"/>
        <w:rPr>
          <w:rStyle w:val="29"/>
          <w:rFonts w:ascii="Times New Roman" w:hAnsi="Times New Roman"/>
          <w:sz w:val="24"/>
          <w:szCs w:val="24"/>
        </w:rPr>
      </w:pPr>
      <w:r>
        <w:rPr>
          <w:rFonts w:ascii="Times New Roman" w:hAnsi="Times New Roman"/>
          <w:sz w:val="24"/>
          <w:szCs w:val="24"/>
        </w:rPr>
        <w:t xml:space="preserve">Dieckmann, J., &amp; Skarin, R. (2024). The Importance of Coherently Embedded Language Development Supports. </w:t>
      </w:r>
      <w:r>
        <w:rPr>
          <w:rStyle w:val="23"/>
          <w:rFonts w:ascii="Times New Roman" w:hAnsi="Times New Roman"/>
          <w:sz w:val="24"/>
          <w:szCs w:val="24"/>
        </w:rPr>
        <w:t>EL Success Forum</w:t>
      </w:r>
      <w:r>
        <w:rPr>
          <w:rFonts w:ascii="Times New Roman" w:hAnsi="Times New Roman"/>
          <w:sz w:val="24"/>
          <w:szCs w:val="24"/>
        </w:rPr>
        <w:t xml:space="preserve">. Retrieved from </w:t>
      </w:r>
      <w:r>
        <w:fldChar w:fldCharType="begin"/>
      </w:r>
      <w:r>
        <w:instrText xml:space="preserve"> HYPERLINK "https://www.elsuccessforum.org/blog/the-importance-of-coherently-embedded-language-development-supports" \t "_new" </w:instrText>
      </w:r>
      <w:r>
        <w:fldChar w:fldCharType="separate"/>
      </w:r>
      <w:r>
        <w:rPr>
          <w:rStyle w:val="29"/>
          <w:rFonts w:ascii="Times New Roman" w:hAnsi="Times New Roman"/>
          <w:sz w:val="24"/>
          <w:szCs w:val="24"/>
        </w:rPr>
        <w:t>https://www.elsuccessforum.org/blog/the-importance-of-coherently-embedded-language-development-supports</w:t>
      </w:r>
      <w:r>
        <w:rPr>
          <w:rStyle w:val="29"/>
          <w:rFonts w:ascii="Times New Roman" w:hAnsi="Times New Roman"/>
          <w:sz w:val="24"/>
          <w:szCs w:val="24"/>
        </w:rPr>
        <w:fldChar w:fldCharType="end"/>
      </w:r>
    </w:p>
    <w:p w14:paraId="677BF899">
      <w:pPr>
        <w:ind w:left="1440" w:hanging="1440"/>
        <w:jc w:val="both"/>
        <w:rPr>
          <w:rFonts w:ascii="Times New Roman" w:hAnsi="Times New Roman"/>
          <w:sz w:val="24"/>
          <w:szCs w:val="24"/>
          <w:shd w:val="clear" w:color="auto" w:fill="FFFFFF"/>
          <w:lang w:val="en-US"/>
        </w:rPr>
      </w:pPr>
      <w:r>
        <w:rPr>
          <w:rFonts w:ascii="Times New Roman" w:hAnsi="Times New Roman"/>
          <w:sz w:val="24"/>
          <w:szCs w:val="24"/>
          <w:shd w:val="clear" w:color="auto" w:fill="FFFFFF"/>
        </w:rPr>
        <w:t>Duarte, J., García-Jimenez, E., McMonagle, S., Hansen, A., Gross, B., Szelei, N., &amp; Pinho, A. S. (2020). Research priorities in the field of multilingualism and language education: a cross-national examination. </w:t>
      </w:r>
      <w:r>
        <w:rPr>
          <w:rFonts w:ascii="Times New Roman" w:hAnsi="Times New Roman"/>
          <w:i/>
          <w:iCs/>
          <w:sz w:val="24"/>
          <w:szCs w:val="24"/>
          <w:shd w:val="clear" w:color="auto" w:fill="FFFFFF"/>
        </w:rPr>
        <w:t>Journal of Multilingual and Multicultural Development</w:t>
      </w:r>
      <w:r>
        <w:rPr>
          <w:rFonts w:ascii="Times New Roman" w:hAnsi="Times New Roman"/>
          <w:sz w:val="24"/>
          <w:szCs w:val="24"/>
          <w:shd w:val="clear" w:color="auto" w:fill="FFFFFF"/>
        </w:rPr>
        <w:t>, </w:t>
      </w:r>
      <w:r>
        <w:rPr>
          <w:rFonts w:ascii="Times New Roman" w:hAnsi="Times New Roman"/>
          <w:i/>
          <w:iCs/>
          <w:sz w:val="24"/>
          <w:szCs w:val="24"/>
          <w:shd w:val="clear" w:color="auto" w:fill="FFFFFF"/>
        </w:rPr>
        <w:t>44</w:t>
      </w:r>
      <w:r>
        <w:rPr>
          <w:rFonts w:ascii="Times New Roman" w:hAnsi="Times New Roman"/>
          <w:sz w:val="24"/>
          <w:szCs w:val="24"/>
          <w:shd w:val="clear" w:color="auto" w:fill="FFFFFF"/>
        </w:rPr>
        <w:t xml:space="preserve">(1), 50–64. </w:t>
      </w:r>
      <w:r>
        <w:fldChar w:fldCharType="begin"/>
      </w:r>
      <w:r>
        <w:instrText xml:space="preserve"> HYPERLINK "https://doi.org/10.1080/01434632.2020.1792475" </w:instrText>
      </w:r>
      <w:r>
        <w:fldChar w:fldCharType="separate"/>
      </w:r>
      <w:r>
        <w:rPr>
          <w:rStyle w:val="29"/>
          <w:rFonts w:ascii="Times New Roman" w:hAnsi="Times New Roman"/>
          <w:sz w:val="24"/>
          <w:szCs w:val="24"/>
          <w:shd w:val="clear" w:color="auto" w:fill="FFFFFF"/>
        </w:rPr>
        <w:t>https://doi.org/10.1080/01434632.2020.1792475</w:t>
      </w:r>
      <w:r>
        <w:rPr>
          <w:rStyle w:val="29"/>
          <w:rFonts w:ascii="Times New Roman" w:hAnsi="Times New Roman"/>
          <w:sz w:val="24"/>
          <w:szCs w:val="24"/>
          <w:shd w:val="clear" w:color="auto" w:fill="FFFFFF"/>
        </w:rPr>
        <w:fldChar w:fldCharType="end"/>
      </w:r>
      <w:r>
        <w:rPr>
          <w:rFonts w:ascii="Times New Roman" w:hAnsi="Times New Roman"/>
          <w:sz w:val="24"/>
          <w:szCs w:val="24"/>
          <w:shd w:val="clear" w:color="auto" w:fill="FFFFFF"/>
          <w:lang w:val="en-US"/>
        </w:rPr>
        <w:t xml:space="preserve"> </w:t>
      </w:r>
    </w:p>
    <w:p w14:paraId="19FCEB90">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Fay, J. R., Newton, C., &amp; Budge, S. T. (2021). Achieving Curricular Coherence in Complex Higher Educational Systems: Considering the Human Element in Transformational Change. </w:t>
      </w:r>
      <w:r>
        <w:rPr>
          <w:rFonts w:ascii="Times New Roman" w:hAnsi="Times New Roman"/>
          <w:i/>
          <w:iCs/>
          <w:sz w:val="24"/>
          <w:szCs w:val="24"/>
        </w:rPr>
        <w:t>International Journal of Teaching and Learning in Higher Education 2021</w:t>
      </w:r>
      <w:r>
        <w:rPr>
          <w:rFonts w:ascii="Times New Roman" w:hAnsi="Times New Roman"/>
          <w:sz w:val="24"/>
          <w:szCs w:val="24"/>
        </w:rPr>
        <w:t xml:space="preserve">, </w:t>
      </w:r>
      <w:r>
        <w:rPr>
          <w:rFonts w:ascii="Times New Roman" w:hAnsi="Times New Roman"/>
          <w:i/>
          <w:iCs/>
          <w:sz w:val="24"/>
          <w:szCs w:val="24"/>
        </w:rPr>
        <w:t>33</w:t>
      </w:r>
      <w:r>
        <w:rPr>
          <w:rFonts w:ascii="Times New Roman" w:hAnsi="Times New Roman"/>
          <w:sz w:val="24"/>
          <w:szCs w:val="24"/>
        </w:rPr>
        <w:t>(1), 23–33. http://www.isetl.org/ijtlhe/</w:t>
      </w:r>
    </w:p>
    <w:p w14:paraId="16E5AEF5">
      <w:pPr>
        <w:widowControl w:val="0"/>
        <w:autoSpaceDE w:val="0"/>
        <w:autoSpaceDN w:val="0"/>
        <w:adjustRightInd w:val="0"/>
        <w:ind w:left="1440" w:hanging="1440"/>
        <w:jc w:val="both"/>
        <w:rPr>
          <w:rStyle w:val="29"/>
          <w:rFonts w:ascii="Times New Roman" w:hAnsi="Times New Roman"/>
          <w:color w:val="auto"/>
          <w:sz w:val="24"/>
          <w:szCs w:val="24"/>
          <w:u w:val="none"/>
        </w:rPr>
      </w:pPr>
      <w:r>
        <w:rPr>
          <w:rFonts w:ascii="Times New Roman" w:hAnsi="Times New Roman"/>
          <w:sz w:val="24"/>
          <w:szCs w:val="24"/>
        </w:rPr>
        <w:t xml:space="preserve">Green, M. F. (2021). In search of curricular coherence. </w:t>
      </w:r>
      <w:r>
        <w:rPr>
          <w:rFonts w:ascii="Times New Roman" w:hAnsi="Times New Roman"/>
          <w:i/>
          <w:iCs/>
          <w:sz w:val="24"/>
          <w:szCs w:val="24"/>
        </w:rPr>
        <w:t>International Journal of Teaching and Learning in Higher Education</w:t>
      </w:r>
      <w:r>
        <w:rPr>
          <w:rFonts w:ascii="Times New Roman" w:hAnsi="Times New Roman"/>
          <w:sz w:val="24"/>
          <w:szCs w:val="24"/>
        </w:rPr>
        <w:t xml:space="preserve">, </w:t>
      </w:r>
      <w:r>
        <w:rPr>
          <w:rFonts w:ascii="Times New Roman" w:hAnsi="Times New Roman"/>
          <w:i/>
          <w:iCs/>
          <w:sz w:val="24"/>
          <w:szCs w:val="24"/>
        </w:rPr>
        <w:t>33</w:t>
      </w:r>
      <w:r>
        <w:rPr>
          <w:rFonts w:ascii="Times New Roman" w:hAnsi="Times New Roman"/>
          <w:sz w:val="24"/>
          <w:szCs w:val="24"/>
        </w:rPr>
        <w:t>(1), 100–109. http://www.teaglefoundation.org/Impacts-Outcomes/Evaluator/Reports/In-Search-of-Curricular-Coherence-(2018)</w:t>
      </w:r>
    </w:p>
    <w:p w14:paraId="0475B6F6">
      <w:pPr>
        <w:ind w:left="1440" w:hanging="1440"/>
        <w:jc w:val="both"/>
        <w:rPr>
          <w:rFonts w:ascii="Times New Roman" w:hAnsi="Times New Roman"/>
          <w:color w:val="222222"/>
          <w:sz w:val="24"/>
          <w:szCs w:val="24"/>
          <w:shd w:val="clear" w:color="auto" w:fill="FFFFFF"/>
          <w:lang w:val="en-US"/>
        </w:rPr>
      </w:pPr>
      <w:r>
        <w:rPr>
          <w:rFonts w:ascii="Times New Roman" w:hAnsi="Times New Roman"/>
          <w:sz w:val="24"/>
          <w:szCs w:val="24"/>
          <w:shd w:val="clear" w:color="auto" w:fill="FFFFFF"/>
        </w:rPr>
        <w:t>Ge, N., Wang, E., &amp; Li, Y. (2023). Foreign Language Education for Sustainable Development in China: A Case Study of German Language Education. </w:t>
      </w:r>
      <w:r>
        <w:rPr>
          <w:rStyle w:val="23"/>
          <w:rFonts w:ascii="Times New Roman" w:hAnsi="Times New Roman"/>
          <w:sz w:val="24"/>
          <w:szCs w:val="24"/>
          <w:shd w:val="clear" w:color="auto" w:fill="FFFFFF"/>
        </w:rPr>
        <w:t>Sustainability</w:t>
      </w:r>
      <w:r>
        <w:rPr>
          <w:rFonts w:ascii="Times New Roman" w:hAnsi="Times New Roman"/>
          <w:sz w:val="24"/>
          <w:szCs w:val="24"/>
          <w:shd w:val="clear" w:color="auto" w:fill="FFFFFF"/>
        </w:rPr>
        <w:t>, </w:t>
      </w:r>
      <w:r>
        <w:rPr>
          <w:rStyle w:val="23"/>
          <w:rFonts w:ascii="Times New Roman" w:hAnsi="Times New Roman"/>
          <w:sz w:val="24"/>
          <w:szCs w:val="24"/>
          <w:shd w:val="clear" w:color="auto" w:fill="FFFFFF"/>
        </w:rPr>
        <w:t>15</w:t>
      </w:r>
      <w:r>
        <w:rPr>
          <w:rFonts w:ascii="Times New Roman" w:hAnsi="Times New Roman"/>
          <w:sz w:val="24"/>
          <w:szCs w:val="24"/>
          <w:shd w:val="clear" w:color="auto" w:fill="FFFFFF"/>
        </w:rPr>
        <w:t>(8), 6340.</w:t>
      </w:r>
      <w:r>
        <w:rPr>
          <w:rFonts w:ascii="Times New Roman" w:hAnsi="Times New Roman"/>
          <w:color w:val="222222"/>
          <w:sz w:val="24"/>
          <w:szCs w:val="24"/>
          <w:shd w:val="clear" w:color="auto" w:fill="FFFFFF"/>
        </w:rPr>
        <w:t xml:space="preserve"> </w:t>
      </w:r>
      <w:r>
        <w:fldChar w:fldCharType="begin"/>
      </w:r>
      <w:r>
        <w:instrText xml:space="preserve"> HYPERLINK "https://doi.org/10.3390/su15086340" </w:instrText>
      </w:r>
      <w:r>
        <w:fldChar w:fldCharType="separate"/>
      </w:r>
      <w:r>
        <w:rPr>
          <w:rStyle w:val="29"/>
          <w:rFonts w:ascii="Times New Roman" w:hAnsi="Times New Roman"/>
          <w:sz w:val="24"/>
          <w:szCs w:val="24"/>
          <w:shd w:val="clear" w:color="auto" w:fill="FFFFFF"/>
        </w:rPr>
        <w:t>https://doi.org/10.3390/su15086340</w:t>
      </w:r>
      <w:r>
        <w:rPr>
          <w:rStyle w:val="29"/>
          <w:rFonts w:ascii="Times New Roman" w:hAnsi="Times New Roman"/>
          <w:sz w:val="24"/>
          <w:szCs w:val="24"/>
          <w:shd w:val="clear" w:color="auto" w:fill="FFFFFF"/>
        </w:rPr>
        <w:fldChar w:fldCharType="end"/>
      </w:r>
      <w:r>
        <w:rPr>
          <w:rFonts w:ascii="Times New Roman" w:hAnsi="Times New Roman"/>
          <w:color w:val="222222"/>
          <w:sz w:val="24"/>
          <w:szCs w:val="24"/>
          <w:shd w:val="clear" w:color="auto" w:fill="FFFFFF"/>
          <w:lang w:val="en-US"/>
        </w:rPr>
        <w:t xml:space="preserve"> </w:t>
      </w:r>
    </w:p>
    <w:p w14:paraId="32F8B98F">
      <w:pPr>
        <w:ind w:left="1440" w:hanging="1440"/>
        <w:jc w:val="both"/>
        <w:rPr>
          <w:rFonts w:ascii="Times New Roman" w:hAnsi="Times New Roman"/>
          <w:sz w:val="24"/>
          <w:szCs w:val="24"/>
          <w:shd w:val="clear" w:color="auto" w:fill="FFFFFF"/>
          <w:lang w:val="en-US"/>
        </w:rPr>
      </w:pPr>
      <w:r>
        <w:rPr>
          <w:rFonts w:ascii="Times New Roman" w:hAnsi="Times New Roman"/>
          <w:sz w:val="24"/>
          <w:szCs w:val="24"/>
          <w:shd w:val="clear" w:color="auto" w:fill="FFFFFF"/>
        </w:rPr>
        <w:t>Islam, M.S., Hasan, M.K., Sultana, S. </w:t>
      </w:r>
      <w:r>
        <w:rPr>
          <w:rFonts w:ascii="Times New Roman" w:hAnsi="Times New Roman"/>
          <w:i/>
          <w:iCs/>
          <w:sz w:val="24"/>
          <w:szCs w:val="24"/>
          <w:shd w:val="clear" w:color="auto" w:fill="FFFFFF"/>
        </w:rPr>
        <w:t>et al.</w:t>
      </w:r>
      <w:r>
        <w:rPr>
          <w:rFonts w:ascii="Times New Roman" w:hAnsi="Times New Roman"/>
          <w:sz w:val="24"/>
          <w:szCs w:val="24"/>
          <w:shd w:val="clear" w:color="auto" w:fill="FFFFFF"/>
        </w:rPr>
        <w:t> English language assessment in Bangladesh today: principles, practices, and problems. </w:t>
      </w:r>
      <w:r>
        <w:rPr>
          <w:rFonts w:ascii="Times New Roman" w:hAnsi="Times New Roman"/>
          <w:i/>
          <w:iCs/>
          <w:sz w:val="24"/>
          <w:szCs w:val="24"/>
          <w:shd w:val="clear" w:color="auto" w:fill="FFFFFF"/>
        </w:rPr>
        <w:t>Lang Test Asia</w:t>
      </w:r>
      <w:r>
        <w:rPr>
          <w:rFonts w:ascii="Times New Roman" w:hAnsi="Times New Roman"/>
          <w:sz w:val="24"/>
          <w:szCs w:val="24"/>
          <w:shd w:val="clear" w:color="auto" w:fill="FFFFFF"/>
        </w:rPr>
        <w:t xml:space="preserve"> 11, 1 (2021). </w:t>
      </w:r>
      <w:r>
        <w:fldChar w:fldCharType="begin"/>
      </w:r>
      <w:r>
        <w:instrText xml:space="preserve"> HYPERLINK "https://doi.org/10.1186/s40468-020-00116-z" </w:instrText>
      </w:r>
      <w:r>
        <w:fldChar w:fldCharType="separate"/>
      </w:r>
      <w:r>
        <w:rPr>
          <w:rStyle w:val="29"/>
          <w:rFonts w:ascii="Times New Roman" w:hAnsi="Times New Roman"/>
          <w:sz w:val="24"/>
          <w:szCs w:val="24"/>
          <w:shd w:val="clear" w:color="auto" w:fill="FFFFFF"/>
        </w:rPr>
        <w:t>https://doi.org/10.1186/s40468-020-00116-z</w:t>
      </w:r>
      <w:r>
        <w:rPr>
          <w:rStyle w:val="29"/>
          <w:rFonts w:ascii="Times New Roman" w:hAnsi="Times New Roman"/>
          <w:sz w:val="24"/>
          <w:szCs w:val="24"/>
          <w:shd w:val="clear" w:color="auto" w:fill="FFFFFF"/>
        </w:rPr>
        <w:fldChar w:fldCharType="end"/>
      </w:r>
      <w:r>
        <w:rPr>
          <w:rFonts w:ascii="Times New Roman" w:hAnsi="Times New Roman"/>
          <w:sz w:val="24"/>
          <w:szCs w:val="24"/>
          <w:shd w:val="clear" w:color="auto" w:fill="FFFFFF"/>
          <w:lang w:val="en-US"/>
        </w:rPr>
        <w:t xml:space="preserve"> </w:t>
      </w:r>
    </w:p>
    <w:p w14:paraId="0AF373A7">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Jaelani, A. Q., Sunan, U., Yogyakarta, K., &amp; Asfiyah, W. (2019). Development of Language and Its Implications on Learning. </w:t>
      </w:r>
      <w:r>
        <w:rPr>
          <w:rFonts w:ascii="Times New Roman" w:hAnsi="Times New Roman"/>
          <w:i/>
          <w:iCs/>
          <w:sz w:val="24"/>
          <w:szCs w:val="24"/>
        </w:rPr>
        <w:t>Linguistics, and Literature</w:t>
      </w:r>
      <w:r>
        <w:rPr>
          <w:rFonts w:ascii="Times New Roman" w:hAnsi="Times New Roman"/>
          <w:sz w:val="24"/>
          <w:szCs w:val="24"/>
        </w:rPr>
        <w:t xml:space="preserve">, </w:t>
      </w:r>
      <w:r>
        <w:rPr>
          <w:rFonts w:ascii="Times New Roman" w:hAnsi="Times New Roman"/>
          <w:i/>
          <w:iCs/>
          <w:sz w:val="24"/>
          <w:szCs w:val="24"/>
        </w:rPr>
        <w:t>2</w:t>
      </w:r>
      <w:r>
        <w:rPr>
          <w:rFonts w:ascii="Times New Roman" w:hAnsi="Times New Roman"/>
          <w:sz w:val="24"/>
          <w:szCs w:val="24"/>
        </w:rPr>
        <w:t>(2), 8–22.</w:t>
      </w:r>
    </w:p>
    <w:p w14:paraId="38A872D5">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Lindquist, L. (2015). General Language. </w:t>
      </w:r>
      <w:r>
        <w:rPr>
          <w:rFonts w:ascii="Times New Roman" w:hAnsi="Times New Roman"/>
          <w:i/>
          <w:iCs/>
          <w:sz w:val="24"/>
          <w:szCs w:val="24"/>
        </w:rPr>
        <w:t>The Modern Language Journal</w:t>
      </w:r>
      <w:r>
        <w:rPr>
          <w:rFonts w:ascii="Times New Roman" w:hAnsi="Times New Roman"/>
          <w:sz w:val="24"/>
          <w:szCs w:val="24"/>
        </w:rPr>
        <w:t xml:space="preserve">, </w:t>
      </w:r>
      <w:r>
        <w:rPr>
          <w:rFonts w:ascii="Times New Roman" w:hAnsi="Times New Roman"/>
          <w:i/>
          <w:iCs/>
          <w:sz w:val="24"/>
          <w:szCs w:val="24"/>
        </w:rPr>
        <w:t>24</w:t>
      </w:r>
      <w:r>
        <w:rPr>
          <w:rFonts w:ascii="Times New Roman" w:hAnsi="Times New Roman"/>
          <w:sz w:val="24"/>
          <w:szCs w:val="24"/>
        </w:rPr>
        <w:t>(8), 563–567. https://doi.org/10.1111/j.1540-4781.1940.tb00109.x</w:t>
      </w:r>
    </w:p>
    <w:p w14:paraId="314A32D1">
      <w:pPr>
        <w:pStyle w:val="72"/>
        <w:spacing w:before="0" w:after="0"/>
        <w:ind w:left="1440" w:hanging="1440"/>
        <w:contextualSpacing/>
        <w:jc w:val="both"/>
        <w:rPr>
          <w:b w:val="0"/>
          <w:bCs/>
          <w:sz w:val="28"/>
          <w:szCs w:val="28"/>
          <w:lang w:val="id-ID"/>
        </w:rPr>
      </w:pPr>
      <w:r>
        <w:rPr>
          <w:b w:val="0"/>
          <w:bCs/>
          <w:sz w:val="24"/>
          <w:szCs w:val="24"/>
          <w:shd w:val="clear" w:color="auto" w:fill="FFFFFF"/>
          <w:lang w:val="sv-SE"/>
        </w:rPr>
        <w:t xml:space="preserve">Liu, H., Zhang, X., &amp; Fang, F. (2021). </w:t>
      </w:r>
      <w:r>
        <w:rPr>
          <w:b w:val="0"/>
          <w:bCs/>
          <w:sz w:val="24"/>
          <w:szCs w:val="24"/>
          <w:shd w:val="clear" w:color="auto" w:fill="FFFFFF"/>
        </w:rPr>
        <w:t>Young English learners’ attitudes towards China English: unpacking their identity construction with implications for secondary level language education in China. </w:t>
      </w:r>
      <w:r>
        <w:rPr>
          <w:b w:val="0"/>
          <w:bCs/>
          <w:i/>
          <w:iCs/>
          <w:sz w:val="24"/>
          <w:szCs w:val="24"/>
          <w:shd w:val="clear" w:color="auto" w:fill="FFFFFF"/>
        </w:rPr>
        <w:t>Asia Pacific Journal of Education</w:t>
      </w:r>
      <w:r>
        <w:rPr>
          <w:b w:val="0"/>
          <w:bCs/>
          <w:sz w:val="24"/>
          <w:szCs w:val="24"/>
          <w:shd w:val="clear" w:color="auto" w:fill="FFFFFF"/>
        </w:rPr>
        <w:t>, </w:t>
      </w:r>
      <w:r>
        <w:rPr>
          <w:b w:val="0"/>
          <w:bCs/>
          <w:i/>
          <w:iCs/>
          <w:sz w:val="24"/>
          <w:szCs w:val="24"/>
          <w:shd w:val="clear" w:color="auto" w:fill="FFFFFF"/>
        </w:rPr>
        <w:t>43</w:t>
      </w:r>
      <w:r>
        <w:rPr>
          <w:b w:val="0"/>
          <w:bCs/>
          <w:sz w:val="24"/>
          <w:szCs w:val="24"/>
          <w:shd w:val="clear" w:color="auto" w:fill="FFFFFF"/>
        </w:rPr>
        <w:t xml:space="preserve">(1), 283–298. </w:t>
      </w:r>
      <w:r>
        <w:fldChar w:fldCharType="begin"/>
      </w:r>
      <w:r>
        <w:instrText xml:space="preserve"> HYPERLINK "https://doi.org/10.1080/02188791.2021.1908228" </w:instrText>
      </w:r>
      <w:r>
        <w:fldChar w:fldCharType="separate"/>
      </w:r>
      <w:r>
        <w:rPr>
          <w:rStyle w:val="29"/>
          <w:b w:val="0"/>
          <w:bCs/>
          <w:sz w:val="24"/>
          <w:szCs w:val="24"/>
          <w:shd w:val="clear" w:color="auto" w:fill="FFFFFF"/>
        </w:rPr>
        <w:t>https://doi.org/10.1080/02188791.2021.1908228</w:t>
      </w:r>
      <w:r>
        <w:rPr>
          <w:rStyle w:val="29"/>
          <w:b w:val="0"/>
          <w:bCs/>
          <w:sz w:val="24"/>
          <w:szCs w:val="24"/>
          <w:shd w:val="clear" w:color="auto" w:fill="FFFFFF"/>
        </w:rPr>
        <w:fldChar w:fldCharType="end"/>
      </w:r>
      <w:r>
        <w:rPr>
          <w:b w:val="0"/>
          <w:bCs/>
          <w:color w:val="333333"/>
          <w:sz w:val="24"/>
          <w:szCs w:val="24"/>
          <w:shd w:val="clear" w:color="auto" w:fill="FFFFFF"/>
        </w:rPr>
        <w:t xml:space="preserve"> </w:t>
      </w:r>
    </w:p>
    <w:p w14:paraId="068C42D0">
      <w:pPr>
        <w:ind w:left="1440" w:hanging="1440"/>
        <w:jc w:val="both"/>
        <w:rPr>
          <w:rFonts w:ascii="Times New Roman" w:hAnsi="Times New Roman"/>
          <w:color w:val="333333"/>
          <w:sz w:val="24"/>
          <w:szCs w:val="24"/>
          <w:shd w:val="clear" w:color="auto" w:fill="FFFFFF"/>
          <w:lang w:val="en-US"/>
        </w:rPr>
      </w:pPr>
      <w:r>
        <w:rPr>
          <w:rFonts w:ascii="Times New Roman" w:hAnsi="Times New Roman"/>
          <w:sz w:val="24"/>
          <w:szCs w:val="24"/>
          <w:shd w:val="clear" w:color="auto" w:fill="FFFFFF"/>
        </w:rPr>
        <w:t>McPhail, G. (2020). The search for deep learning: a curriculum coherence model. </w:t>
      </w:r>
      <w:r>
        <w:rPr>
          <w:rFonts w:ascii="Times New Roman" w:hAnsi="Times New Roman"/>
          <w:i/>
          <w:iCs/>
          <w:sz w:val="24"/>
          <w:szCs w:val="24"/>
          <w:shd w:val="clear" w:color="auto" w:fill="FFFFFF"/>
        </w:rPr>
        <w:t>Journal of Curriculum Studies</w:t>
      </w:r>
      <w:r>
        <w:rPr>
          <w:rFonts w:ascii="Times New Roman" w:hAnsi="Times New Roman"/>
          <w:sz w:val="24"/>
          <w:szCs w:val="24"/>
          <w:shd w:val="clear" w:color="auto" w:fill="FFFFFF"/>
        </w:rPr>
        <w:t>, </w:t>
      </w:r>
      <w:r>
        <w:rPr>
          <w:rFonts w:ascii="Times New Roman" w:hAnsi="Times New Roman"/>
          <w:i/>
          <w:iCs/>
          <w:sz w:val="24"/>
          <w:szCs w:val="24"/>
          <w:shd w:val="clear" w:color="auto" w:fill="FFFFFF"/>
        </w:rPr>
        <w:t>53</w:t>
      </w:r>
      <w:r>
        <w:rPr>
          <w:rFonts w:ascii="Times New Roman" w:hAnsi="Times New Roman"/>
          <w:sz w:val="24"/>
          <w:szCs w:val="24"/>
          <w:shd w:val="clear" w:color="auto" w:fill="FFFFFF"/>
        </w:rPr>
        <w:t xml:space="preserve">(4), 420–434. </w:t>
      </w:r>
      <w:r>
        <w:fldChar w:fldCharType="begin"/>
      </w:r>
      <w:r>
        <w:instrText xml:space="preserve"> HYPERLINK "https://doi.org/10.1080/00220272.2020.1748231" </w:instrText>
      </w:r>
      <w:r>
        <w:fldChar w:fldCharType="separate"/>
      </w:r>
      <w:r>
        <w:rPr>
          <w:rStyle w:val="29"/>
          <w:rFonts w:ascii="Times New Roman" w:hAnsi="Times New Roman"/>
          <w:sz w:val="24"/>
          <w:szCs w:val="24"/>
          <w:shd w:val="clear" w:color="auto" w:fill="FFFFFF"/>
        </w:rPr>
        <w:t>https://doi.org/10.1080/00220272.2020.1748231</w:t>
      </w:r>
      <w:r>
        <w:rPr>
          <w:rStyle w:val="29"/>
          <w:rFonts w:ascii="Times New Roman" w:hAnsi="Times New Roman"/>
          <w:sz w:val="24"/>
          <w:szCs w:val="24"/>
          <w:shd w:val="clear" w:color="auto" w:fill="FFFFFF"/>
        </w:rPr>
        <w:fldChar w:fldCharType="end"/>
      </w:r>
      <w:r>
        <w:rPr>
          <w:rFonts w:ascii="Times New Roman" w:hAnsi="Times New Roman"/>
          <w:color w:val="333333"/>
          <w:sz w:val="24"/>
          <w:szCs w:val="24"/>
          <w:shd w:val="clear" w:color="auto" w:fill="FFFFFF"/>
          <w:lang w:val="en-US"/>
        </w:rPr>
        <w:t xml:space="preserve"> </w:t>
      </w:r>
    </w:p>
    <w:p w14:paraId="4DEBD298">
      <w:pPr>
        <w:ind w:left="1440" w:hanging="1440"/>
        <w:jc w:val="both"/>
        <w:rPr>
          <w:rStyle w:val="29"/>
          <w:rFonts w:ascii="Times New Roman" w:hAnsi="Times New Roman"/>
          <w:sz w:val="24"/>
          <w:szCs w:val="24"/>
        </w:rPr>
      </w:pPr>
      <w:r>
        <w:rPr>
          <w:rFonts w:ascii="Times New Roman" w:hAnsi="Times New Roman"/>
          <w:sz w:val="24"/>
          <w:szCs w:val="24"/>
        </w:rPr>
        <w:t xml:space="preserve">Mueller, J. (2014). </w:t>
      </w:r>
      <w:r>
        <w:rPr>
          <w:rStyle w:val="23"/>
          <w:rFonts w:ascii="Times New Roman" w:hAnsi="Times New Roman"/>
          <w:sz w:val="24"/>
          <w:szCs w:val="24"/>
        </w:rPr>
        <w:t>Authentic assessment toolbox</w:t>
      </w:r>
      <w:r>
        <w:rPr>
          <w:rFonts w:ascii="Times New Roman" w:hAnsi="Times New Roman"/>
          <w:sz w:val="24"/>
          <w:szCs w:val="24"/>
        </w:rPr>
        <w:t xml:space="preserve">. North Central College. </w:t>
      </w:r>
      <w:r>
        <w:fldChar w:fldCharType="begin"/>
      </w:r>
      <w:r>
        <w:instrText xml:space="preserve"> HYPERLINK "http://jonathan.mueller.faculty.noctrl.edu/toolbox/index.htm" \t "_new" </w:instrText>
      </w:r>
      <w:r>
        <w:fldChar w:fldCharType="separate"/>
      </w:r>
      <w:r>
        <w:rPr>
          <w:rStyle w:val="29"/>
          <w:rFonts w:ascii="Times New Roman" w:hAnsi="Times New Roman"/>
          <w:sz w:val="24"/>
          <w:szCs w:val="24"/>
        </w:rPr>
        <w:t>http://jonathan.mueller.faculty.noctrl.edu/toolbox/index.htm</w:t>
      </w:r>
      <w:r>
        <w:rPr>
          <w:rStyle w:val="29"/>
          <w:rFonts w:ascii="Times New Roman" w:hAnsi="Times New Roman"/>
          <w:sz w:val="24"/>
          <w:szCs w:val="24"/>
        </w:rPr>
        <w:fldChar w:fldCharType="end"/>
      </w:r>
    </w:p>
    <w:p w14:paraId="6AFAF16D">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McEwan, M. P., Geary Pate, A. C., &amp; Wilder-Davis, K. (2023). Academic development: Leading by example with an authentic and practical approach to curriculum design. </w:t>
      </w:r>
      <w:r>
        <w:rPr>
          <w:rFonts w:ascii="Times New Roman" w:hAnsi="Times New Roman"/>
          <w:i/>
          <w:iCs/>
          <w:sz w:val="24"/>
          <w:szCs w:val="24"/>
        </w:rPr>
        <w:t>Journal of University Teaching and Learning Practice</w:t>
      </w:r>
      <w:r>
        <w:rPr>
          <w:rFonts w:ascii="Times New Roman" w:hAnsi="Times New Roman"/>
          <w:sz w:val="24"/>
          <w:szCs w:val="24"/>
        </w:rPr>
        <w:t xml:space="preserve">, </w:t>
      </w:r>
      <w:r>
        <w:rPr>
          <w:rFonts w:ascii="Times New Roman" w:hAnsi="Times New Roman"/>
          <w:i/>
          <w:iCs/>
          <w:sz w:val="24"/>
          <w:szCs w:val="24"/>
        </w:rPr>
        <w:t>20</w:t>
      </w:r>
      <w:r>
        <w:rPr>
          <w:rFonts w:ascii="Times New Roman" w:hAnsi="Times New Roman"/>
          <w:sz w:val="24"/>
          <w:szCs w:val="24"/>
        </w:rPr>
        <w:t xml:space="preserve">(4). </w:t>
      </w:r>
      <w:r>
        <w:fldChar w:fldCharType="begin"/>
      </w:r>
      <w:r>
        <w:instrText xml:space="preserve"> HYPERLINK "https://doi.org/10.53761/1.20.4.12" </w:instrText>
      </w:r>
      <w:r>
        <w:fldChar w:fldCharType="separate"/>
      </w:r>
      <w:r>
        <w:rPr>
          <w:rStyle w:val="29"/>
          <w:rFonts w:ascii="Times New Roman" w:hAnsi="Times New Roman"/>
          <w:sz w:val="24"/>
          <w:szCs w:val="24"/>
        </w:rPr>
        <w:t>https://doi.org/10.53761/1.20.4.12</w:t>
      </w:r>
      <w:r>
        <w:rPr>
          <w:rStyle w:val="29"/>
          <w:rFonts w:ascii="Times New Roman" w:hAnsi="Times New Roman"/>
          <w:sz w:val="24"/>
          <w:szCs w:val="24"/>
        </w:rPr>
        <w:fldChar w:fldCharType="end"/>
      </w:r>
    </w:p>
    <w:p w14:paraId="380CC521">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Pritchard, L. M., Bowles-Terry, M., Couzens, L., Drake, M., Rodriguez-Robles, J. A., Copeland, D. E., Kim, P., Tillery, D., &amp; Drake, B. (2021). Implementing Curricular Change Across the University: Challenges and Successes. </w:t>
      </w:r>
      <w:r>
        <w:rPr>
          <w:rFonts w:ascii="Times New Roman" w:hAnsi="Times New Roman"/>
          <w:i/>
          <w:iCs/>
          <w:sz w:val="24"/>
          <w:szCs w:val="24"/>
        </w:rPr>
        <w:t>International Journal of Teaching and Learning in Higher Education 2021</w:t>
      </w:r>
      <w:r>
        <w:rPr>
          <w:rFonts w:ascii="Times New Roman" w:hAnsi="Times New Roman"/>
          <w:sz w:val="24"/>
          <w:szCs w:val="24"/>
        </w:rPr>
        <w:t xml:space="preserve">, </w:t>
      </w:r>
      <w:r>
        <w:rPr>
          <w:rFonts w:ascii="Times New Roman" w:hAnsi="Times New Roman"/>
          <w:i/>
          <w:iCs/>
          <w:sz w:val="24"/>
          <w:szCs w:val="24"/>
        </w:rPr>
        <w:t>33</w:t>
      </w:r>
      <w:r>
        <w:rPr>
          <w:rFonts w:ascii="Times New Roman" w:hAnsi="Times New Roman"/>
          <w:sz w:val="24"/>
          <w:szCs w:val="24"/>
        </w:rPr>
        <w:t>(1), 34–47. http://www.isetl.org/ijtlhe/</w:t>
      </w:r>
    </w:p>
    <w:p w14:paraId="5CF3576E">
      <w:pPr>
        <w:ind w:left="1440" w:hanging="1440"/>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 xml:space="preserve">Penaflorida, A. H. (2014). Nontraditional forms of assessment and response to student writing: A step toward learner autonomy. In J. C. Richards &amp; W. A. Renandya (Eds.), </w:t>
      </w:r>
      <w:r>
        <w:rPr>
          <w:rFonts w:ascii="Times New Roman" w:hAnsi="Times New Roman" w:eastAsia="Times New Roman"/>
          <w:i/>
          <w:iCs/>
          <w:sz w:val="24"/>
          <w:szCs w:val="24"/>
          <w:lang w:val="zh-CN" w:eastAsia="zh-CN"/>
        </w:rPr>
        <w:t xml:space="preserve">Methodology in language teaching: An anthology of current practice. </w:t>
      </w:r>
      <w:r>
        <w:rPr>
          <w:rFonts w:ascii="Times New Roman" w:hAnsi="Times New Roman" w:eastAsia="Times New Roman"/>
          <w:sz w:val="24"/>
          <w:szCs w:val="24"/>
          <w:lang w:val="zh-CN" w:eastAsia="zh-CN"/>
        </w:rPr>
        <w:t>Cambridge University Press.</w:t>
      </w:r>
    </w:p>
    <w:p w14:paraId="7E6E0BFF">
      <w:pPr>
        <w:ind w:left="1440" w:hanging="1440"/>
        <w:jc w:val="both"/>
        <w:rPr>
          <w:rFonts w:ascii="Times New Roman" w:hAnsi="Times New Roman" w:eastAsia="Times New Roman"/>
          <w:sz w:val="24"/>
          <w:szCs w:val="24"/>
          <w:lang w:val="zh-CN" w:eastAsia="zh-CN"/>
        </w:rPr>
      </w:pPr>
      <w:r>
        <w:rPr>
          <w:rFonts w:ascii="Times New Roman" w:hAnsi="Times New Roman" w:eastAsia="Times New Roman"/>
          <w:sz w:val="24"/>
          <w:szCs w:val="24"/>
          <w:lang w:val="zh-CN" w:eastAsia="zh-CN"/>
        </w:rPr>
        <w:t xml:space="preserve">Richards, J. C., &amp; Renandya, W. A. (Eds.). (2002). </w:t>
      </w:r>
      <w:r>
        <w:rPr>
          <w:rFonts w:ascii="Times New Roman" w:hAnsi="Times New Roman" w:eastAsia="Times New Roman"/>
          <w:i/>
          <w:iCs/>
          <w:sz w:val="24"/>
          <w:szCs w:val="24"/>
          <w:lang w:val="zh-CN" w:eastAsia="zh-CN"/>
        </w:rPr>
        <w:t>Methodology in language teaching: An anthology of current practice</w:t>
      </w:r>
      <w:r>
        <w:rPr>
          <w:rFonts w:ascii="Times New Roman" w:hAnsi="Times New Roman" w:eastAsia="Times New Roman"/>
          <w:sz w:val="24"/>
          <w:szCs w:val="24"/>
          <w:lang w:val="zh-CN" w:eastAsia="zh-CN"/>
        </w:rPr>
        <w:t>. Cambridge University Press.</w:t>
      </w:r>
    </w:p>
    <w:p w14:paraId="5ECF2B33">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Richards, J. C. (1984). Language Curriculum Development. </w:t>
      </w:r>
      <w:r>
        <w:rPr>
          <w:rFonts w:ascii="Times New Roman" w:hAnsi="Times New Roman"/>
          <w:i/>
          <w:iCs/>
          <w:sz w:val="24"/>
          <w:szCs w:val="24"/>
        </w:rPr>
        <w:t>RELC Journal</w:t>
      </w:r>
      <w:r>
        <w:rPr>
          <w:rFonts w:ascii="Times New Roman" w:hAnsi="Times New Roman"/>
          <w:sz w:val="24"/>
          <w:szCs w:val="24"/>
        </w:rPr>
        <w:t xml:space="preserve">, </w:t>
      </w:r>
      <w:r>
        <w:rPr>
          <w:rFonts w:ascii="Times New Roman" w:hAnsi="Times New Roman"/>
          <w:i/>
          <w:iCs/>
          <w:sz w:val="24"/>
          <w:szCs w:val="24"/>
        </w:rPr>
        <w:t>15</w:t>
      </w:r>
      <w:r>
        <w:rPr>
          <w:rFonts w:ascii="Times New Roman" w:hAnsi="Times New Roman"/>
          <w:sz w:val="24"/>
          <w:szCs w:val="24"/>
        </w:rPr>
        <w:t>(1), 1–29. https://doi.org/10.1177/003368828401500101</w:t>
      </w:r>
    </w:p>
    <w:p w14:paraId="4CB91D37">
      <w:pPr>
        <w:ind w:left="1440" w:hanging="1440"/>
        <w:jc w:val="both"/>
        <w:rPr>
          <w:rFonts w:ascii="Times New Roman" w:hAnsi="Times New Roman"/>
          <w:sz w:val="28"/>
          <w:szCs w:val="28"/>
        </w:rPr>
      </w:pPr>
      <w:r>
        <w:rPr>
          <w:rFonts w:ascii="Times New Roman" w:hAnsi="Times New Roman"/>
          <w:sz w:val="24"/>
          <w:szCs w:val="24"/>
        </w:rPr>
        <w:t xml:space="preserve">Ritz, C., &amp; Sherf, N. (2023). Curriculum, instruction, and assessment: A snapshot of world language education in Massachusetts. </w:t>
      </w:r>
      <w:r>
        <w:rPr>
          <w:rStyle w:val="23"/>
          <w:rFonts w:ascii="Times New Roman" w:hAnsi="Times New Roman"/>
          <w:sz w:val="24"/>
          <w:szCs w:val="24"/>
        </w:rPr>
        <w:t>Foreign Language Annals, 56</w:t>
      </w:r>
      <w:r>
        <w:rPr>
          <w:rFonts w:ascii="Times New Roman" w:hAnsi="Times New Roman"/>
          <w:sz w:val="24"/>
          <w:szCs w:val="24"/>
        </w:rPr>
        <w:t xml:space="preserve">(1), 46–66. </w:t>
      </w:r>
      <w:r>
        <w:fldChar w:fldCharType="begin"/>
      </w:r>
      <w:r>
        <w:instrText xml:space="preserve"> HYPERLINK "https://doi.org/10.1111/flan.12675" \t "_new" </w:instrText>
      </w:r>
      <w:r>
        <w:fldChar w:fldCharType="separate"/>
      </w:r>
      <w:r>
        <w:rPr>
          <w:rStyle w:val="29"/>
          <w:rFonts w:ascii="Times New Roman" w:hAnsi="Times New Roman"/>
          <w:sz w:val="24"/>
          <w:szCs w:val="24"/>
        </w:rPr>
        <w:t>https://doi.org/10.1111/flan.12675</w:t>
      </w:r>
      <w:r>
        <w:rPr>
          <w:rStyle w:val="29"/>
          <w:rFonts w:ascii="Times New Roman" w:hAnsi="Times New Roman"/>
          <w:sz w:val="24"/>
          <w:szCs w:val="24"/>
        </w:rPr>
        <w:fldChar w:fldCharType="end"/>
      </w:r>
    </w:p>
    <w:p w14:paraId="74A2B113">
      <w:pPr>
        <w:ind w:left="1440" w:hanging="1440"/>
        <w:jc w:val="both"/>
        <w:rPr>
          <w:rStyle w:val="29"/>
          <w:rFonts w:ascii="Times New Roman" w:hAnsi="Times New Roman"/>
          <w:sz w:val="24"/>
          <w:szCs w:val="24"/>
          <w:shd w:val="clear" w:color="auto" w:fill="FFFFFF"/>
        </w:rPr>
      </w:pPr>
      <w:r>
        <w:rPr>
          <w:rFonts w:ascii="Times New Roman" w:hAnsi="Times New Roman"/>
          <w:sz w:val="24"/>
          <w:szCs w:val="24"/>
          <w:shd w:val="clear" w:color="auto" w:fill="FFFFFF"/>
        </w:rPr>
        <w:t>Sikorski, T. R., &amp; Straus, A. (2025). Comparing curriculum coherence and student coherence seeking: a secondary analysis of the TIMSS video study. </w:t>
      </w:r>
      <w:r>
        <w:rPr>
          <w:rFonts w:ascii="Times New Roman" w:hAnsi="Times New Roman"/>
          <w:i/>
          <w:iCs/>
          <w:sz w:val="24"/>
          <w:szCs w:val="24"/>
          <w:shd w:val="clear" w:color="auto" w:fill="FFFFFF"/>
        </w:rPr>
        <w:t>Journal of Curriculum Studies</w:t>
      </w:r>
      <w:r>
        <w:rPr>
          <w:rFonts w:ascii="Times New Roman" w:hAnsi="Times New Roman"/>
          <w:sz w:val="24"/>
          <w:szCs w:val="24"/>
          <w:shd w:val="clear" w:color="auto" w:fill="FFFFFF"/>
        </w:rPr>
        <w:t xml:space="preserve">, 1–24. </w:t>
      </w:r>
      <w:r>
        <w:fldChar w:fldCharType="begin"/>
      </w:r>
      <w:r>
        <w:instrText xml:space="preserve"> HYPERLINK "https://doi.org/10.1080/00220272.2025.2460482" </w:instrText>
      </w:r>
      <w:r>
        <w:fldChar w:fldCharType="separate"/>
      </w:r>
      <w:r>
        <w:rPr>
          <w:rStyle w:val="29"/>
          <w:rFonts w:ascii="Times New Roman" w:hAnsi="Times New Roman"/>
          <w:sz w:val="24"/>
          <w:szCs w:val="24"/>
          <w:shd w:val="clear" w:color="auto" w:fill="FFFFFF"/>
        </w:rPr>
        <w:t>https://doi.org/10.1080/00220272.2025.2460482</w:t>
      </w:r>
      <w:r>
        <w:rPr>
          <w:rStyle w:val="29"/>
          <w:rFonts w:ascii="Times New Roman" w:hAnsi="Times New Roman"/>
          <w:sz w:val="24"/>
          <w:szCs w:val="24"/>
          <w:shd w:val="clear" w:color="auto" w:fill="FFFFFF"/>
        </w:rPr>
        <w:fldChar w:fldCharType="end"/>
      </w:r>
    </w:p>
    <w:p w14:paraId="20702DE6">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Shin, N., Stevens, S. Y., Short, H., &amp; Krajcik, J. (2009). Learning progressions to support coherence curricula in instructional material, instruction, and assessment design. </w:t>
      </w:r>
      <w:r>
        <w:rPr>
          <w:rFonts w:ascii="Times New Roman" w:hAnsi="Times New Roman"/>
          <w:i/>
          <w:iCs/>
          <w:sz w:val="24"/>
          <w:szCs w:val="24"/>
        </w:rPr>
        <w:t>Learning Progressions in Science (LeaPS) Conference</w:t>
      </w:r>
      <w:r>
        <w:rPr>
          <w:rFonts w:ascii="Times New Roman" w:hAnsi="Times New Roman"/>
          <w:sz w:val="24"/>
          <w:szCs w:val="24"/>
        </w:rPr>
        <w:t xml:space="preserve">, </w:t>
      </w:r>
      <w:r>
        <w:rPr>
          <w:rFonts w:ascii="Times New Roman" w:hAnsi="Times New Roman"/>
          <w:i/>
          <w:iCs/>
          <w:sz w:val="24"/>
          <w:szCs w:val="24"/>
        </w:rPr>
        <w:t>June</w:t>
      </w:r>
      <w:r>
        <w:rPr>
          <w:rFonts w:ascii="Times New Roman" w:hAnsi="Times New Roman"/>
          <w:sz w:val="24"/>
          <w:szCs w:val="24"/>
        </w:rPr>
        <w:t>.</w:t>
      </w:r>
    </w:p>
    <w:p w14:paraId="0A9D9E1C">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t xml:space="preserve">Storey, C. W. (2007). Insights into Language Curriculum Development. </w:t>
      </w:r>
      <w:r>
        <w:rPr>
          <w:rFonts w:ascii="Times New Roman" w:hAnsi="Times New Roman"/>
          <w:i/>
          <w:iCs/>
          <w:sz w:val="24"/>
          <w:szCs w:val="24"/>
        </w:rPr>
        <w:t>Electronic Journal of Foreign Language Teaching</w:t>
      </w:r>
      <w:r>
        <w:rPr>
          <w:rFonts w:ascii="Times New Roman" w:hAnsi="Times New Roman"/>
          <w:sz w:val="24"/>
          <w:szCs w:val="24"/>
        </w:rPr>
        <w:t xml:space="preserve">, </w:t>
      </w:r>
      <w:r>
        <w:rPr>
          <w:rFonts w:ascii="Times New Roman" w:hAnsi="Times New Roman"/>
          <w:i/>
          <w:iCs/>
          <w:sz w:val="24"/>
          <w:szCs w:val="24"/>
        </w:rPr>
        <w:t>4</w:t>
      </w:r>
      <w:r>
        <w:rPr>
          <w:rFonts w:ascii="Times New Roman" w:hAnsi="Times New Roman"/>
          <w:sz w:val="24"/>
          <w:szCs w:val="24"/>
        </w:rPr>
        <w:t>(1), 86–107.</w:t>
      </w:r>
    </w:p>
    <w:p w14:paraId="5BC74B92">
      <w:pPr>
        <w:pStyle w:val="72"/>
        <w:spacing w:before="0" w:after="0"/>
        <w:ind w:left="1440" w:hanging="1440"/>
        <w:contextualSpacing/>
        <w:jc w:val="both"/>
        <w:rPr>
          <w:b w:val="0"/>
          <w:bCs/>
          <w:sz w:val="24"/>
          <w:szCs w:val="24"/>
          <w:shd w:val="clear" w:color="auto" w:fill="FFFFFF"/>
        </w:rPr>
      </w:pPr>
      <w:r>
        <w:rPr>
          <w:b w:val="0"/>
          <w:bCs/>
          <w:sz w:val="24"/>
          <w:szCs w:val="24"/>
          <w:shd w:val="clear" w:color="auto" w:fill="FFFFFF"/>
        </w:rPr>
        <w:t>Soini, T., Pyhältö, K., Haverinen, K. </w:t>
      </w:r>
      <w:r>
        <w:rPr>
          <w:b w:val="0"/>
          <w:bCs/>
          <w:i/>
          <w:iCs/>
          <w:sz w:val="24"/>
          <w:szCs w:val="24"/>
          <w:shd w:val="clear" w:color="auto" w:fill="FFFFFF"/>
        </w:rPr>
        <w:t>et al.</w:t>
      </w:r>
      <w:r>
        <w:rPr>
          <w:b w:val="0"/>
          <w:bCs/>
          <w:sz w:val="24"/>
          <w:szCs w:val="24"/>
          <w:shd w:val="clear" w:color="auto" w:fill="FFFFFF"/>
        </w:rPr>
        <w:t> Building coherence and impact: differences in Finnish school level curriculum making. </w:t>
      </w:r>
      <w:r>
        <w:rPr>
          <w:b w:val="0"/>
          <w:bCs/>
          <w:i/>
          <w:iCs/>
          <w:sz w:val="24"/>
          <w:szCs w:val="24"/>
          <w:shd w:val="clear" w:color="auto" w:fill="FFFFFF"/>
        </w:rPr>
        <w:t>Curric Perspect</w:t>
      </w:r>
      <w:r>
        <w:rPr>
          <w:b w:val="0"/>
          <w:bCs/>
          <w:sz w:val="24"/>
          <w:szCs w:val="24"/>
          <w:shd w:val="clear" w:color="auto" w:fill="FFFFFF"/>
        </w:rPr>
        <w:t xml:space="preserve"> 42, 121–133 (2022). </w:t>
      </w:r>
      <w:r>
        <w:fldChar w:fldCharType="begin"/>
      </w:r>
      <w:r>
        <w:instrText xml:space="preserve"> HYPERLINK "https://doi.org/10.1007/s41297-022-00165-9" </w:instrText>
      </w:r>
      <w:r>
        <w:fldChar w:fldCharType="separate"/>
      </w:r>
      <w:r>
        <w:rPr>
          <w:rStyle w:val="29"/>
          <w:b w:val="0"/>
          <w:bCs/>
          <w:sz w:val="24"/>
          <w:szCs w:val="24"/>
          <w:shd w:val="clear" w:color="auto" w:fill="FFFFFF"/>
        </w:rPr>
        <w:t>https://doi.org/10.1007/s41297-022-00165-9</w:t>
      </w:r>
      <w:r>
        <w:rPr>
          <w:rStyle w:val="29"/>
          <w:b w:val="0"/>
          <w:bCs/>
          <w:sz w:val="24"/>
          <w:szCs w:val="24"/>
          <w:shd w:val="clear" w:color="auto" w:fill="FFFFFF"/>
        </w:rPr>
        <w:fldChar w:fldCharType="end"/>
      </w:r>
      <w:r>
        <w:rPr>
          <w:b w:val="0"/>
          <w:bCs/>
          <w:sz w:val="24"/>
          <w:szCs w:val="24"/>
          <w:shd w:val="clear" w:color="auto" w:fill="FFFFFF"/>
        </w:rPr>
        <w:t xml:space="preserve"> </w:t>
      </w:r>
    </w:p>
    <w:p w14:paraId="07AB111C">
      <w:pPr>
        <w:ind w:left="1440" w:hanging="1440"/>
        <w:jc w:val="both"/>
        <w:rPr>
          <w:rFonts w:ascii="Times New Roman" w:hAnsi="Times New Roman"/>
          <w:color w:val="333333"/>
          <w:sz w:val="24"/>
          <w:szCs w:val="24"/>
          <w:shd w:val="clear" w:color="auto" w:fill="FFFFFF"/>
          <w:lang w:val="en-US"/>
        </w:rPr>
      </w:pPr>
      <w:r>
        <w:rPr>
          <w:rFonts w:ascii="Times New Roman" w:hAnsi="Times New Roman"/>
          <w:sz w:val="24"/>
          <w:szCs w:val="24"/>
          <w:shd w:val="clear" w:color="auto" w:fill="FFFFFF"/>
        </w:rPr>
        <w:t>Sullanmaa, J., Pyhältö, K., Pietarinen, J., &amp; Soini, T. (2019). Curriculum coherence as perceived by district-level stakeholders in large-scale national curriculum reform in Finland. </w:t>
      </w:r>
      <w:r>
        <w:rPr>
          <w:rFonts w:ascii="Times New Roman" w:hAnsi="Times New Roman"/>
          <w:i/>
          <w:iCs/>
          <w:sz w:val="24"/>
          <w:szCs w:val="24"/>
          <w:shd w:val="clear" w:color="auto" w:fill="FFFFFF"/>
        </w:rPr>
        <w:t>The Curriculum Journal</w:t>
      </w:r>
      <w:r>
        <w:rPr>
          <w:rFonts w:ascii="Times New Roman" w:hAnsi="Times New Roman"/>
          <w:sz w:val="24"/>
          <w:szCs w:val="24"/>
          <w:shd w:val="clear" w:color="auto" w:fill="FFFFFF"/>
        </w:rPr>
        <w:t>, </w:t>
      </w:r>
      <w:r>
        <w:rPr>
          <w:rFonts w:ascii="Times New Roman" w:hAnsi="Times New Roman"/>
          <w:i/>
          <w:iCs/>
          <w:sz w:val="24"/>
          <w:szCs w:val="24"/>
          <w:shd w:val="clear" w:color="auto" w:fill="FFFFFF"/>
        </w:rPr>
        <w:t>30</w:t>
      </w:r>
      <w:r>
        <w:rPr>
          <w:rFonts w:ascii="Times New Roman" w:hAnsi="Times New Roman"/>
          <w:sz w:val="24"/>
          <w:szCs w:val="24"/>
          <w:shd w:val="clear" w:color="auto" w:fill="FFFFFF"/>
        </w:rPr>
        <w:t xml:space="preserve">(3), 244–263. </w:t>
      </w:r>
      <w:r>
        <w:fldChar w:fldCharType="begin"/>
      </w:r>
      <w:r>
        <w:instrText xml:space="preserve"> HYPERLINK "https://doi.org/10.1080/09585176.2019.1607512" </w:instrText>
      </w:r>
      <w:r>
        <w:fldChar w:fldCharType="separate"/>
      </w:r>
      <w:r>
        <w:rPr>
          <w:rStyle w:val="29"/>
          <w:rFonts w:ascii="Times New Roman" w:hAnsi="Times New Roman"/>
          <w:sz w:val="24"/>
          <w:szCs w:val="24"/>
          <w:shd w:val="clear" w:color="auto" w:fill="FFFFFF"/>
        </w:rPr>
        <w:t>https://doi.org/10.1080/09585176.2019.1607512</w:t>
      </w:r>
      <w:r>
        <w:rPr>
          <w:rStyle w:val="29"/>
          <w:rFonts w:ascii="Times New Roman" w:hAnsi="Times New Roman"/>
          <w:sz w:val="24"/>
          <w:szCs w:val="24"/>
          <w:shd w:val="clear" w:color="auto" w:fill="FFFFFF"/>
        </w:rPr>
        <w:fldChar w:fldCharType="end"/>
      </w:r>
      <w:r>
        <w:rPr>
          <w:rFonts w:ascii="Times New Roman" w:hAnsi="Times New Roman"/>
          <w:color w:val="333333"/>
          <w:sz w:val="24"/>
          <w:szCs w:val="24"/>
          <w:shd w:val="clear" w:color="auto" w:fill="FFFFFF"/>
          <w:lang w:val="en-US"/>
        </w:rPr>
        <w:t xml:space="preserve"> </w:t>
      </w:r>
    </w:p>
    <w:p w14:paraId="48BC1652">
      <w:pPr>
        <w:ind w:left="1440" w:hanging="1440"/>
        <w:jc w:val="both"/>
        <w:rPr>
          <w:rFonts w:ascii="Times New Roman" w:hAnsi="Times New Roman"/>
          <w:sz w:val="24"/>
          <w:szCs w:val="24"/>
          <w:lang w:val="en-US"/>
        </w:rPr>
      </w:pPr>
      <w:r>
        <w:rPr>
          <w:rFonts w:ascii="Times New Roman" w:hAnsi="Times New Roman"/>
          <w:sz w:val="24"/>
          <w:szCs w:val="24"/>
        </w:rPr>
        <w:t xml:space="preserve">Thier, M., Fukuda, E., Knight, S., Sykes, J., &amp; Chadwick, K. (2017). Alignment and coherence of language acquisition development in the International Baccalaureate Middle Years Programme. </w:t>
      </w:r>
      <w:r>
        <w:rPr>
          <w:rStyle w:val="23"/>
          <w:rFonts w:ascii="Times New Roman" w:hAnsi="Times New Roman"/>
          <w:sz w:val="24"/>
          <w:szCs w:val="24"/>
        </w:rPr>
        <w:t>International Baccalaureate Organization</w:t>
      </w:r>
      <w:r>
        <w:rPr>
          <w:rFonts w:ascii="Times New Roman" w:hAnsi="Times New Roman"/>
          <w:sz w:val="24"/>
          <w:szCs w:val="24"/>
        </w:rPr>
        <w:t xml:space="preserve">. Retrieved from </w:t>
      </w:r>
      <w:r>
        <w:fldChar w:fldCharType="begin"/>
      </w:r>
      <w:r>
        <w:instrText xml:space="preserve"> HYPERLINK "https://ibo.org/research/curriculum-research/myp-studies/alignment-and-coherence-of-language-acquisition-development-in-the-international-baccalaureate-middle-years-programme-2017/" \t "_new" </w:instrText>
      </w:r>
      <w:r>
        <w:fldChar w:fldCharType="separate"/>
      </w:r>
      <w:r>
        <w:rPr>
          <w:rStyle w:val="29"/>
          <w:rFonts w:ascii="Times New Roman" w:hAnsi="Times New Roman"/>
          <w:sz w:val="24"/>
          <w:szCs w:val="24"/>
        </w:rPr>
        <w:t>https://ibo.org/research/curriculum-research/myp-studies/alignment-and-coherence-of-language-acquisition-development-in-the-international-baccalaureate-middle-years-programme-2017/</w:t>
      </w:r>
      <w:r>
        <w:rPr>
          <w:rStyle w:val="29"/>
          <w:rFonts w:ascii="Times New Roman" w:hAnsi="Times New Roman"/>
          <w:sz w:val="24"/>
          <w:szCs w:val="24"/>
        </w:rPr>
        <w:fldChar w:fldCharType="end"/>
      </w:r>
    </w:p>
    <w:p w14:paraId="72B115A3">
      <w:pPr>
        <w:ind w:left="1440" w:hanging="1440"/>
        <w:jc w:val="both"/>
        <w:rPr>
          <w:rFonts w:ascii="Times New Roman" w:hAnsi="Times New Roman"/>
          <w:sz w:val="24"/>
          <w:szCs w:val="24"/>
        </w:rPr>
      </w:pPr>
      <w:r>
        <w:rPr>
          <w:rFonts w:ascii="Times New Roman" w:hAnsi="Times New Roman"/>
          <w:sz w:val="24"/>
          <w:szCs w:val="24"/>
        </w:rPr>
        <w:t xml:space="preserve">Widiati, U., &amp; Cahyono, B. Y. (2006). The teaching of EFL speaking in the Indonesian context. </w:t>
      </w:r>
      <w:r>
        <w:rPr>
          <w:rStyle w:val="23"/>
          <w:rFonts w:ascii="Times New Roman" w:hAnsi="Times New Roman"/>
          <w:sz w:val="24"/>
          <w:szCs w:val="24"/>
        </w:rPr>
        <w:t>TEFLIN Journal, 17</w:t>
      </w:r>
      <w:r>
        <w:rPr>
          <w:rFonts w:ascii="Times New Roman" w:hAnsi="Times New Roman"/>
          <w:sz w:val="24"/>
          <w:szCs w:val="24"/>
        </w:rPr>
        <w:t xml:space="preserve">(1), 35–45. </w:t>
      </w:r>
    </w:p>
    <w:p w14:paraId="0E9803DB">
      <w:pPr>
        <w:widowControl w:val="0"/>
        <w:autoSpaceDE w:val="0"/>
        <w:autoSpaceDN w:val="0"/>
        <w:adjustRightInd w:val="0"/>
        <w:ind w:left="1440" w:hanging="1440"/>
        <w:jc w:val="both"/>
        <w:rPr>
          <w:rFonts w:ascii="Times New Roman" w:hAnsi="Times New Roman"/>
          <w:sz w:val="24"/>
          <w:szCs w:val="24"/>
        </w:rPr>
      </w:pPr>
      <w:r>
        <w:rPr>
          <w:rFonts w:ascii="Times New Roman" w:hAnsi="Times New Roman"/>
          <w:sz w:val="24"/>
          <w:szCs w:val="24"/>
        </w:rPr>
        <w:fldChar w:fldCharType="begin" w:fldLock="1"/>
      </w:r>
      <w:r>
        <w:rPr>
          <w:rFonts w:ascii="Times New Roman" w:hAnsi="Times New Roman"/>
          <w:sz w:val="24"/>
          <w:szCs w:val="24"/>
        </w:rPr>
        <w:instrText xml:space="preserve">ADDIN Mendeley Bibliography CSL_BIBLIOGRAPHY </w:instrText>
      </w:r>
      <w:r>
        <w:rPr>
          <w:rFonts w:ascii="Times New Roman" w:hAnsi="Times New Roman"/>
          <w:sz w:val="24"/>
          <w:szCs w:val="24"/>
        </w:rPr>
        <w:fldChar w:fldCharType="separate"/>
      </w:r>
    </w:p>
    <w:p w14:paraId="78D8A2ED">
      <w:pPr>
        <w:widowControl w:val="0"/>
        <w:autoSpaceDE w:val="0"/>
        <w:autoSpaceDN w:val="0"/>
        <w:adjustRightInd w:val="0"/>
        <w:ind w:left="1440" w:hanging="1440"/>
        <w:jc w:val="both"/>
        <w:rPr>
          <w:rFonts w:ascii="Times New Roman" w:hAnsi="Times New Roman"/>
          <w:sz w:val="24"/>
          <w:szCs w:val="24"/>
          <w:lang w:val="sv-SE"/>
        </w:rPr>
      </w:pPr>
      <w:r>
        <w:rPr>
          <w:rFonts w:ascii="Times New Roman" w:hAnsi="Times New Roman"/>
          <w:sz w:val="24"/>
          <w:szCs w:val="24"/>
        </w:rPr>
        <w:t xml:space="preserve">Warni, W., Afria, R., Izar, J., &amp; Harahap, M. S. (2023). The Stages and Development of First Language Acquisition on Children 1,6 Years Old. </w:t>
      </w:r>
      <w:r>
        <w:rPr>
          <w:rFonts w:ascii="Times New Roman" w:hAnsi="Times New Roman"/>
          <w:i/>
          <w:iCs/>
          <w:sz w:val="24"/>
          <w:szCs w:val="24"/>
        </w:rPr>
        <w:t>Jurnal Obsesi : Jurnal Pendidikan Anak Usia Dini</w:t>
      </w:r>
      <w:r>
        <w:rPr>
          <w:rFonts w:ascii="Times New Roman" w:hAnsi="Times New Roman"/>
          <w:sz w:val="24"/>
          <w:szCs w:val="24"/>
        </w:rPr>
        <w:t xml:space="preserve">, </w:t>
      </w:r>
      <w:r>
        <w:rPr>
          <w:rFonts w:ascii="Times New Roman" w:hAnsi="Times New Roman"/>
          <w:i/>
          <w:iCs/>
          <w:sz w:val="24"/>
          <w:szCs w:val="24"/>
        </w:rPr>
        <w:t>7</w:t>
      </w:r>
      <w:r>
        <w:rPr>
          <w:rFonts w:ascii="Times New Roman" w:hAnsi="Times New Roman"/>
          <w:sz w:val="24"/>
          <w:szCs w:val="24"/>
        </w:rPr>
        <w:t>(2), 2080–2093. https://doi.org/10.31004/obsesi.v7i2.3310</w:t>
      </w:r>
    </w:p>
    <w:p w14:paraId="29EF4B0C">
      <w:pPr>
        <w:widowControl w:val="0"/>
        <w:autoSpaceDE w:val="0"/>
        <w:autoSpaceDN w:val="0"/>
        <w:adjustRightInd w:val="0"/>
        <w:ind w:left="1440" w:hanging="1440"/>
        <w:jc w:val="both"/>
        <w:rPr>
          <w:rFonts w:ascii="Times New Roman" w:hAnsi="Times New Roman"/>
          <w:sz w:val="24"/>
        </w:rPr>
      </w:pPr>
      <w:r>
        <w:rPr>
          <w:rFonts w:ascii="Times New Roman" w:hAnsi="Times New Roman"/>
          <w:sz w:val="24"/>
          <w:szCs w:val="24"/>
        </w:rPr>
        <w:t xml:space="preserve">Xhani, D., Kulluri, E., &amp; Malësia, M. (2024). Technology Use and Its Effects on the Development of Communication Skills Among Children in Albania. </w:t>
      </w:r>
      <w:r>
        <w:rPr>
          <w:rFonts w:ascii="Times New Roman" w:hAnsi="Times New Roman"/>
          <w:i/>
          <w:iCs/>
          <w:sz w:val="24"/>
          <w:szCs w:val="24"/>
        </w:rPr>
        <w:t>Journal of Social Studies Education Research</w:t>
      </w:r>
      <w:r>
        <w:rPr>
          <w:rFonts w:ascii="Times New Roman" w:hAnsi="Times New Roman"/>
          <w:sz w:val="24"/>
          <w:szCs w:val="24"/>
        </w:rPr>
        <w:t xml:space="preserve">, </w:t>
      </w:r>
      <w:r>
        <w:rPr>
          <w:rFonts w:ascii="Times New Roman" w:hAnsi="Times New Roman"/>
          <w:i/>
          <w:iCs/>
          <w:sz w:val="24"/>
          <w:szCs w:val="24"/>
        </w:rPr>
        <w:t>15</w:t>
      </w:r>
      <w:r>
        <w:rPr>
          <w:rFonts w:ascii="Times New Roman" w:hAnsi="Times New Roman"/>
          <w:sz w:val="24"/>
          <w:szCs w:val="24"/>
        </w:rPr>
        <w:t>(5), 148–168.</w:t>
      </w:r>
    </w:p>
    <w:p w14:paraId="5C1EC308">
      <w:pPr>
        <w:ind w:left="1440" w:hanging="1440"/>
        <w:jc w:val="both"/>
        <w:rPr>
          <w:rFonts w:ascii="Times New Roman" w:hAnsi="Times New Roman"/>
          <w:sz w:val="24"/>
          <w:szCs w:val="24"/>
        </w:rPr>
      </w:pPr>
      <w:r>
        <w:rPr>
          <w:rFonts w:ascii="Times New Roman" w:hAnsi="Times New Roman"/>
          <w:sz w:val="24"/>
          <w:szCs w:val="24"/>
        </w:rPr>
        <w:fldChar w:fldCharType="end"/>
      </w:r>
      <w:r>
        <w:t xml:space="preserve"> </w:t>
      </w:r>
      <w:r>
        <w:rPr>
          <w:rFonts w:ascii="Times New Roman" w:hAnsi="Times New Roman"/>
          <w:sz w:val="24"/>
          <w:szCs w:val="24"/>
        </w:rPr>
        <w:t>Yusri, M., &amp; Andriyanti, E. (2025). Investigating intercultural competence in EFL teaching: Teacher perception and action used to promote intercultural competence. Journal of Foreign Language Teaching and Learning, 10(1), 104–125. https://doi.org/10.18196/ftl.v10i1.25325</w:t>
      </w:r>
    </w:p>
    <w:p w14:paraId="232CE22D">
      <w:pPr>
        <w:ind w:left="1440" w:hanging="1440"/>
        <w:jc w:val="both"/>
        <w:rPr>
          <w:rFonts w:ascii="Times New Roman" w:hAnsi="Times New Roman"/>
          <w:sz w:val="24"/>
          <w:szCs w:val="24"/>
        </w:rPr>
      </w:pPr>
      <w:r>
        <w:rPr>
          <w:rFonts w:ascii="Times New Roman" w:hAnsi="Times New Roman"/>
          <w:sz w:val="24"/>
          <w:szCs w:val="24"/>
        </w:rPr>
        <w:t>Djafri, F., &amp; Hasanah, U. (2025). Developing intercultural communicative competence in vocational foreign language courses: Case study of Japanese and Korean learners. Chi’e: Jurnal Pendidikan Bahasa Jepang, 13(1), 63–71. https://journal.unnes.ac.id/journals/chie/index</w:t>
      </w:r>
    </w:p>
    <w:p w14:paraId="0BED8AC7">
      <w:pPr>
        <w:ind w:left="1440" w:hanging="1440"/>
        <w:jc w:val="both"/>
        <w:rPr>
          <w:rFonts w:ascii="Times New Roman" w:hAnsi="Times New Roman"/>
          <w:sz w:val="24"/>
          <w:szCs w:val="24"/>
        </w:rPr>
      </w:pPr>
      <w:r>
        <w:rPr>
          <w:rFonts w:ascii="Times New Roman" w:hAnsi="Times New Roman"/>
          <w:sz w:val="24"/>
          <w:szCs w:val="24"/>
        </w:rPr>
        <w:t>Rohani, S., Hariyanto, ugeng, Maulidiyah, F., Dewi, A. S., &amp; Roshid, M. M. (2025). Shifts of intercultural communicative competence experienced by international students. Teaching English As a Foreign Language Journal, 4(1), 40–56. https://doi.org/10.12928/tefl.v4i1.1405</w:t>
      </w:r>
    </w:p>
    <w:p w14:paraId="32F1B123">
      <w:pPr>
        <w:ind w:left="1440" w:hanging="1440"/>
        <w:jc w:val="both"/>
        <w:rPr>
          <w:rFonts w:ascii="Times New Roman" w:hAnsi="Times New Roman"/>
          <w:sz w:val="24"/>
          <w:szCs w:val="24"/>
        </w:rPr>
      </w:pPr>
      <w:r>
        <w:rPr>
          <w:rFonts w:ascii="Times New Roman" w:hAnsi="Times New Roman"/>
          <w:sz w:val="24"/>
          <w:szCs w:val="24"/>
        </w:rPr>
        <w:t>Nuraini, P., Manurung, S. A., Silalahi, R. D. P., Safitri, K., Hutasuhut, A. S., Rangkuti, N. A., &amp; Lubis, F. (2025). Evaluasi Kurikulum Merdeka dan tantangan pembelajaran Bahasa Indonesia di SD. Jurnal Ilmiah Kajian Multidisipliner, 9(3), 143–149.</w:t>
      </w:r>
    </w:p>
    <w:p w14:paraId="7D255212">
      <w:pPr>
        <w:ind w:left="1440" w:hanging="1440"/>
        <w:jc w:val="both"/>
        <w:rPr>
          <w:rFonts w:ascii="Times New Roman" w:hAnsi="Times New Roman"/>
          <w:sz w:val="24"/>
          <w:szCs w:val="24"/>
        </w:rPr>
      </w:pPr>
      <w:r>
        <w:rPr>
          <w:rFonts w:ascii="Times New Roman" w:hAnsi="Times New Roman"/>
          <w:sz w:val="24"/>
          <w:szCs w:val="24"/>
        </w:rPr>
        <w:t>Sundberg, D. (2022). Curriculum coherence: Exploring the intended and enacted curriculum in different schools. Dalam I. Eloff (Ed.), Equity, teaching practice and the curriculum (Edisi ke-1, hlm. 14). Routledge. https://doi.org/10.4324/9781003218067</w:t>
      </w:r>
    </w:p>
    <w:p w14:paraId="1BCA6BE3">
      <w:pPr>
        <w:ind w:left="1440" w:hanging="720"/>
        <w:jc w:val="both"/>
        <w:rPr>
          <w:rFonts w:ascii="Times New Roman" w:hAnsi="Times New Roman"/>
          <w:sz w:val="24"/>
          <w:szCs w:val="24"/>
        </w:rPr>
      </w:pPr>
      <w:r>
        <w:rPr>
          <w:rFonts w:ascii="Times New Roman" w:hAnsi="Times New Roman"/>
          <w:sz w:val="24"/>
          <w:szCs w:val="24"/>
        </w:rPr>
        <w:t xml:space="preserve">Amrina, Amrina., Amelia, Amelia., &amp; Nicholas, T. (2024). A Review of Integrated </w:t>
      </w:r>
    </w:p>
    <w:p w14:paraId="3F9993F2">
      <w:pPr>
        <w:ind w:left="1440" w:hanging="720"/>
        <w:jc w:val="both"/>
        <w:rPr>
          <w:rFonts w:ascii="Times New Roman" w:hAnsi="Times New Roman"/>
          <w:sz w:val="24"/>
          <w:szCs w:val="24"/>
        </w:rPr>
      </w:pPr>
      <w:r>
        <w:rPr>
          <w:rFonts w:ascii="Times New Roman" w:hAnsi="Times New Roman"/>
          <w:sz w:val="24"/>
          <w:szCs w:val="24"/>
        </w:rPr>
        <w:t xml:space="preserve">Curriculum Models in Language Teaching. Lingeduca: Journal of Language and </w:t>
      </w:r>
    </w:p>
    <w:p w14:paraId="01CD7266">
      <w:pPr>
        <w:ind w:left="1440" w:hanging="720"/>
        <w:jc w:val="both"/>
        <w:rPr>
          <w:rFonts w:ascii="Times New Roman" w:hAnsi="Times New Roman"/>
          <w:sz w:val="24"/>
          <w:szCs w:val="24"/>
        </w:rPr>
      </w:pPr>
      <w:r>
        <w:rPr>
          <w:rFonts w:ascii="Times New Roman" w:hAnsi="Times New Roman"/>
          <w:sz w:val="24"/>
          <w:szCs w:val="24"/>
        </w:rPr>
        <w:t>Education Studies, 3(2), 71-86. https://doi.org/10.70177/lingeduca.v3i2.1339</w:t>
      </w:r>
    </w:p>
    <w:p w14:paraId="41AA7178">
      <w:pPr>
        <w:ind w:left="1440" w:hanging="1440"/>
        <w:jc w:val="both"/>
        <w:rPr>
          <w:rFonts w:ascii="Times New Roman" w:hAnsi="Times New Roman"/>
          <w:sz w:val="24"/>
          <w:szCs w:val="24"/>
        </w:rPr>
      </w:pPr>
      <w:r>
        <w:rPr>
          <w:rFonts w:ascii="Times New Roman" w:hAnsi="Times New Roman"/>
          <w:sz w:val="24"/>
          <w:szCs w:val="24"/>
        </w:rPr>
        <w:t>Au, W. (2007). High-Stakes Testing and Curricular Control: A Qualitative                Metasynthesis. Educational Researcher, 36(5), 258-267. https://doi.org/10.3102/0013189X07306523 (Original work published 2007)</w:t>
      </w:r>
    </w:p>
    <w:p w14:paraId="42CFEE33">
      <w:pPr>
        <w:ind w:left="1440" w:hanging="1440"/>
        <w:jc w:val="both"/>
        <w:rPr>
          <w:rFonts w:ascii="Times New Roman" w:hAnsi="Times New Roman"/>
          <w:sz w:val="24"/>
          <w:szCs w:val="24"/>
        </w:rPr>
      </w:pPr>
      <w:r>
        <w:rPr>
          <w:rFonts w:ascii="Times New Roman" w:hAnsi="Times New Roman"/>
          <w:sz w:val="24"/>
          <w:szCs w:val="24"/>
        </w:rPr>
        <w:t xml:space="preserve">Walqui, A. (2006). Scaffolding Instruction for English Language Learners: A Conceptual Framework. International Journal of Bilingual Education and Bilingualism, 9(2), 159–180. </w:t>
      </w:r>
      <w:r>
        <w:fldChar w:fldCharType="begin"/>
      </w:r>
      <w:r>
        <w:instrText xml:space="preserve"> HYPERLINK "https://doi.org/10.1080/13670050608668639" </w:instrText>
      </w:r>
      <w:r>
        <w:fldChar w:fldCharType="separate"/>
      </w:r>
      <w:r>
        <w:rPr>
          <w:rStyle w:val="29"/>
          <w:rFonts w:ascii="Times New Roman" w:hAnsi="Times New Roman"/>
          <w:sz w:val="24"/>
          <w:szCs w:val="24"/>
        </w:rPr>
        <w:t>https://doi.org/10.1080/13670050608668639</w:t>
      </w:r>
      <w:r>
        <w:rPr>
          <w:rStyle w:val="29"/>
          <w:rFonts w:ascii="Times New Roman" w:hAnsi="Times New Roman"/>
          <w:sz w:val="24"/>
          <w:szCs w:val="24"/>
        </w:rPr>
        <w:fldChar w:fldCharType="end"/>
      </w:r>
    </w:p>
    <w:p w14:paraId="3DF1F0B2">
      <w:pPr>
        <w:ind w:left="1440" w:hanging="1440"/>
        <w:jc w:val="both"/>
        <w:rPr>
          <w:rFonts w:ascii="Times New Roman" w:hAnsi="Times New Roman"/>
          <w:sz w:val="24"/>
          <w:szCs w:val="24"/>
        </w:rPr>
      </w:pPr>
      <w:r>
        <w:rPr>
          <w:rFonts w:ascii="Times New Roman" w:hAnsi="Times New Roman"/>
          <w:sz w:val="24"/>
          <w:szCs w:val="24"/>
        </w:rPr>
        <w:t xml:space="preserve">Ha­g­eaves, A., and M. Fullan. 2012. Professional Capital: Transforming Teaching in Every School. </w:t>
      </w:r>
    </w:p>
    <w:p w14:paraId="05ABB229">
      <w:pPr>
        <w:ind w:left="1440" w:hanging="1440"/>
        <w:jc w:val="both"/>
        <w:rPr>
          <w:rFonts w:ascii="Times New Roman" w:hAnsi="Times New Roman"/>
          <w:sz w:val="24"/>
          <w:szCs w:val="24"/>
        </w:rPr>
      </w:pPr>
      <w:r>
        <w:rPr>
          <w:rFonts w:ascii="Times New Roman" w:hAnsi="Times New Roman"/>
          <w:sz w:val="24"/>
          <w:szCs w:val="24"/>
        </w:rPr>
        <w:t>New Yo­k: Teache­s College P­ess.</w:t>
      </w:r>
    </w:p>
    <w:p w14:paraId="26DE8C0A">
      <w:pPr>
        <w:ind w:left="1440" w:hanging="1440"/>
        <w:jc w:val="both"/>
        <w:rPr>
          <w:rFonts w:ascii="Times New Roman" w:hAnsi="Times New Roman"/>
          <w:sz w:val="24"/>
          <w:szCs w:val="24"/>
        </w:rPr>
      </w:pPr>
      <w:r>
        <w:rPr>
          <w:rFonts w:ascii="Times New Roman" w:hAnsi="Times New Roman"/>
          <w:sz w:val="24"/>
          <w:szCs w:val="24"/>
        </w:rPr>
        <w:t>Darling-Hammond, L. (2017). Teacher education around the world: What can we learn from international practice? European Journal of Teacher Education, 40(3), 291–309. https://doi.org/10.1080/02619768.2017.1315399</w:t>
      </w:r>
    </w:p>
    <w:p w14:paraId="5CDED87A">
      <w:pPr>
        <w:rPr>
          <w:lang w:val="en-US" w:bidi="th-TH"/>
        </w:rPr>
      </w:pPr>
    </w:p>
    <w:p w14:paraId="066AA003">
      <w:pPr>
        <w:rPr>
          <w:lang w:val="en-US" w:bidi="th-TH"/>
        </w:rPr>
      </w:pPr>
    </w:p>
    <w:p w14:paraId="04033EC0">
      <w:pPr>
        <w:rPr>
          <w:lang w:val="en-US" w:bidi="th-TH"/>
        </w:rPr>
      </w:pPr>
    </w:p>
    <w:p w14:paraId="6C5D3D89">
      <w:pPr>
        <w:rPr>
          <w:lang w:val="en-US" w:bidi="th-TH"/>
        </w:rPr>
      </w:pPr>
    </w:p>
    <w:p w14:paraId="5D3DE27F">
      <w:pPr>
        <w:rPr>
          <w:lang w:val="en-US" w:bidi="th-TH"/>
        </w:rPr>
      </w:pPr>
    </w:p>
    <w:p w14:paraId="38AB28CE">
      <w:pPr>
        <w:rPr>
          <w:lang w:val="en-US" w:bidi="th-TH"/>
        </w:rPr>
      </w:pPr>
    </w:p>
    <w:p w14:paraId="2B7690AF">
      <w:pPr>
        <w:rPr>
          <w:rFonts w:ascii="Times New Roman" w:hAnsi="Times New Roman" w:eastAsiaTheme="minorEastAsia"/>
          <w:i/>
          <w:sz w:val="24"/>
          <w:szCs w:val="24"/>
          <w:lang w:eastAsia="id-ID"/>
        </w:rPr>
      </w:pPr>
    </w:p>
    <w:p w14:paraId="3702B807">
      <w:pPr>
        <w:tabs>
          <w:tab w:val="left" w:pos="1392"/>
        </w:tabs>
        <w:rPr>
          <w:rFonts w:ascii="Times New Roman" w:hAnsi="Times New Roman" w:eastAsiaTheme="minorEastAsia"/>
          <w:i/>
          <w:sz w:val="24"/>
          <w:szCs w:val="24"/>
          <w:lang w:val="en-US" w:eastAsia="id-ID"/>
        </w:rPr>
      </w:pPr>
      <w:r>
        <w:rPr>
          <w:rFonts w:ascii="Times New Roman" w:hAnsi="Times New Roman" w:eastAsiaTheme="minorEastAsia"/>
          <w:i/>
          <w:sz w:val="24"/>
          <w:szCs w:val="24"/>
          <w:lang w:eastAsia="id-ID"/>
        </w:rPr>
        <w:tab/>
      </w:r>
    </w:p>
    <w:p w14:paraId="7723F6D4">
      <w:pPr>
        <w:tabs>
          <w:tab w:val="left" w:pos="1392"/>
        </w:tabs>
        <w:rPr>
          <w:rFonts w:ascii="Times New Roman" w:hAnsi="Times New Roman"/>
          <w:sz w:val="24"/>
          <w:szCs w:val="24"/>
        </w:rPr>
      </w:pPr>
      <w:r>
        <w:rPr>
          <w:lang w:val="en-US" w:bidi="th-TH"/>
        </w:rPr>
        <w:tab/>
      </w:r>
    </w:p>
    <w:sectPr>
      <w:headerReference r:id="rId5" w:type="default"/>
      <w:headerReference r:id="rId6"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09-13T20:18:48Z" w:initials="">
    <w:p w14:paraId="133FDBB8">
      <w:pPr>
        <w:pStyle w:val="21"/>
        <w:numPr>
          <w:ilvl w:val="0"/>
          <w:numId w:val="1"/>
        </w:numPr>
        <w:ind w:left="420" w:leftChars="0" w:hanging="420" w:firstLineChars="0"/>
        <w:rPr>
          <w:rFonts w:hint="default"/>
        </w:rPr>
      </w:pPr>
      <w:r>
        <w:rPr>
          <w:rFonts w:hint="default"/>
        </w:rPr>
        <w:t>Clarify “Curriculum Coherence”: Early in the introduction, distinguish between horizontal coherence (across subjects) and vertical coherence (across grade levels). This helps anchor your argument and shows theoretical precision.</w:t>
      </w:r>
    </w:p>
    <w:p w14:paraId="53A39E6D">
      <w:pPr>
        <w:pStyle w:val="21"/>
        <w:numPr>
          <w:ilvl w:val="0"/>
          <w:numId w:val="1"/>
        </w:numPr>
        <w:ind w:left="420" w:leftChars="0" w:hanging="420" w:firstLineChars="0"/>
        <w:rPr>
          <w:rFonts w:hint="default"/>
        </w:rPr>
      </w:pPr>
      <w:r>
        <w:rPr>
          <w:rFonts w:hint="default"/>
        </w:rPr>
        <w:t>Add a Conceptual Map or Table: Consider visualizing how curriculum coherence links to language development domains (e.g., vocabulary, syntax, pragmatics). This could be a figure or table to enhance reader comprehension.</w:t>
      </w:r>
    </w:p>
    <w:p w14:paraId="35DD43BF">
      <w:pPr>
        <w:pStyle w:val="21"/>
      </w:pPr>
    </w:p>
  </w:comment>
  <w:comment w:id="1" w:author="gothicinspire" w:date="2025-09-13T20:20:43Z" w:initials="">
    <w:p w14:paraId="518F5B0D">
      <w:pPr>
        <w:pStyle w:val="21"/>
        <w:rPr>
          <w:rFonts w:hint="default"/>
          <w:lang w:val="en-US"/>
        </w:rPr>
      </w:pPr>
      <w:r>
        <w:rPr>
          <w:rFonts w:hint="default"/>
        </w:rPr>
        <w:t xml:space="preserve"> Strengthen Methodological Justificatio</w:t>
      </w:r>
      <w:r>
        <w:rPr>
          <w:rFonts w:hint="default"/>
          <w:lang w:val="en-US"/>
        </w:rPr>
        <w:t>n:</w:t>
      </w:r>
    </w:p>
    <w:p w14:paraId="1D780CC2">
      <w:pPr>
        <w:pStyle w:val="21"/>
        <w:numPr>
          <w:ilvl w:val="0"/>
          <w:numId w:val="1"/>
        </w:numPr>
        <w:ind w:left="420" w:leftChars="0" w:hanging="420" w:firstLineChars="0"/>
        <w:rPr>
          <w:rFonts w:hint="default"/>
        </w:rPr>
      </w:pPr>
      <w:r>
        <w:rPr>
          <w:rFonts w:hint="default"/>
        </w:rPr>
        <w:t>Justify Narrative Review Choice: Briefly explain why a narrative review was more suitable than a systematic or scoping review. You might cite the need for thematic synthesis across diverse contexts.</w:t>
      </w:r>
    </w:p>
    <w:p w14:paraId="1D7BC4DD">
      <w:pPr>
        <w:pStyle w:val="21"/>
        <w:numPr>
          <w:ilvl w:val="0"/>
          <w:numId w:val="1"/>
        </w:numPr>
        <w:ind w:left="420" w:leftChars="0" w:hanging="420" w:firstLineChars="0"/>
      </w:pPr>
      <w:r>
        <w:rPr>
          <w:rFonts w:hint="default"/>
        </w:rPr>
        <w:t>Clarify Inclusion Criteria: Add a short paragraph on how sources were selected—e.g., publication years, relevance to curriculum coherence, language education focus.</w:t>
      </w:r>
    </w:p>
  </w:comment>
  <w:comment w:id="2" w:author="gothicinspire" w:date="2025-09-13T20:23:08Z" w:initials="">
    <w:p w14:paraId="0D8CE858">
      <w:pPr>
        <w:pStyle w:val="21"/>
        <w:numPr>
          <w:ilvl w:val="0"/>
          <w:numId w:val="1"/>
        </w:numPr>
        <w:ind w:left="420" w:leftChars="0" w:hanging="420" w:firstLineChars="0"/>
        <w:rPr>
          <w:rFonts w:hint="default"/>
        </w:rPr>
      </w:pPr>
      <w:r>
        <w:rPr>
          <w:rFonts w:hint="default"/>
        </w:rPr>
        <w:t>Use Thematic Subheadings: Break the findings into clearer themes (e.g., “Teacher Collaboration,” “Assessment Alignment,” “Learner Autonomy”) to improve readability.</w:t>
      </w:r>
    </w:p>
    <w:p w14:paraId="06C1FE3A">
      <w:pPr>
        <w:pStyle w:val="21"/>
        <w:numPr>
          <w:ilvl w:val="0"/>
          <w:numId w:val="1"/>
        </w:numPr>
        <w:ind w:left="420" w:leftChars="0" w:hanging="420" w:firstLineChars="0"/>
      </w:pPr>
      <w:r>
        <w:rPr>
          <w:rFonts w:hint="default"/>
          <w:lang w:val="en-US"/>
        </w:rPr>
        <w:t xml:space="preserve"> </w:t>
      </w:r>
      <w:r>
        <w:rPr>
          <w:rFonts w:hint="default"/>
        </w:rPr>
        <w:t>Integrate Frameworks: Where possible, link findings to frameworks like CEFR, TPACK, or Bloom’s taxonomy. This adds depth and international relevance.</w:t>
      </w:r>
    </w:p>
    <w:p w14:paraId="30205F11">
      <w:pPr>
        <w:pStyle w:val="21"/>
        <w:numPr>
          <w:ilvl w:val="0"/>
          <w:numId w:val="1"/>
        </w:numPr>
        <w:ind w:left="420" w:leftChars="0" w:hanging="420" w:firstLineChars="0"/>
        <w:rPr>
          <w:rFonts w:hint="default"/>
        </w:rPr>
      </w:pPr>
      <w:r>
        <w:rPr>
          <w:rFonts w:hint="default"/>
          <w:lang w:val="en-US"/>
        </w:rPr>
        <w:t xml:space="preserve"> </w:t>
      </w:r>
      <w:r>
        <w:rPr>
          <w:rFonts w:hint="default"/>
        </w:rPr>
        <w:t>Connect to Practice: Include brief examples of how curriculum coherence might look in real classrooms—perhaps from Indonesian EFL contexts or international programs like IB or Cambridge.</w:t>
      </w:r>
    </w:p>
    <w:p w14:paraId="1D6F1A2A">
      <w:pPr>
        <w:pStyle w:val="21"/>
        <w:numPr>
          <w:ilvl w:val="0"/>
          <w:numId w:val="1"/>
        </w:numPr>
        <w:ind w:left="420" w:leftChars="0" w:hanging="420" w:firstLineChars="0"/>
      </w:pPr>
      <w:r>
        <w:rPr>
          <w:rFonts w:hint="default"/>
          <w:lang w:val="en-US"/>
        </w:rPr>
        <w:t xml:space="preserve"> </w:t>
      </w:r>
      <w:r>
        <w:rPr>
          <w:rFonts w:hint="default"/>
        </w:rPr>
        <w:t>Address Limitations: Acknowledge that the review is conceptual and lacks empirical classroom data. This shows reflexivity and invites future research.</w:t>
      </w:r>
    </w:p>
  </w:comment>
  <w:comment w:id="3" w:author="gothicinspire" w:date="2025-09-13T20:28:29Z" w:initials="">
    <w:p w14:paraId="6DB25A4A">
      <w:pPr>
        <w:pStyle w:val="21"/>
        <w:numPr>
          <w:ilvl w:val="0"/>
          <w:numId w:val="1"/>
        </w:numPr>
        <w:ind w:left="420" w:leftChars="0" w:hanging="420" w:firstLineChars="0"/>
        <w:rPr>
          <w:rFonts w:hint="default"/>
          <w:lang w:val="en-US"/>
        </w:rPr>
      </w:pPr>
      <w:r>
        <w:rPr>
          <w:rFonts w:hint="default"/>
        </w:rPr>
        <w:t>APA Reference Check: Ensure all citations follow APA 7th edition, especially for online sources and DOIs.</w:t>
      </w:r>
    </w:p>
    <w:p w14:paraId="4F2FD13B">
      <w:pPr>
        <w:pStyle w:val="21"/>
        <w:numPr>
          <w:ilvl w:val="0"/>
          <w:numId w:val="1"/>
        </w:numPr>
        <w:ind w:left="420" w:leftChars="0" w:hanging="420" w:firstLineChars="0"/>
        <w:rPr>
          <w:rFonts w:hint="default"/>
          <w:lang w:val="en-US"/>
        </w:rPr>
      </w:pPr>
      <w:r>
        <w:rPr>
          <w:rFonts w:hint="default"/>
          <w:lang w:val="en-US"/>
        </w:rPr>
        <w:t>Add two or more articles from the Didascein journal as the reference.</w:t>
      </w:r>
    </w:p>
    <w:p w14:paraId="467740C8">
      <w:pPr>
        <w:pStyle w:val="21"/>
        <w:numPr>
          <w:ilvl w:val="0"/>
          <w:numId w:val="1"/>
        </w:numPr>
        <w:ind w:left="420" w:leftChars="0" w:hanging="420" w:firstLineChars="0"/>
        <w:rPr>
          <w:rFonts w:hint="default"/>
          <w:lang w:val="en-US"/>
        </w:rPr>
      </w:pPr>
      <w:r>
        <w:rPr>
          <w:rFonts w:hint="default"/>
          <w:lang w:val="en-US"/>
        </w:rPr>
        <w:t>Ensure that all references listed are retrievable and synchronized with in-text citation.</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DD43BF" w15:done="0"/>
  <w15:commentEx w15:paraId="1D7BC4DD" w15:done="0"/>
  <w15:commentEx w15:paraId="1D6F1A2A" w15:done="0"/>
  <w15:commentEx w15:paraId="467740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icrosoft Sans Serif">
    <w:panose1 w:val="020B0604020202020204"/>
    <w:charset w:val="00"/>
    <w:family w:val="auto"/>
    <w:pitch w:val="default"/>
    <w:sig w:usb0="E5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8"/>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8"/>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8"/>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2A2D44"/>
    <w:multiLevelType w:val="singleLevel"/>
    <w:tmpl w:val="CB2A2D4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31E20"/>
    <w:rsid w:val="00055654"/>
    <w:rsid w:val="000C096A"/>
    <w:rsid w:val="000D7C53"/>
    <w:rsid w:val="000E2319"/>
    <w:rsid w:val="000F3E94"/>
    <w:rsid w:val="001174A6"/>
    <w:rsid w:val="001337AC"/>
    <w:rsid w:val="00146FDE"/>
    <w:rsid w:val="00161925"/>
    <w:rsid w:val="00193E76"/>
    <w:rsid w:val="001B3867"/>
    <w:rsid w:val="001F49FA"/>
    <w:rsid w:val="002146C5"/>
    <w:rsid w:val="00214FF2"/>
    <w:rsid w:val="00234252"/>
    <w:rsid w:val="002476E3"/>
    <w:rsid w:val="00293A1B"/>
    <w:rsid w:val="002D2DAE"/>
    <w:rsid w:val="003309E2"/>
    <w:rsid w:val="00362B06"/>
    <w:rsid w:val="003673CE"/>
    <w:rsid w:val="00382200"/>
    <w:rsid w:val="00397A52"/>
    <w:rsid w:val="003B1B89"/>
    <w:rsid w:val="003F7A9E"/>
    <w:rsid w:val="004145E8"/>
    <w:rsid w:val="00462988"/>
    <w:rsid w:val="00475E20"/>
    <w:rsid w:val="004A0A1D"/>
    <w:rsid w:val="004B50F8"/>
    <w:rsid w:val="004E24DE"/>
    <w:rsid w:val="00502F05"/>
    <w:rsid w:val="005423D5"/>
    <w:rsid w:val="00556AD7"/>
    <w:rsid w:val="00585E73"/>
    <w:rsid w:val="00594560"/>
    <w:rsid w:val="005C33C6"/>
    <w:rsid w:val="005E1B2B"/>
    <w:rsid w:val="00603A77"/>
    <w:rsid w:val="006251A3"/>
    <w:rsid w:val="00673E74"/>
    <w:rsid w:val="006B1C90"/>
    <w:rsid w:val="0070516B"/>
    <w:rsid w:val="007077DF"/>
    <w:rsid w:val="007473B2"/>
    <w:rsid w:val="007526CD"/>
    <w:rsid w:val="00763467"/>
    <w:rsid w:val="007721ED"/>
    <w:rsid w:val="007A092F"/>
    <w:rsid w:val="007A3AFF"/>
    <w:rsid w:val="007B592A"/>
    <w:rsid w:val="008042D6"/>
    <w:rsid w:val="00821842"/>
    <w:rsid w:val="00854417"/>
    <w:rsid w:val="00885B4C"/>
    <w:rsid w:val="008A20AB"/>
    <w:rsid w:val="008E1F35"/>
    <w:rsid w:val="008E72F3"/>
    <w:rsid w:val="00905905"/>
    <w:rsid w:val="009155A5"/>
    <w:rsid w:val="009179CC"/>
    <w:rsid w:val="009309B8"/>
    <w:rsid w:val="00950C4F"/>
    <w:rsid w:val="009A2257"/>
    <w:rsid w:val="009A603A"/>
    <w:rsid w:val="009E44AE"/>
    <w:rsid w:val="009E6F2A"/>
    <w:rsid w:val="00A0331E"/>
    <w:rsid w:val="00A21B66"/>
    <w:rsid w:val="00AC316F"/>
    <w:rsid w:val="00AF0FC7"/>
    <w:rsid w:val="00B01BD5"/>
    <w:rsid w:val="00B03841"/>
    <w:rsid w:val="00B03FF5"/>
    <w:rsid w:val="00B8659F"/>
    <w:rsid w:val="00B943B7"/>
    <w:rsid w:val="00BB763C"/>
    <w:rsid w:val="00BC3C91"/>
    <w:rsid w:val="00BD0FB2"/>
    <w:rsid w:val="00BF3A04"/>
    <w:rsid w:val="00CA21FB"/>
    <w:rsid w:val="00CD0D65"/>
    <w:rsid w:val="00CE64D6"/>
    <w:rsid w:val="00CF76AC"/>
    <w:rsid w:val="00D003BB"/>
    <w:rsid w:val="00D02066"/>
    <w:rsid w:val="00D6788E"/>
    <w:rsid w:val="00D75520"/>
    <w:rsid w:val="00DA11C1"/>
    <w:rsid w:val="00DB4427"/>
    <w:rsid w:val="00DD1135"/>
    <w:rsid w:val="00DF4413"/>
    <w:rsid w:val="00E101D2"/>
    <w:rsid w:val="00E23CC4"/>
    <w:rsid w:val="00E351FF"/>
    <w:rsid w:val="00E43E26"/>
    <w:rsid w:val="00E656C9"/>
    <w:rsid w:val="00EE0300"/>
    <w:rsid w:val="00F367FE"/>
    <w:rsid w:val="00F54814"/>
    <w:rsid w:val="00F658B4"/>
    <w:rsid w:val="00F86287"/>
    <w:rsid w:val="00FB47D6"/>
    <w:rsid w:val="3152778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2"/>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3"/>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4"/>
    <w:qFormat/>
    <w:uiPriority w:val="0"/>
    <w:pPr>
      <w:keepNext/>
      <w:jc w:val="center"/>
      <w:outlineLvl w:val="2"/>
    </w:pPr>
    <w:rPr>
      <w:rFonts w:eastAsia="Times New Roman"/>
      <w:b/>
      <w:sz w:val="24"/>
      <w:szCs w:val="20"/>
      <w:lang w:val="en-US"/>
    </w:rPr>
  </w:style>
  <w:style w:type="paragraph" w:styleId="5">
    <w:name w:val="heading 4"/>
    <w:basedOn w:val="1"/>
    <w:next w:val="1"/>
    <w:link w:val="45"/>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6"/>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7"/>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8"/>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9"/>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50"/>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1"/>
    <w:unhideWhenUsed/>
    <w:uiPriority w:val="0"/>
    <w:rPr>
      <w:rFonts w:ascii="Tahoma" w:hAnsi="Tahoma" w:cs="Tahoma"/>
      <w:sz w:val="16"/>
      <w:szCs w:val="16"/>
    </w:rPr>
  </w:style>
  <w:style w:type="paragraph" w:styleId="14">
    <w:name w:val="Body Text"/>
    <w:basedOn w:val="1"/>
    <w:link w:val="54"/>
    <w:uiPriority w:val="0"/>
    <w:pPr>
      <w:spacing w:line="360" w:lineRule="auto"/>
      <w:jc w:val="both"/>
    </w:pPr>
    <w:rPr>
      <w:rFonts w:eastAsia="Times New Roman"/>
      <w:sz w:val="24"/>
      <w:szCs w:val="20"/>
      <w:lang w:val="en-US"/>
    </w:rPr>
  </w:style>
  <w:style w:type="paragraph" w:styleId="15">
    <w:name w:val="Body Text 2"/>
    <w:basedOn w:val="1"/>
    <w:link w:val="57"/>
    <w:uiPriority w:val="0"/>
    <w:pPr>
      <w:spacing w:line="360" w:lineRule="auto"/>
      <w:ind w:left="540" w:hanging="540"/>
      <w:jc w:val="both"/>
    </w:pPr>
    <w:rPr>
      <w:rFonts w:eastAsia="Times New Roman"/>
      <w:sz w:val="24"/>
      <w:szCs w:val="20"/>
      <w:lang w:val="en-US"/>
    </w:rPr>
  </w:style>
  <w:style w:type="paragraph" w:styleId="16">
    <w:name w:val="Body Text 3"/>
    <w:basedOn w:val="1"/>
    <w:link w:val="58"/>
    <w:uiPriority w:val="0"/>
    <w:pPr>
      <w:spacing w:line="360" w:lineRule="auto"/>
      <w:jc w:val="both"/>
    </w:pPr>
    <w:rPr>
      <w:rFonts w:eastAsia="Times New Roman"/>
      <w:sz w:val="24"/>
      <w:szCs w:val="20"/>
      <w:lang w:val="en-US"/>
    </w:rPr>
  </w:style>
  <w:style w:type="paragraph" w:styleId="17">
    <w:name w:val="Body Text Indent"/>
    <w:basedOn w:val="1"/>
    <w:link w:val="55"/>
    <w:uiPriority w:val="0"/>
    <w:pPr>
      <w:spacing w:line="360" w:lineRule="auto"/>
      <w:ind w:left="810"/>
      <w:jc w:val="both"/>
    </w:pPr>
    <w:rPr>
      <w:rFonts w:eastAsia="Times New Roman"/>
      <w:sz w:val="24"/>
      <w:szCs w:val="20"/>
      <w:lang w:val="en-US"/>
    </w:rPr>
  </w:style>
  <w:style w:type="paragraph" w:styleId="18">
    <w:name w:val="Body Text Indent 2"/>
    <w:basedOn w:val="1"/>
    <w:link w:val="59"/>
    <w:uiPriority w:val="0"/>
    <w:pPr>
      <w:spacing w:line="360" w:lineRule="auto"/>
      <w:ind w:left="720"/>
      <w:jc w:val="both"/>
    </w:pPr>
    <w:rPr>
      <w:rFonts w:eastAsia="Times New Roman"/>
      <w:sz w:val="24"/>
      <w:szCs w:val="20"/>
      <w:lang w:val="en-US"/>
    </w:rPr>
  </w:style>
  <w:style w:type="paragraph" w:styleId="19">
    <w:name w:val="Body Text Indent 3"/>
    <w:basedOn w:val="1"/>
    <w:link w:val="60"/>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82"/>
    <w:uiPriority w:val="99"/>
    <w:rPr>
      <w:rFonts w:ascii="Times New Roman" w:hAnsi="Times New Roman" w:eastAsia="Times New Roman"/>
      <w:sz w:val="20"/>
      <w:szCs w:val="20"/>
      <w:lang w:val="en-US"/>
    </w:rPr>
  </w:style>
  <w:style w:type="paragraph" w:styleId="22">
    <w:name w:val="annotation subject"/>
    <w:basedOn w:val="21"/>
    <w:next w:val="21"/>
    <w:link w:val="84"/>
    <w:semiHidden/>
    <w:unhideWhenUsed/>
    <w:uiPriority w:val="99"/>
    <w:rPr>
      <w:rFonts w:ascii="Arial" w:hAnsi="Arial" w:eastAsiaTheme="minorHAnsi"/>
      <w:b/>
      <w:bCs/>
      <w:lang w:val="id-ID"/>
    </w:rPr>
  </w:style>
  <w:style w:type="character" w:styleId="23">
    <w:name w:val="Emphasis"/>
    <w:basedOn w:val="11"/>
    <w:qFormat/>
    <w:uiPriority w:val="20"/>
    <w:rPr>
      <w:i/>
      <w:iCs/>
    </w:rPr>
  </w:style>
  <w:style w:type="character" w:styleId="24">
    <w:name w:val="FollowedHyperlink"/>
    <w:basedOn w:val="11"/>
    <w:semiHidden/>
    <w:unhideWhenUsed/>
    <w:uiPriority w:val="99"/>
    <w:rPr>
      <w:color w:val="954F72" w:themeColor="followedHyperlink"/>
      <w:u w:val="single"/>
      <w14:textFill>
        <w14:solidFill>
          <w14:schemeClr w14:val="folHlink"/>
        </w14:solidFill>
      </w14:textFill>
    </w:rPr>
  </w:style>
  <w:style w:type="paragraph" w:styleId="25">
    <w:name w:val="footer"/>
    <w:basedOn w:val="1"/>
    <w:link w:val="52"/>
    <w:uiPriority w:val="99"/>
    <w:pPr>
      <w:tabs>
        <w:tab w:val="center" w:pos="4320"/>
        <w:tab w:val="right" w:pos="8640"/>
      </w:tabs>
      <w:jc w:val="both"/>
    </w:pPr>
    <w:rPr>
      <w:rFonts w:eastAsia="Times New Roman"/>
      <w:szCs w:val="20"/>
      <w:lang w:val="en-US"/>
    </w:rPr>
  </w:style>
  <w:style w:type="character" w:styleId="26">
    <w:name w:val="footnote reference"/>
    <w:basedOn w:val="11"/>
    <w:semiHidden/>
    <w:unhideWhenUsed/>
    <w:uiPriority w:val="99"/>
    <w:rPr>
      <w:vertAlign w:val="superscript"/>
    </w:rPr>
  </w:style>
  <w:style w:type="paragraph" w:styleId="27">
    <w:name w:val="footnote text"/>
    <w:basedOn w:val="1"/>
    <w:link w:val="87"/>
    <w:semiHidden/>
    <w:unhideWhenUsed/>
    <w:uiPriority w:val="99"/>
    <w:rPr>
      <w:sz w:val="20"/>
      <w:szCs w:val="20"/>
    </w:rPr>
  </w:style>
  <w:style w:type="paragraph" w:styleId="28">
    <w:name w:val="header"/>
    <w:basedOn w:val="1"/>
    <w:link w:val="51"/>
    <w:uiPriority w:val="99"/>
    <w:pPr>
      <w:tabs>
        <w:tab w:val="center" w:pos="4320"/>
        <w:tab w:val="right" w:pos="8640"/>
      </w:tabs>
      <w:jc w:val="both"/>
    </w:pPr>
    <w:rPr>
      <w:rFonts w:eastAsia="Times New Roman"/>
      <w:szCs w:val="20"/>
      <w:lang w:val="en-US"/>
    </w:rPr>
  </w:style>
  <w:style w:type="character" w:styleId="29">
    <w:name w:val="Hyperlink"/>
    <w:uiPriority w:val="99"/>
    <w:rPr>
      <w:color w:val="0000FF"/>
      <w:u w:val="single"/>
    </w:rPr>
  </w:style>
  <w:style w:type="paragraph" w:styleId="30">
    <w:name w:val="Normal (Web)"/>
    <w:basedOn w:val="1"/>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31">
    <w:name w:val="page number"/>
    <w:basedOn w:val="11"/>
    <w:uiPriority w:val="99"/>
  </w:style>
  <w:style w:type="character" w:styleId="32">
    <w:name w:val="Strong"/>
    <w:basedOn w:val="11"/>
    <w:qFormat/>
    <w:uiPriority w:val="22"/>
    <w:rPr>
      <w:b/>
      <w:bCs/>
    </w:rPr>
  </w:style>
  <w:style w:type="paragraph" w:styleId="33">
    <w:name w:val="Subtitle"/>
    <w:basedOn w:val="1"/>
    <w:next w:val="1"/>
    <w:link w:val="56"/>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4">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5">
    <w:name w:val="Title"/>
    <w:basedOn w:val="1"/>
    <w:link w:val="53"/>
    <w:qFormat/>
    <w:uiPriority w:val="10"/>
    <w:pPr>
      <w:jc w:val="center"/>
    </w:pPr>
    <w:rPr>
      <w:rFonts w:eastAsia="Times New Roman"/>
      <w:b/>
      <w:sz w:val="26"/>
      <w:szCs w:val="20"/>
      <w:lang w:val="en-US"/>
    </w:rPr>
  </w:style>
  <w:style w:type="paragraph" w:styleId="36">
    <w:name w:val="toc 1"/>
    <w:basedOn w:val="1"/>
    <w:next w:val="1"/>
    <w:uiPriority w:val="39"/>
    <w:pPr>
      <w:tabs>
        <w:tab w:val="right" w:leader="underscore" w:pos="13944"/>
      </w:tabs>
      <w:spacing w:before="120"/>
    </w:pPr>
    <w:rPr>
      <w:rFonts w:eastAsia="Times New Roman"/>
      <w:bCs/>
      <w:iCs/>
      <w:sz w:val="24"/>
      <w:szCs w:val="28"/>
      <w:lang w:val="en-US"/>
    </w:rPr>
  </w:style>
  <w:style w:type="paragraph" w:styleId="37">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9">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40">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41">
    <w:name w:val="st"/>
    <w:basedOn w:val="11"/>
    <w:uiPriority w:val="0"/>
  </w:style>
  <w:style w:type="character" w:customStyle="1" w:styleId="42">
    <w:name w:val="Heading 1 Char"/>
    <w:link w:val="2"/>
    <w:uiPriority w:val="0"/>
    <w:rPr>
      <w:rFonts w:ascii="Tahoma" w:hAnsi="Tahoma" w:eastAsia="Times New Roman" w:cs="Times New Roman"/>
      <w:b/>
      <w:sz w:val="24"/>
      <w:szCs w:val="24"/>
      <w:lang w:val="sv-SE"/>
    </w:rPr>
  </w:style>
  <w:style w:type="character" w:customStyle="1" w:styleId="43">
    <w:name w:val="Heading 2 Char"/>
    <w:link w:val="3"/>
    <w:uiPriority w:val="0"/>
    <w:rPr>
      <w:rFonts w:ascii="Arial" w:hAnsi="Arial" w:eastAsia="Times New Roman" w:cs="Times New Roman"/>
      <w:sz w:val="24"/>
      <w:szCs w:val="20"/>
      <w:lang w:val="en-US"/>
    </w:rPr>
  </w:style>
  <w:style w:type="character" w:customStyle="1" w:styleId="44">
    <w:name w:val="Heading 3 Char"/>
    <w:link w:val="4"/>
    <w:uiPriority w:val="0"/>
    <w:rPr>
      <w:rFonts w:ascii="Arial" w:hAnsi="Arial" w:eastAsia="Times New Roman" w:cs="Times New Roman"/>
      <w:b/>
      <w:sz w:val="24"/>
      <w:szCs w:val="20"/>
      <w:lang w:val="en-US"/>
    </w:rPr>
  </w:style>
  <w:style w:type="character" w:customStyle="1" w:styleId="45">
    <w:name w:val="Heading 4 Char"/>
    <w:link w:val="5"/>
    <w:uiPriority w:val="0"/>
    <w:rPr>
      <w:rFonts w:ascii="Arial" w:hAnsi="Arial" w:eastAsia="Times New Roman" w:cs="Times New Roman"/>
      <w:sz w:val="24"/>
      <w:szCs w:val="20"/>
      <w:lang w:val="en-US"/>
    </w:rPr>
  </w:style>
  <w:style w:type="character" w:customStyle="1" w:styleId="46">
    <w:name w:val="Heading 5 Char"/>
    <w:link w:val="6"/>
    <w:uiPriority w:val="0"/>
    <w:rPr>
      <w:rFonts w:ascii="Tahoma" w:hAnsi="Tahoma" w:eastAsia="Times New Roman" w:cs="Times New Roman"/>
      <w:b/>
      <w:sz w:val="28"/>
      <w:szCs w:val="20"/>
      <w:lang w:val="en-US"/>
    </w:rPr>
  </w:style>
  <w:style w:type="character" w:customStyle="1" w:styleId="47">
    <w:name w:val="Heading 6 Char"/>
    <w:link w:val="7"/>
    <w:uiPriority w:val="0"/>
    <w:rPr>
      <w:rFonts w:ascii="Arial" w:hAnsi="Arial" w:eastAsia="Times New Roman" w:cs="Times New Roman"/>
      <w:sz w:val="24"/>
      <w:szCs w:val="20"/>
      <w:lang w:val="en-US"/>
    </w:rPr>
  </w:style>
  <w:style w:type="character" w:customStyle="1" w:styleId="48">
    <w:name w:val="Heading 7 Char"/>
    <w:link w:val="8"/>
    <w:uiPriority w:val="0"/>
    <w:rPr>
      <w:rFonts w:ascii="Arial" w:hAnsi="Arial" w:eastAsia="Times New Roman" w:cs="Times New Roman"/>
      <w:sz w:val="24"/>
      <w:szCs w:val="20"/>
      <w:lang w:val="en-US"/>
    </w:rPr>
  </w:style>
  <w:style w:type="character" w:customStyle="1" w:styleId="49">
    <w:name w:val="Heading 8 Char"/>
    <w:link w:val="9"/>
    <w:uiPriority w:val="0"/>
    <w:rPr>
      <w:rFonts w:ascii="Arial" w:hAnsi="Arial" w:eastAsia="Times New Roman" w:cs="Times New Roman"/>
      <w:b/>
      <w:sz w:val="24"/>
      <w:szCs w:val="20"/>
      <w:u w:val="single"/>
      <w:lang w:val="en-US"/>
    </w:rPr>
  </w:style>
  <w:style w:type="character" w:customStyle="1" w:styleId="50">
    <w:name w:val="Heading 9 Char"/>
    <w:link w:val="10"/>
    <w:uiPriority w:val="0"/>
    <w:rPr>
      <w:rFonts w:ascii="Arial" w:hAnsi="Arial" w:eastAsia="Times New Roman" w:cs="Times New Roman"/>
      <w:b/>
      <w:bCs/>
      <w:sz w:val="24"/>
      <w:szCs w:val="20"/>
      <w:lang w:val="en-US"/>
    </w:rPr>
  </w:style>
  <w:style w:type="character" w:customStyle="1" w:styleId="51">
    <w:name w:val="Header Char"/>
    <w:link w:val="28"/>
    <w:uiPriority w:val="99"/>
    <w:rPr>
      <w:rFonts w:ascii="Arial" w:hAnsi="Arial" w:eastAsia="Times New Roman" w:cs="Times New Roman"/>
      <w:szCs w:val="20"/>
      <w:lang w:val="en-US"/>
    </w:rPr>
  </w:style>
  <w:style w:type="character" w:customStyle="1" w:styleId="52">
    <w:name w:val="Footer Char"/>
    <w:link w:val="25"/>
    <w:uiPriority w:val="99"/>
    <w:rPr>
      <w:rFonts w:ascii="Arial" w:hAnsi="Arial" w:eastAsia="Times New Roman" w:cs="Times New Roman"/>
      <w:szCs w:val="20"/>
      <w:lang w:val="en-US"/>
    </w:rPr>
  </w:style>
  <w:style w:type="character" w:customStyle="1" w:styleId="53">
    <w:name w:val="Title Char"/>
    <w:link w:val="35"/>
    <w:uiPriority w:val="10"/>
    <w:rPr>
      <w:rFonts w:ascii="Arial" w:hAnsi="Arial" w:eastAsia="Times New Roman" w:cs="Times New Roman"/>
      <w:b/>
      <w:sz w:val="26"/>
      <w:szCs w:val="20"/>
      <w:lang w:val="en-US"/>
    </w:rPr>
  </w:style>
  <w:style w:type="character" w:customStyle="1" w:styleId="54">
    <w:name w:val="Body Text Char"/>
    <w:link w:val="14"/>
    <w:uiPriority w:val="0"/>
    <w:rPr>
      <w:rFonts w:ascii="Arial" w:hAnsi="Arial" w:eastAsia="Times New Roman" w:cs="Times New Roman"/>
      <w:sz w:val="24"/>
      <w:szCs w:val="20"/>
      <w:lang w:val="en-US"/>
    </w:rPr>
  </w:style>
  <w:style w:type="character" w:customStyle="1" w:styleId="55">
    <w:name w:val="Body Text Indent Char"/>
    <w:link w:val="17"/>
    <w:uiPriority w:val="0"/>
    <w:rPr>
      <w:rFonts w:ascii="Arial" w:hAnsi="Arial" w:eastAsia="Times New Roman" w:cs="Times New Roman"/>
      <w:sz w:val="24"/>
      <w:szCs w:val="20"/>
      <w:lang w:val="en-US"/>
    </w:rPr>
  </w:style>
  <w:style w:type="character" w:customStyle="1" w:styleId="56">
    <w:name w:val="Subtitle Char"/>
    <w:link w:val="33"/>
    <w:uiPriority w:val="11"/>
    <w:rPr>
      <w:rFonts w:ascii="Cambria" w:hAnsi="Cambria" w:eastAsia="Times New Roman" w:cs="Times New Roman"/>
      <w:i/>
      <w:iCs/>
      <w:color w:val="4F81BD"/>
      <w:spacing w:val="15"/>
      <w:sz w:val="24"/>
      <w:szCs w:val="24"/>
      <w:lang w:val="en-US" w:eastAsia="ja-JP"/>
    </w:rPr>
  </w:style>
  <w:style w:type="character" w:customStyle="1" w:styleId="57">
    <w:name w:val="Body Text 2 Char"/>
    <w:link w:val="15"/>
    <w:uiPriority w:val="0"/>
    <w:rPr>
      <w:rFonts w:ascii="Arial" w:hAnsi="Arial" w:eastAsia="Times New Roman" w:cs="Times New Roman"/>
      <w:sz w:val="24"/>
      <w:szCs w:val="20"/>
      <w:lang w:val="en-US"/>
    </w:rPr>
  </w:style>
  <w:style w:type="character" w:customStyle="1" w:styleId="58">
    <w:name w:val="Body Text 3 Char"/>
    <w:link w:val="16"/>
    <w:uiPriority w:val="0"/>
    <w:rPr>
      <w:rFonts w:ascii="Arial" w:hAnsi="Arial" w:eastAsia="Times New Roman" w:cs="Times New Roman"/>
      <w:sz w:val="24"/>
      <w:szCs w:val="20"/>
      <w:lang w:val="en-US"/>
    </w:rPr>
  </w:style>
  <w:style w:type="character" w:customStyle="1" w:styleId="59">
    <w:name w:val="Body Text Indent 2 Char"/>
    <w:link w:val="18"/>
    <w:uiPriority w:val="0"/>
    <w:rPr>
      <w:rFonts w:ascii="Arial" w:hAnsi="Arial" w:eastAsia="Times New Roman" w:cs="Times New Roman"/>
      <w:sz w:val="24"/>
      <w:szCs w:val="20"/>
      <w:lang w:val="en-US"/>
    </w:rPr>
  </w:style>
  <w:style w:type="character" w:customStyle="1" w:styleId="60">
    <w:name w:val="Body Text Indent 3 Char"/>
    <w:link w:val="19"/>
    <w:uiPriority w:val="0"/>
    <w:rPr>
      <w:rFonts w:ascii="Arial" w:hAnsi="Arial" w:eastAsia="Times New Roman" w:cs="Times New Roman"/>
      <w:sz w:val="24"/>
      <w:szCs w:val="20"/>
      <w:lang w:val="en-US"/>
    </w:rPr>
  </w:style>
  <w:style w:type="character" w:customStyle="1" w:styleId="61">
    <w:name w:val="Balloon Text Char"/>
    <w:link w:val="13"/>
    <w:uiPriority w:val="0"/>
    <w:rPr>
      <w:rFonts w:ascii="Tahoma" w:hAnsi="Tahoma" w:eastAsia="Calibri" w:cs="Tahoma"/>
      <w:sz w:val="16"/>
      <w:szCs w:val="16"/>
    </w:rPr>
  </w:style>
  <w:style w:type="paragraph" w:styleId="62">
    <w:name w:val="No Spacing"/>
    <w:link w:val="63"/>
    <w:qFormat/>
    <w:uiPriority w:val="1"/>
    <w:rPr>
      <w:rFonts w:ascii="Calibri" w:hAnsi="Calibri" w:eastAsia="Times New Roman" w:cs="Times New Roman"/>
      <w:sz w:val="22"/>
      <w:szCs w:val="22"/>
      <w:lang w:val="en-US" w:eastAsia="en-US" w:bidi="ar-SA"/>
    </w:rPr>
  </w:style>
  <w:style w:type="character" w:customStyle="1" w:styleId="63">
    <w:name w:val="No Spacing Char"/>
    <w:link w:val="62"/>
    <w:uiPriority w:val="1"/>
    <w:rPr>
      <w:rFonts w:ascii="Calibri" w:hAnsi="Calibri" w:eastAsia="Times New Roman" w:cs="Times New Roman"/>
      <w:lang w:val="en-US"/>
    </w:rPr>
  </w:style>
  <w:style w:type="paragraph" w:styleId="64">
    <w:name w:val="List Paragraph"/>
    <w:basedOn w:val="1"/>
    <w:link w:val="85"/>
    <w:qFormat/>
    <w:uiPriority w:val="34"/>
    <w:pPr>
      <w:ind w:left="720"/>
      <w:contextualSpacing/>
    </w:pPr>
    <w:rPr>
      <w:rFonts w:ascii="Times New Roman" w:hAnsi="Times New Roman" w:eastAsia="Times New Roman"/>
      <w:sz w:val="24"/>
      <w:szCs w:val="24"/>
      <w:lang w:val="en-US"/>
    </w:rPr>
  </w:style>
  <w:style w:type="paragraph" w:customStyle="1" w:styleId="65">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6">
    <w:name w:val="E-JOURNAL_Title English"/>
    <w:basedOn w:val="1"/>
    <w:qFormat/>
    <w:uiPriority w:val="0"/>
    <w:pPr>
      <w:jc w:val="center"/>
    </w:pPr>
    <w:rPr>
      <w:rFonts w:ascii="Times New Roman" w:hAnsi="Times New Roman" w:eastAsia="Times New Roman"/>
      <w:b/>
      <w:i/>
      <w:szCs w:val="24"/>
    </w:rPr>
  </w:style>
  <w:style w:type="paragraph" w:customStyle="1" w:styleId="67">
    <w:name w:val="E-JOURNAL_Author"/>
    <w:basedOn w:val="1"/>
    <w:qFormat/>
    <w:uiPriority w:val="0"/>
    <w:pPr>
      <w:jc w:val="center"/>
    </w:pPr>
    <w:rPr>
      <w:rFonts w:ascii="Times New Roman" w:hAnsi="Times New Roman" w:eastAsia="Times New Roman"/>
    </w:rPr>
  </w:style>
  <w:style w:type="paragraph" w:customStyle="1" w:styleId="68">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9">
    <w:name w:val="E-JOURNAL_Title"/>
    <w:basedOn w:val="1"/>
    <w:qFormat/>
    <w:uiPriority w:val="0"/>
    <w:pPr>
      <w:ind w:firstLine="567"/>
      <w:jc w:val="center"/>
    </w:pPr>
    <w:rPr>
      <w:rFonts w:ascii="Times New Roman" w:hAnsi="Times New Roman" w:eastAsia="Times New Roman"/>
      <w:b/>
    </w:rPr>
  </w:style>
  <w:style w:type="paragraph" w:customStyle="1" w:styleId="70">
    <w:name w:val="E-JOURNAL_AbstractBody"/>
    <w:basedOn w:val="69"/>
    <w:qFormat/>
    <w:uiPriority w:val="0"/>
    <w:pPr>
      <w:jc w:val="both"/>
    </w:pPr>
    <w:rPr>
      <w:b w:val="0"/>
    </w:rPr>
  </w:style>
  <w:style w:type="paragraph" w:customStyle="1" w:styleId="71">
    <w:name w:val="E-JOURNAL_AbstractBodyEnglish"/>
    <w:basedOn w:val="1"/>
    <w:qFormat/>
    <w:uiPriority w:val="0"/>
    <w:pPr>
      <w:ind w:firstLine="567"/>
      <w:jc w:val="both"/>
    </w:pPr>
    <w:rPr>
      <w:rFonts w:ascii="Times New Roman" w:hAnsi="Times New Roman" w:eastAsia="Times New Roman"/>
      <w:i/>
    </w:rPr>
  </w:style>
  <w:style w:type="paragraph" w:customStyle="1" w:styleId="72">
    <w:name w:val="E-JOURNAL_Heading 1"/>
    <w:basedOn w:val="1"/>
    <w:qFormat/>
    <w:uiPriority w:val="0"/>
    <w:pPr>
      <w:spacing w:before="120" w:after="120"/>
    </w:pPr>
    <w:rPr>
      <w:rFonts w:ascii="Times New Roman" w:hAnsi="Times New Roman" w:eastAsia="Times New Roman"/>
      <w:b/>
      <w:lang w:val="en-US"/>
    </w:rPr>
  </w:style>
  <w:style w:type="paragraph" w:customStyle="1" w:styleId="73">
    <w:name w:val="E-JOURNAL_Body"/>
    <w:basedOn w:val="1"/>
    <w:qFormat/>
    <w:uiPriority w:val="0"/>
    <w:pPr>
      <w:ind w:firstLine="567"/>
      <w:jc w:val="both"/>
    </w:pPr>
    <w:rPr>
      <w:rFonts w:ascii="Times New Roman" w:hAnsi="Times New Roman" w:eastAsia="Times New Roman"/>
      <w:szCs w:val="24"/>
    </w:rPr>
  </w:style>
  <w:style w:type="paragraph" w:customStyle="1" w:styleId="74">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5">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6">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7">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8">
    <w:name w:val="E-JOURNAL_AbstrakKeywords"/>
    <w:basedOn w:val="71"/>
    <w:qFormat/>
    <w:uiPriority w:val="0"/>
    <w:pPr>
      <w:spacing w:before="240" w:after="240"/>
      <w:ind w:firstLine="0"/>
    </w:pPr>
  </w:style>
  <w:style w:type="paragraph" w:customStyle="1" w:styleId="79">
    <w:name w:val="Style E-Journal_Keywords + Not Italic"/>
    <w:basedOn w:val="78"/>
    <w:uiPriority w:val="0"/>
    <w:pPr>
      <w:spacing w:before="120" w:after="120"/>
    </w:pPr>
    <w:rPr>
      <w:i w:val="0"/>
    </w:rPr>
  </w:style>
  <w:style w:type="paragraph" w:customStyle="1" w:styleId="80">
    <w:name w:val="E-JOURNAL_TitleAbstractEnglish"/>
    <w:basedOn w:val="1"/>
    <w:autoRedefine/>
    <w:uiPriority w:val="0"/>
    <w:pPr>
      <w:spacing w:before="120" w:after="120"/>
      <w:jc w:val="center"/>
    </w:pPr>
    <w:rPr>
      <w:rFonts w:ascii="Times New Roman" w:hAnsi="Times New Roman" w:eastAsia="Times New Roman"/>
      <w:b/>
      <w:bCs/>
      <w:i/>
      <w:iCs/>
      <w:szCs w:val="20"/>
    </w:rPr>
  </w:style>
  <w:style w:type="paragraph" w:customStyle="1" w:styleId="81">
    <w:name w:val="E-JOURNAL_Picture"/>
    <w:basedOn w:val="75"/>
    <w:qFormat/>
    <w:uiPriority w:val="0"/>
    <w:rPr>
      <w:szCs w:val="22"/>
    </w:rPr>
  </w:style>
  <w:style w:type="character" w:customStyle="1" w:styleId="82">
    <w:name w:val="Comment Text Char"/>
    <w:basedOn w:val="11"/>
    <w:link w:val="21"/>
    <w:uiPriority w:val="99"/>
    <w:rPr>
      <w:rFonts w:ascii="Times New Roman" w:hAnsi="Times New Roman" w:eastAsia="Times New Roman"/>
      <w:sz w:val="20"/>
      <w:szCs w:val="20"/>
      <w:lang w:val="en-US"/>
    </w:rPr>
  </w:style>
  <w:style w:type="character" w:customStyle="1" w:styleId="83">
    <w:name w:val="hps"/>
    <w:basedOn w:val="11"/>
    <w:uiPriority w:val="0"/>
  </w:style>
  <w:style w:type="character" w:customStyle="1" w:styleId="84">
    <w:name w:val="Comment Subject Char"/>
    <w:basedOn w:val="82"/>
    <w:link w:val="22"/>
    <w:semiHidden/>
    <w:uiPriority w:val="99"/>
    <w:rPr>
      <w:rFonts w:ascii="Times New Roman" w:hAnsi="Times New Roman" w:eastAsia="Times New Roman"/>
      <w:b/>
      <w:bCs/>
      <w:sz w:val="20"/>
      <w:szCs w:val="20"/>
      <w:lang w:val="en-US"/>
    </w:rPr>
  </w:style>
  <w:style w:type="character" w:customStyle="1" w:styleId="85">
    <w:name w:val="List Paragraph Char"/>
    <w:link w:val="64"/>
    <w:locked/>
    <w:uiPriority w:val="34"/>
    <w:rPr>
      <w:rFonts w:ascii="Times New Roman" w:hAnsi="Times New Roman" w:eastAsia="Times New Roman"/>
      <w:sz w:val="24"/>
      <w:szCs w:val="24"/>
      <w:lang w:val="en-US"/>
    </w:rPr>
  </w:style>
  <w:style w:type="character" w:customStyle="1" w:styleId="86">
    <w:name w:val="Unresolved Mention"/>
    <w:basedOn w:val="11"/>
    <w:semiHidden/>
    <w:unhideWhenUsed/>
    <w:uiPriority w:val="99"/>
    <w:rPr>
      <w:color w:val="605E5C"/>
      <w:shd w:val="clear" w:color="auto" w:fill="E1DFDD"/>
    </w:rPr>
  </w:style>
  <w:style w:type="character" w:customStyle="1" w:styleId="87">
    <w:name w:val="Footnote Text Char"/>
    <w:basedOn w:val="11"/>
    <w:link w:val="27"/>
    <w:semiHidden/>
    <w:uiPriority w:val="99"/>
    <w:rPr>
      <w:sz w:val="20"/>
      <w:szCs w:val="20"/>
    </w:rPr>
  </w:style>
  <w:style w:type="character" w:customStyle="1" w:styleId="88">
    <w:name w:val="relative"/>
    <w:basedOn w:val="11"/>
    <w:uiPriority w:val="0"/>
  </w:style>
  <w:style w:type="character" w:customStyle="1" w:styleId="89">
    <w:name w:val="ms-1"/>
    <w:basedOn w:val="11"/>
    <w:uiPriority w:val="0"/>
  </w:style>
  <w:style w:type="character" w:customStyle="1" w:styleId="90">
    <w:name w:val="max-w-full"/>
    <w:basedOn w:val="11"/>
    <w:uiPriority w:val="0"/>
  </w:style>
  <w:style w:type="character" w:customStyle="1" w:styleId="91">
    <w:name w:val="overflow-hidden"/>
    <w:basedOn w:val="11"/>
    <w:uiPriority w:val="0"/>
  </w:style>
  <w:style w:type="character" w:styleId="92">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15</Pages>
  <Words>10094</Words>
  <Characters>68644</Characters>
  <Lines>1072</Lines>
  <Paragraphs>201</Paragraphs>
  <TotalTime>16</TotalTime>
  <ScaleCrop>false</ScaleCrop>
  <LinksUpToDate>false</LinksUpToDate>
  <CharactersWithSpaces>78537</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2025-06-27T01:58:00Z</dcterms:created>
  <dc:creator>Editor Didaktika Biologi</dc:creator>
  <cp:lastModifiedBy>gothicinspire</cp:lastModifiedBy>
  <dcterms:modified xsi:type="dcterms:W3CDTF">2025-09-13T13:33:19Z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http://www.zotero.org/styles/modern-humanities-research-association-author-date</vt:lpwstr>
  </property>
  <property fmtid="{D5CDD505-2E9C-101B-9397-08002B2CF9AE}" pid="11" name="Mendeley Recent Style Name 4_1">
    <vt:lpwstr>Modern Humanities Research Association 3rd edition (author-date)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4th edition (note with bibliography)</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http://www.zotero.org/styles/turabian-fullnote-bibliography-8th-edition</vt:lpwstr>
  </property>
  <property fmtid="{D5CDD505-2E9C-101B-9397-08002B2CF9AE}" pid="17" name="Mendeley Recent Style Name 7_1">
    <vt:lpwstr>Turabian 8th edition (full note)</vt:lpwstr>
  </property>
  <property fmtid="{D5CDD505-2E9C-101B-9397-08002B2CF9AE}" pid="18" name="Mendeley Recent Style Id 8_1">
    <vt:lpwstr>http://www.zotero.org/styles/turabian-author-date</vt:lpwstr>
  </property>
  <property fmtid="{D5CDD505-2E9C-101B-9397-08002B2CF9AE}" pid="19" name="Mendeley Recent Style Name 8_1">
    <vt:lpwstr>Turabian 9th edition (author-date)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Document_1">
    <vt:lpwstr>True</vt:lpwstr>
  </property>
  <property fmtid="{D5CDD505-2E9C-101B-9397-08002B2CF9AE}" pid="23" name="Mendeley Unique User Id_1">
    <vt:lpwstr>3afdc105-b4ef-3cba-9d74-ead22ae36ee9</vt:lpwstr>
  </property>
  <property fmtid="{D5CDD505-2E9C-101B-9397-08002B2CF9AE}" pid="24" name="Mendeley Citation Style_1">
    <vt:lpwstr>http://www.zotero.org/styles/apa</vt:lpwstr>
  </property>
  <property fmtid="{D5CDD505-2E9C-101B-9397-08002B2CF9AE}" pid="25" name="GrammarlyDocumentId">
    <vt:lpwstr>faf0ebc8-20de-4797-9003-26b5e57dbea1</vt:lpwstr>
  </property>
  <property fmtid="{D5CDD505-2E9C-101B-9397-08002B2CF9AE}" pid="26" name="KSOProductBuildVer">
    <vt:lpwstr>1033-12.2.0.22556</vt:lpwstr>
  </property>
  <property fmtid="{D5CDD505-2E9C-101B-9397-08002B2CF9AE}" pid="27" name="ICV">
    <vt:lpwstr>8BF5F1DA6DC445A9A1A3E3DC6924CF55_12</vt:lpwstr>
  </property>
</Properties>
</file>