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898AFD">
      <w:pPr>
        <w:contextualSpacing/>
        <w:jc w:val="center"/>
        <w:rPr>
          <w:rFonts w:hint="default" w:ascii="Times New Roman" w:hAnsi="Times New Roman" w:cs="Times New Roman"/>
          <w:b/>
          <w:sz w:val="24"/>
          <w:szCs w:val="24"/>
        </w:rPr>
      </w:pPr>
      <w:r>
        <w:rPr>
          <w:rFonts w:hint="default" w:ascii="Times New Roman" w:hAnsi="Times New Roman" w:cs="Times New Roman"/>
          <w:b/>
          <w:bCs/>
          <w:sz w:val="24"/>
          <w:szCs w:val="24"/>
        </w:rPr>
        <w:t xml:space="preserve">THE </w:t>
      </w:r>
      <w:bookmarkStart w:id="0" w:name="_GoBack"/>
      <w:bookmarkEnd w:id="0"/>
      <w:r>
        <w:rPr>
          <w:rFonts w:hint="default" w:ascii="Times New Roman" w:hAnsi="Times New Roman" w:cs="Times New Roman"/>
          <w:b/>
          <w:bCs/>
          <w:sz w:val="24"/>
          <w:szCs w:val="24"/>
        </w:rPr>
        <w:t>RELATIONSHIP BETWEEN LISTENING STRATEGIES AND LISTENING PROFICIENCY OF TENTH GRADE STUDENTS</w:t>
      </w:r>
    </w:p>
    <w:p w14:paraId="21261D7D">
      <w:pPr>
        <w:ind w:right="283"/>
        <w:jc w:val="center"/>
        <w:rPr>
          <w:rFonts w:ascii="Times New Roman" w:hAnsi="Times New Roman"/>
          <w:b/>
        </w:rPr>
      </w:pPr>
      <w:r>
        <w:rPr>
          <w:rFonts w:ascii="Times New Roman" w:hAnsi="Times New Roman" w:eastAsia="Times New Roman" w:cs="Times New Roman"/>
          <w:b/>
          <w:color w:val="111111"/>
          <w:sz w:val="21"/>
          <w:szCs w:val="21"/>
          <w:highlight w:val="white"/>
        </w:rPr>
        <w:t>Intan Azzahra Putri¹, Umar Abdullah², Fitri Alya Okta Sukma</w:t>
      </w:r>
      <w:r>
        <w:rPr>
          <w:rFonts w:ascii="Times New Roman" w:hAnsi="Times New Roman" w:eastAsia="Times New Roman" w:cs="Times New Roman"/>
          <w:b/>
          <w:color w:val="111111"/>
          <w:sz w:val="21"/>
          <w:szCs w:val="21"/>
          <w:highlight w:val="white"/>
          <w:vertAlign w:val="superscript"/>
        </w:rPr>
        <w:t>3</w:t>
      </w:r>
    </w:p>
    <w:p w14:paraId="5DDDF4AA">
      <w:pPr>
        <w:spacing w:after="0" w:line="240" w:lineRule="auto"/>
        <w:ind w:left="1440"/>
        <w:jc w:val="left"/>
        <w:rPr>
          <w:rFonts w:ascii="Times New Roman" w:hAnsi="Times New Roman" w:eastAsia="Times New Roman" w:cs="Times New Roman"/>
          <w:color w:val="111111"/>
          <w:sz w:val="22"/>
          <w:szCs w:val="22"/>
          <w:highlight w:val="white"/>
        </w:rPr>
      </w:pPr>
      <w:r>
        <w:rPr>
          <w:rFonts w:ascii="Times New Roman" w:hAnsi="Times New Roman" w:eastAsia="Times New Roman" w:cs="Times New Roman"/>
          <w:color w:val="111111"/>
          <w:sz w:val="22"/>
          <w:szCs w:val="22"/>
          <w:highlight w:val="white"/>
        </w:rPr>
        <w:t>Universitas Islam Negeri Raden Fatah Palembang</w:t>
      </w:r>
    </w:p>
    <w:p w14:paraId="7B9CF94C">
      <w:pPr>
        <w:spacing w:after="0" w:line="240" w:lineRule="auto"/>
        <w:jc w:val="center"/>
        <w:rPr>
          <w:rFonts w:hint="default" w:ascii="Times New Roman" w:hAnsi="Times New Roman" w:eastAsia="Times New Roman" w:cs="Times New Roman"/>
          <w:color w:val="111111"/>
          <w:sz w:val="22"/>
          <w:szCs w:val="22"/>
          <w:highlight w:val="white"/>
        </w:rPr>
      </w:pPr>
      <w:r>
        <w:rPr>
          <w:rFonts w:hint="default" w:ascii="Times New Roman" w:hAnsi="Times New Roman" w:eastAsia="Times New Roman" w:cs="Times New Roman"/>
          <w:color w:val="111111"/>
          <w:sz w:val="22"/>
          <w:szCs w:val="22"/>
          <w:highlight w:val="white"/>
        </w:rPr>
        <w:t xml:space="preserve">Email: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"mailto:intanazzhraa@gmail.com" </w:instrText>
      </w:r>
      <w:r>
        <w:rPr>
          <w:rFonts w:hint="default" w:ascii="Times New Roman" w:hAnsi="Times New Roman" w:cs="Times New Roman"/>
          <w:sz w:val="22"/>
          <w:szCs w:val="22"/>
        </w:rPr>
        <w:fldChar w:fldCharType="separate"/>
      </w:r>
      <w:r>
        <w:rPr>
          <w:rStyle w:val="27"/>
          <w:rFonts w:hint="default" w:ascii="Times New Roman" w:hAnsi="Times New Roman" w:cs="Times New Roman"/>
          <w:sz w:val="22"/>
          <w:szCs w:val="22"/>
        </w:rPr>
        <w:t>intanazzhraa@gmail.com</w:t>
      </w:r>
      <w:r>
        <w:rPr>
          <w:rStyle w:val="27"/>
          <w:rFonts w:hint="default" w:ascii="Times New Roman" w:hAnsi="Times New Roman" w:cs="Times New Roman"/>
          <w:sz w:val="22"/>
          <w:szCs w:val="22"/>
        </w:rPr>
        <w:fldChar w:fldCharType="end"/>
      </w:r>
      <w:r>
        <w:rPr>
          <w:rFonts w:hint="default" w:ascii="Times New Roman" w:hAnsi="Times New Roman" w:cs="Times New Roman"/>
          <w:sz w:val="22"/>
          <w:szCs w:val="22"/>
        </w:rPr>
        <w:t xml:space="preserve"> </w:t>
      </w:r>
      <w:r>
        <w:rPr>
          <w:rFonts w:hint="default" w:ascii="Times New Roman" w:hAnsi="Times New Roman" w:cs="Times New Roman"/>
          <w:sz w:val="22"/>
          <w:szCs w:val="22"/>
          <w:vertAlign w:val="superscript"/>
        </w:rPr>
        <w:t>1</w:t>
      </w:r>
      <w:r>
        <w:rPr>
          <w:rFonts w:hint="default" w:ascii="Times New Roman" w:hAnsi="Times New Roman" w:cs="Times New Roman"/>
          <w:sz w:val="22"/>
          <w:szCs w:val="22"/>
        </w:rPr>
        <w:t xml:space="preserve">,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"mailto:umarabdullah@radenfatah.ac.id" </w:instrText>
      </w:r>
      <w:r>
        <w:rPr>
          <w:rFonts w:hint="default" w:ascii="Times New Roman" w:hAnsi="Times New Roman" w:cs="Times New Roman"/>
          <w:sz w:val="22"/>
          <w:szCs w:val="22"/>
        </w:rPr>
        <w:fldChar w:fldCharType="separate"/>
      </w:r>
      <w:r>
        <w:rPr>
          <w:rStyle w:val="27"/>
          <w:rFonts w:hint="default" w:ascii="Times New Roman" w:hAnsi="Times New Roman" w:cs="Times New Roman"/>
          <w:sz w:val="22"/>
          <w:szCs w:val="22"/>
        </w:rPr>
        <w:t>umarabdullah@radenfatah.ac.id</w:t>
      </w:r>
      <w:r>
        <w:rPr>
          <w:rStyle w:val="27"/>
          <w:rFonts w:hint="default" w:ascii="Times New Roman" w:hAnsi="Times New Roman" w:cs="Times New Roman"/>
          <w:sz w:val="22"/>
          <w:szCs w:val="22"/>
        </w:rPr>
        <w:fldChar w:fldCharType="end"/>
      </w:r>
      <w:r>
        <w:rPr>
          <w:rFonts w:hint="default" w:ascii="Times New Roman" w:hAnsi="Times New Roman" w:cs="Times New Roman"/>
          <w:sz w:val="22"/>
          <w:szCs w:val="22"/>
        </w:rPr>
        <w:t xml:space="preserve"> </w:t>
      </w:r>
      <w:r>
        <w:rPr>
          <w:rFonts w:hint="default" w:ascii="Times New Roman" w:hAnsi="Times New Roman" w:cs="Times New Roman"/>
          <w:sz w:val="22"/>
          <w:szCs w:val="22"/>
          <w:vertAlign w:val="superscript"/>
        </w:rPr>
        <w:t>2</w:t>
      </w:r>
      <w:r>
        <w:rPr>
          <w:rFonts w:hint="default" w:ascii="Times New Roman" w:hAnsi="Times New Roman" w:cs="Times New Roman"/>
          <w:sz w:val="22"/>
          <w:szCs w:val="22"/>
        </w:rPr>
        <w:t xml:space="preserve">,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"mailto:Fitrialyaoktasukma_Uin@radenfatah.ac.id" </w:instrText>
      </w:r>
      <w:r>
        <w:rPr>
          <w:rFonts w:hint="default" w:ascii="Times New Roman" w:hAnsi="Times New Roman" w:cs="Times New Roman"/>
          <w:sz w:val="22"/>
          <w:szCs w:val="22"/>
        </w:rPr>
        <w:fldChar w:fldCharType="separate"/>
      </w:r>
      <w:r>
        <w:rPr>
          <w:rStyle w:val="27"/>
          <w:rFonts w:hint="default" w:ascii="Times New Roman" w:hAnsi="Times New Roman" w:cs="Times New Roman"/>
          <w:sz w:val="22"/>
          <w:szCs w:val="22"/>
        </w:rPr>
        <w:t>Fitrialyaoktasukma_Uin@radenfatah.ac.id</w:t>
      </w:r>
      <w:r>
        <w:rPr>
          <w:rStyle w:val="27"/>
          <w:rFonts w:hint="default" w:ascii="Times New Roman" w:hAnsi="Times New Roman" w:cs="Times New Roman"/>
          <w:sz w:val="22"/>
          <w:szCs w:val="22"/>
        </w:rPr>
        <w:fldChar w:fldCharType="end"/>
      </w:r>
      <w:r>
        <w:rPr>
          <w:rFonts w:hint="default" w:ascii="Times New Roman" w:hAnsi="Times New Roman" w:cs="Times New Roman"/>
          <w:sz w:val="22"/>
          <w:szCs w:val="22"/>
        </w:rPr>
        <w:t xml:space="preserve"> </w:t>
      </w:r>
      <w:r>
        <w:rPr>
          <w:rFonts w:hint="default" w:ascii="Times New Roman" w:hAnsi="Times New Roman" w:cs="Times New Roman"/>
          <w:sz w:val="22"/>
          <w:szCs w:val="22"/>
          <w:vertAlign w:val="superscript"/>
        </w:rPr>
        <w:t>3</w:t>
      </w:r>
      <w:r>
        <w:rPr>
          <w:rFonts w:hint="default" w:ascii="Times New Roman" w:hAnsi="Times New Roman" w:eastAsia="Times New Roman" w:cs="Times New Roman"/>
          <w:sz w:val="22"/>
          <w:szCs w:val="22"/>
          <w:highlight w:val="white"/>
        </w:rPr>
        <w:t xml:space="preserve"> </w:t>
      </w:r>
    </w:p>
    <w:p w14:paraId="45617A60">
      <w:pPr>
        <w:ind w:right="283"/>
        <w:jc w:val="center"/>
        <w:rPr>
          <w:rFonts w:ascii="Times New Roman" w:hAnsi="Times New Roman"/>
          <w:b/>
        </w:rPr>
      </w:pPr>
    </w:p>
    <w:p w14:paraId="23315327">
      <w:pPr>
        <w:spacing w:after="0" w:line="240" w:lineRule="auto"/>
        <w:ind w:left="720" w:hanging="720"/>
        <w:jc w:val="both"/>
        <w:rPr>
          <w:rFonts w:hint="default" w:ascii="Times New Roman" w:hAnsi="Times New Roman" w:cs="Times New Roman"/>
          <w:i w:val="0"/>
          <w:iCs/>
          <w:sz w:val="22"/>
          <w:szCs w:val="22"/>
        </w:rPr>
      </w:pPr>
      <w:r>
        <w:rPr>
          <w:rFonts w:ascii="Times New Roman" w:hAnsi="Times New Roman"/>
          <w:b/>
        </w:rPr>
        <w:t xml:space="preserve">ABSTRACT: </w:t>
      </w:r>
      <w:r>
        <w:rPr>
          <w:rFonts w:hint="default" w:ascii="Times New Roman" w:hAnsi="Times New Roman" w:cs="Times New Roman"/>
          <w:i w:val="0"/>
          <w:iCs/>
          <w:sz w:val="22"/>
          <w:szCs w:val="22"/>
        </w:rPr>
        <w:t>This study aimed to examine the correlation between listening strategies and listening proficiency among tenth-grade students at SMA Negeri 14 Palembang. The research focused on three types of strategies: metacognitive, cognitive, and socio-affective. A quantitative correlational method was used, with data collected through a listening strategy questionnaire and the TOEFL Junior Listening Test. A total of 74 students participated in this study. The data were analyzed quantitatively using correlation and regression statistics. The results showed a significant positive correlation between listening strategies and listening proficiency. Socio-affective strategies were the most frequently used by the students. Furthermore, the regression analysis indicated that listening strategies contributed a modest but meaningful effect on students’ listening proficiency. The influence was relatively small, suggesting that most of the proficiency level was shaped by other factors not examined in this research. These findings offer valuable insights for teachers, students, and future researchers in supporting the development of effective listening skills in English language learning.</w:t>
      </w:r>
    </w:p>
    <w:p w14:paraId="3DECBF63">
      <w:pPr>
        <w:pStyle w:val="14"/>
        <w:spacing w:before="1"/>
        <w:ind w:left="0" w:right="97" w:firstLine="0"/>
        <w:rPr>
          <w:rFonts w:hint="default" w:ascii="Times New Roman" w:hAnsi="Times New Roman" w:cs="Times New Roman"/>
          <w:i w:val="0"/>
          <w:iCs/>
          <w:sz w:val="22"/>
          <w:szCs w:val="22"/>
        </w:rPr>
      </w:pPr>
    </w:p>
    <w:p w14:paraId="7821CAD0">
      <w:pPr>
        <w:spacing w:before="240"/>
        <w:ind w:left="540" w:right="429"/>
        <w:jc w:val="both"/>
        <w:rPr>
          <w:rFonts w:hint="default" w:ascii="Times New Roman" w:hAnsi="Times New Roman" w:cs="Times New Roman"/>
          <w:i w:val="0"/>
          <w:iCs/>
        </w:rPr>
      </w:pPr>
      <w:r>
        <w:rPr>
          <w:rFonts w:hint="default" w:ascii="Times New Roman" w:hAnsi="Times New Roman" w:cs="Times New Roman"/>
          <w:b/>
          <w:i w:val="0"/>
          <w:iCs/>
        </w:rPr>
        <w:t>Keywords:</w:t>
      </w:r>
      <w:r>
        <w:rPr>
          <w:rFonts w:hint="default" w:ascii="Times New Roman" w:hAnsi="Times New Roman" w:cs="Times New Roman"/>
          <w:i w:val="0"/>
          <w:iCs/>
        </w:rPr>
        <w:t xml:space="preserve"> listening strategies; listening proficiency; socio-affective; English learning</w:t>
      </w:r>
    </w:p>
    <w:p w14:paraId="5A91DBA1">
      <w:pPr>
        <w:contextualSpacing/>
        <w:rPr>
          <w:rFonts w:hint="default" w:ascii="Times New Roman" w:hAnsi="Times New Roman" w:cs="Times New Roman"/>
          <w:i w:val="0"/>
          <w:iCs/>
          <w:color w:val="FF0000"/>
        </w:rPr>
      </w:pPr>
      <w:r>
        <w:rPr>
          <w:i w:val="0"/>
          <w:iCs/>
          <w:lang w:eastAsia="id-ID"/>
        </w:rPr>
        <mc:AlternateContent>
          <mc:Choice Requires="wpg">
            <w:drawing>
              <wp:anchor distT="0" distB="0" distL="114300" distR="114300" simplePos="0" relativeHeight="251659264" behindDoc="0" locked="0" layoutInCell="1" allowOverlap="1">
                <wp:simplePos x="0" y="0"/>
                <wp:positionH relativeFrom="margin">
                  <wp:posOffset>-23495</wp:posOffset>
                </wp:positionH>
                <wp:positionV relativeFrom="paragraph">
                  <wp:posOffset>158115</wp:posOffset>
                </wp:positionV>
                <wp:extent cx="5467350" cy="28575"/>
                <wp:effectExtent l="0" t="0" r="19050" b="28575"/>
                <wp:wrapNone/>
                <wp:docPr id="11" name="Group 11"/>
                <wp:cNvGraphicFramePr/>
                <a:graphic xmlns:a="http://schemas.openxmlformats.org/drawingml/2006/main">
                  <a:graphicData uri="http://schemas.microsoft.com/office/word/2010/wordprocessingGroup">
                    <wpg:wgp>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id="_x0000_s1026" o:spid="_x0000_s1026" o:spt="203" style="position:absolute;left:0pt;margin-left:-1.85pt;margin-top:12.45pt;height:2.25pt;width:430.5pt;mso-position-horizontal-relative:margin;z-index:251659264;mso-width-relative:page;mso-height-relative:page;" coordsize="5467350,28575" o:gfxdata="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AB3gkY2gAAAAgBAAAPAAAAAAAAAAEA&#10;IAAAACIAAABkcnMvZG93bnJldi54bWxQSwECFAAUAAAACACHTuJArFTTI0YCAAC/BgAADgAAAAAA&#10;AAABACAAAAApAQAAZHJzL2Uyb0RvYy54bWxQSwUGAAAAAAYABgBZAQAA4QUAAAAA&#10;">
                <o:lock v:ext="edit" aspectratio="f"/>
                <v:line id="Straight Connector 2" o:spid="_x0000_s1026" o:spt="20" style="position:absolute;left:0;top:0;height:0;width:5467350;" filled="f" stroked="t" coordsize="21600,21600" o:gfxdata="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M3ZqS8AAAA&#10;2wAAAA8AAAAAAAAAAQAgAAAAIgAAAGRycy9kb3ducmV2LnhtbFBLAQIUABQAAAAIAIdO4kAzLwWe&#10;OwAAADkAAAAQAAAAAAAAAAEAIAAAAAsBAABkcnMvc2hhcGV4bWwueG1sUEsFBgAAAAAGAAYAWwEA&#10;ALUDAAAAAA==&#10;">
                  <v:fill on="f" focussize="0,0"/>
                  <v:stroke weight="1.5pt" color="#000000 [3213]" miterlimit="8" joinstyle="miter"/>
                  <v:imagedata o:title=""/>
                  <o:lock v:ext="edit" aspectratio="f"/>
                </v:line>
                <v:line id="Straight Connector 3" o:spid="_x0000_s1026" o:spt="20" style="position:absolute;left:0;top:28575;height:0;width:5467350;" filled="f" stroked="t" coordsize="21600,21600" o:gfxdata="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hdScW8AAAA&#10;2wAAAA8AAAAAAAAAAQAgAAAAIgAAAGRycy9kb3ducmV2LnhtbFBLAQIUABQAAAAIAIdO4kAzLwWe&#10;OwAAADkAAAAQAAAAAAAAAAEAIAAAAAsBAABkcnMvc2hhcGV4bWwueG1sUEsFBgAAAAAGAAYAWwEA&#10;ALUDAAAAAA==&#10;">
                  <v:fill on="f" focussize="0,0"/>
                  <v:stroke color="#000000 [3213]" miterlimit="8" joinstyle="miter"/>
                  <v:imagedata o:title=""/>
                  <o:lock v:ext="edit" aspectratio="f"/>
                </v:line>
              </v:group>
            </w:pict>
          </mc:Fallback>
        </mc:AlternateContent>
      </w:r>
    </w:p>
    <w:p w14:paraId="26AEC055">
      <w:pPr>
        <w:contextualSpacing/>
        <w:rPr>
          <w:i w:val="0"/>
          <w:iCs/>
          <w:lang w:eastAsia="id-ID"/>
        </w:rPr>
      </w:pPr>
    </w:p>
    <w:p w14:paraId="2333034E">
      <w:pPr>
        <w:contextualSpacing/>
        <w:rPr>
          <w:i w:val="0"/>
          <w:iCs/>
          <w:lang w:eastAsia="id-ID"/>
        </w:rPr>
      </w:pPr>
    </w:p>
    <w:p w14:paraId="7A27A1AD">
      <w:pPr>
        <w:contextualSpacing/>
        <w:jc w:val="center"/>
        <w:rPr>
          <w:rFonts w:hint="default" w:ascii="Times New Roman" w:hAnsi="Times New Roman"/>
          <w:b/>
          <w:i w:val="0"/>
          <w:iCs/>
        </w:rPr>
      </w:pPr>
      <w:r>
        <w:rPr>
          <w:rFonts w:hint="default" w:ascii="Times New Roman" w:hAnsi="Times New Roman"/>
          <w:b/>
          <w:i w:val="0"/>
          <w:iCs/>
        </w:rPr>
        <w:t>HUBUNGAN ANTARA STRATEGI MENDENGARKAN DAN KEMAMPUAN MENDENGARKAN SISWA KELAS SEPULUH</w:t>
      </w:r>
    </w:p>
    <w:p w14:paraId="59169D32">
      <w:pPr>
        <w:contextualSpacing/>
        <w:jc w:val="center"/>
        <w:rPr>
          <w:rFonts w:hint="default" w:ascii="Times New Roman" w:hAnsi="Times New Roman"/>
          <w:b/>
          <w:i w:val="0"/>
          <w:iCs/>
        </w:rPr>
      </w:pPr>
    </w:p>
    <w:p w14:paraId="678FB947">
      <w:pPr>
        <w:spacing w:line="240" w:lineRule="auto"/>
        <w:ind w:left="0" w:firstLine="0"/>
        <w:jc w:val="both"/>
        <w:rPr>
          <w:rFonts w:ascii="Times New Roman" w:hAnsi="Times New Roman" w:cs="Times New Roman"/>
          <w:i w:val="0"/>
          <w:iCs/>
        </w:rPr>
      </w:pPr>
      <w:r>
        <w:rPr>
          <w:rFonts w:ascii="Times New Roman" w:hAnsi="Times New Roman"/>
          <w:b/>
          <w:i w:val="0"/>
          <w:iCs/>
        </w:rPr>
        <w:t xml:space="preserve">ABSTRAK: </w:t>
      </w:r>
      <w:r>
        <w:rPr>
          <w:rFonts w:ascii="Times New Roman" w:hAnsi="Times New Roman" w:cs="Times New Roman"/>
          <w:i w:val="0"/>
          <w:iCs/>
        </w:rPr>
        <w:t xml:space="preserve">Penelitian ini bertujuan untuk mengkaji hubungan antara strategi menyimak dan </w:t>
      </w:r>
      <w:r>
        <w:rPr>
          <w:rFonts w:hint="default" w:ascii="Times New Roman" w:hAnsi="Times New Roman" w:cs="Times New Roman"/>
          <w:i w:val="0"/>
          <w:iCs/>
          <w:lang w:val="en-US"/>
        </w:rPr>
        <w:tab/>
      </w:r>
      <w:r>
        <w:rPr>
          <w:rFonts w:ascii="Times New Roman" w:hAnsi="Times New Roman" w:cs="Times New Roman"/>
          <w:i w:val="0"/>
          <w:iCs/>
        </w:rPr>
        <w:t xml:space="preserve">kemampuan menyimak pada siswa kelas sepuluh di SMA Negeri 14 Palembang. </w:t>
      </w:r>
      <w:r>
        <w:rPr>
          <w:rFonts w:hint="default" w:ascii="Times New Roman" w:hAnsi="Times New Roman" w:cs="Times New Roman"/>
          <w:i w:val="0"/>
          <w:iCs/>
          <w:lang w:val="en-US"/>
        </w:rPr>
        <w:tab/>
      </w:r>
      <w:r>
        <w:rPr>
          <w:rFonts w:ascii="Times New Roman" w:hAnsi="Times New Roman" w:cs="Times New Roman"/>
          <w:i w:val="0"/>
          <w:iCs/>
        </w:rPr>
        <w:t xml:space="preserve">Penelitian ini memfokuskan pada tiga jenis strategi, yaitu strategi metakognitif, kognitif, </w:t>
      </w:r>
      <w:r>
        <w:rPr>
          <w:rFonts w:hint="default" w:ascii="Times New Roman" w:hAnsi="Times New Roman" w:cs="Times New Roman"/>
          <w:i w:val="0"/>
          <w:iCs/>
          <w:lang w:val="en-US"/>
        </w:rPr>
        <w:tab/>
      </w:r>
      <w:r>
        <w:rPr>
          <w:rFonts w:ascii="Times New Roman" w:hAnsi="Times New Roman" w:cs="Times New Roman"/>
          <w:i w:val="0"/>
          <w:iCs/>
        </w:rPr>
        <w:t xml:space="preserve">dan sosial-afektif. Metode kuantitatif korelasional digunakan dalam penelitian ini, </w:t>
      </w:r>
      <w:r>
        <w:rPr>
          <w:rFonts w:hint="default" w:ascii="Times New Roman" w:hAnsi="Times New Roman" w:cs="Times New Roman"/>
          <w:i w:val="0"/>
          <w:iCs/>
          <w:lang w:val="en-US"/>
        </w:rPr>
        <w:tab/>
      </w:r>
      <w:r>
        <w:rPr>
          <w:rFonts w:ascii="Times New Roman" w:hAnsi="Times New Roman" w:cs="Times New Roman"/>
          <w:i w:val="0"/>
          <w:iCs/>
        </w:rPr>
        <w:t xml:space="preserve">dengan </w:t>
      </w:r>
      <w:r>
        <w:rPr>
          <w:rFonts w:hint="default" w:ascii="Times New Roman" w:hAnsi="Times New Roman" w:cs="Times New Roman"/>
          <w:i w:val="0"/>
          <w:iCs/>
          <w:lang w:val="en-US"/>
        </w:rPr>
        <w:tab/>
      </w:r>
      <w:r>
        <w:rPr>
          <w:rFonts w:ascii="Times New Roman" w:hAnsi="Times New Roman" w:cs="Times New Roman"/>
          <w:i w:val="0"/>
          <w:iCs/>
        </w:rPr>
        <w:t xml:space="preserve">data yang dikumpulkan melalui kuesioner strategi menyimak dan tes </w:t>
      </w:r>
      <w:r>
        <w:rPr>
          <w:rFonts w:ascii="Times New Roman" w:hAnsi="Times New Roman" w:cs="Times New Roman"/>
          <w:b w:val="0"/>
          <w:bCs w:val="0"/>
          <w:i w:val="0"/>
          <w:iCs/>
        </w:rPr>
        <w:t>TOEFL</w:t>
      </w:r>
      <w:r>
        <w:rPr>
          <w:rFonts w:ascii="Times New Roman" w:hAnsi="Times New Roman" w:cs="Times New Roman"/>
          <w:i w:val="0"/>
          <w:iCs/>
        </w:rPr>
        <w:t xml:space="preserve"> </w:t>
      </w:r>
      <w:r>
        <w:rPr>
          <w:rFonts w:hint="default" w:ascii="Times New Roman" w:hAnsi="Times New Roman" w:cs="Times New Roman"/>
          <w:i w:val="0"/>
          <w:iCs/>
          <w:lang w:val="en-US"/>
        </w:rPr>
        <w:tab/>
      </w:r>
      <w:r>
        <w:rPr>
          <w:rFonts w:ascii="Times New Roman" w:hAnsi="Times New Roman" w:cs="Times New Roman"/>
          <w:i w:val="0"/>
          <w:iCs/>
        </w:rPr>
        <w:t xml:space="preserve">Junior bagian Listening. Sebanyak 74 siswa berpartisipasi dalam penelitian ini. Data </w:t>
      </w:r>
      <w:r>
        <w:rPr>
          <w:rFonts w:hint="default" w:ascii="Times New Roman" w:hAnsi="Times New Roman" w:cs="Times New Roman"/>
          <w:i w:val="0"/>
          <w:iCs/>
          <w:lang w:val="en-US"/>
        </w:rPr>
        <w:tab/>
      </w:r>
      <w:r>
        <w:rPr>
          <w:rFonts w:ascii="Times New Roman" w:hAnsi="Times New Roman" w:cs="Times New Roman"/>
          <w:i w:val="0"/>
          <w:iCs/>
        </w:rPr>
        <w:t xml:space="preserve">dianalisis secara kuantitatif menggunakan statistik korelasi dan regresi. Hasil penelitian </w:t>
      </w:r>
      <w:r>
        <w:rPr>
          <w:rFonts w:hint="default" w:ascii="Times New Roman" w:hAnsi="Times New Roman" w:cs="Times New Roman"/>
          <w:i w:val="0"/>
          <w:iCs/>
          <w:lang w:val="en-US"/>
        </w:rPr>
        <w:tab/>
      </w:r>
      <w:r>
        <w:rPr>
          <w:rFonts w:ascii="Times New Roman" w:hAnsi="Times New Roman" w:cs="Times New Roman"/>
          <w:i w:val="0"/>
          <w:iCs/>
        </w:rPr>
        <w:t xml:space="preserve">menunjukkan adanya hubungan positif yang signifikan antara strategi menyimak dan </w:t>
      </w:r>
      <w:r>
        <w:rPr>
          <w:rFonts w:hint="default" w:ascii="Times New Roman" w:hAnsi="Times New Roman" w:cs="Times New Roman"/>
          <w:i w:val="0"/>
          <w:iCs/>
          <w:lang w:val="en-US"/>
        </w:rPr>
        <w:tab/>
      </w:r>
      <w:r>
        <w:rPr>
          <w:rFonts w:ascii="Times New Roman" w:hAnsi="Times New Roman" w:cs="Times New Roman"/>
          <w:i w:val="0"/>
          <w:iCs/>
        </w:rPr>
        <w:t xml:space="preserve">kemampuan menyimak. Strategi sosial-afektif merupakan strategi yang paling sering </w:t>
      </w:r>
      <w:r>
        <w:rPr>
          <w:rFonts w:hint="default" w:ascii="Times New Roman" w:hAnsi="Times New Roman" w:cs="Times New Roman"/>
          <w:i w:val="0"/>
          <w:iCs/>
          <w:lang w:val="en-US"/>
        </w:rPr>
        <w:tab/>
      </w:r>
      <w:r>
        <w:rPr>
          <w:rFonts w:ascii="Times New Roman" w:hAnsi="Times New Roman" w:cs="Times New Roman"/>
          <w:i w:val="0"/>
          <w:iCs/>
        </w:rPr>
        <w:t xml:space="preserve">digunakan oleh para siswa. Selain itu, analisis regresi menunjukkan bahwa strategi </w:t>
      </w:r>
      <w:r>
        <w:rPr>
          <w:rFonts w:hint="default" w:ascii="Times New Roman" w:hAnsi="Times New Roman" w:cs="Times New Roman"/>
          <w:i w:val="0"/>
          <w:iCs/>
          <w:lang w:val="en-US"/>
        </w:rPr>
        <w:tab/>
      </w:r>
      <w:r>
        <w:rPr>
          <w:rFonts w:ascii="Times New Roman" w:hAnsi="Times New Roman" w:cs="Times New Roman"/>
          <w:i w:val="0"/>
          <w:iCs/>
        </w:rPr>
        <w:t xml:space="preserve">memberikan kontribusi yang kecil namun bermakna terhadap kemampuan menyimak </w:t>
      </w:r>
      <w:r>
        <w:rPr>
          <w:rFonts w:hint="default" w:ascii="Times New Roman" w:hAnsi="Times New Roman" w:cs="Times New Roman"/>
          <w:i w:val="0"/>
          <w:iCs/>
          <w:lang w:val="en-US"/>
        </w:rPr>
        <w:tab/>
      </w:r>
      <w:r>
        <w:rPr>
          <w:rFonts w:ascii="Times New Roman" w:hAnsi="Times New Roman" w:cs="Times New Roman"/>
          <w:i w:val="0"/>
          <w:iCs/>
        </w:rPr>
        <w:t xml:space="preserve">siswa. Pengaruhnya relatif kecil, yang menunjukkan bahwa sebagian besar tingkat </w:t>
      </w:r>
      <w:r>
        <w:rPr>
          <w:rFonts w:hint="default" w:ascii="Times New Roman" w:hAnsi="Times New Roman" w:cs="Times New Roman"/>
          <w:i w:val="0"/>
          <w:iCs/>
          <w:lang w:val="en-US"/>
        </w:rPr>
        <w:tab/>
      </w:r>
      <w:r>
        <w:rPr>
          <w:rFonts w:ascii="Times New Roman" w:hAnsi="Times New Roman" w:cs="Times New Roman"/>
          <w:i w:val="0"/>
          <w:iCs/>
        </w:rPr>
        <w:t xml:space="preserve">kemampuan menyimak dibentuk oleh faktor-faktor lain yang tidak diteliti dalam </w:t>
      </w:r>
      <w:r>
        <w:rPr>
          <w:rFonts w:hint="default" w:ascii="Times New Roman" w:hAnsi="Times New Roman" w:cs="Times New Roman"/>
          <w:i w:val="0"/>
          <w:iCs/>
          <w:lang w:val="en-US"/>
        </w:rPr>
        <w:tab/>
      </w:r>
      <w:r>
        <w:rPr>
          <w:rFonts w:ascii="Times New Roman" w:hAnsi="Times New Roman" w:cs="Times New Roman"/>
          <w:i w:val="0"/>
          <w:iCs/>
        </w:rPr>
        <w:t xml:space="preserve">penelitian ini. Temuan ini memberikan wawasan yang berharga bagi guru, siswa, dan </w:t>
      </w:r>
      <w:r>
        <w:rPr>
          <w:rFonts w:hint="default" w:ascii="Times New Roman" w:hAnsi="Times New Roman" w:cs="Times New Roman"/>
          <w:i w:val="0"/>
          <w:iCs/>
          <w:lang w:val="en-US"/>
        </w:rPr>
        <w:tab/>
      </w:r>
      <w:r>
        <w:rPr>
          <w:rFonts w:ascii="Times New Roman" w:hAnsi="Times New Roman" w:cs="Times New Roman"/>
          <w:i w:val="0"/>
          <w:iCs/>
        </w:rPr>
        <w:t xml:space="preserve">peneliti selanjutnya dalam mendukung pengembangan keterampilan menyimak yang </w:t>
      </w:r>
      <w:r>
        <w:rPr>
          <w:rFonts w:hint="default" w:ascii="Times New Roman" w:hAnsi="Times New Roman" w:cs="Times New Roman"/>
          <w:i w:val="0"/>
          <w:iCs/>
          <w:lang w:val="en-US"/>
        </w:rPr>
        <w:tab/>
      </w:r>
      <w:r>
        <w:rPr>
          <w:rFonts w:ascii="Times New Roman" w:hAnsi="Times New Roman" w:cs="Times New Roman"/>
          <w:i w:val="0"/>
          <w:iCs/>
        </w:rPr>
        <w:t>efektif dalam pembelajaran bahasa Inggris.</w:t>
      </w:r>
    </w:p>
    <w:p w14:paraId="624B2EC0">
      <w:pPr>
        <w:tabs>
          <w:tab w:val="left" w:pos="8647"/>
        </w:tabs>
        <w:spacing w:before="240"/>
        <w:ind w:left="540" w:right="429"/>
        <w:rPr>
          <w:rFonts w:ascii="Times New Roman" w:hAnsi="Times New Roman"/>
          <w:i w:val="0"/>
          <w:iCs/>
        </w:rPr>
        <w:sectPr>
          <w:headerReference r:id="rId3" w:type="default"/>
          <w:footerReference r:id="rId4" w:type="default"/>
          <w:type w:val="nextColumn"/>
          <w:pgSz w:w="11907" w:h="16840"/>
          <w:pgMar w:top="1701" w:right="1701" w:bottom="1701" w:left="1701" w:header="720" w:footer="720" w:gutter="0"/>
          <w:cols w:space="708" w:num="1"/>
          <w:docGrid w:linePitch="299" w:charSpace="0"/>
        </w:sectPr>
      </w:pPr>
      <w:r>
        <w:rPr>
          <w:b/>
          <w:i w:val="0"/>
          <w:iCs/>
        </w:rPr>
        <w:t xml:space="preserve">Kata kunci: </w:t>
      </w:r>
      <w:r>
        <w:rPr>
          <w:rFonts w:ascii="Times New Roman" w:hAnsi="Times New Roman" w:cs="Times New Roman"/>
          <w:i w:val="0"/>
          <w:iCs/>
        </w:rPr>
        <w:t>strategi menyimak; kemampuan menyimak; social-afektif; pembelajaran bahasa Inggris</w:t>
      </w:r>
      <w:r>
        <w:rPr>
          <w:rFonts w:ascii="Times New Roman" w:hAnsi="Times New Roman"/>
          <w:i w:val="0"/>
          <w:iCs/>
        </w:rPr>
        <w:t>)</w:t>
      </w:r>
    </w:p>
    <w:p w14:paraId="0F81C328">
      <w:pPr>
        <w:spacing w:line="360" w:lineRule="auto"/>
        <w:ind w:right="-46"/>
        <w:jc w:val="both"/>
        <w:rPr>
          <w:rFonts w:ascii="Times New Roman" w:hAnsi="Times New Roman"/>
          <w:b/>
          <w:bCs/>
          <w:sz w:val="24"/>
          <w:szCs w:val="24"/>
        </w:rPr>
      </w:pPr>
      <w:r>
        <w:rPr>
          <w:rFonts w:ascii="Times New Roman" w:hAnsi="Times New Roman"/>
          <w:b/>
          <w:bCs/>
          <w:sz w:val="24"/>
          <w:szCs w:val="24"/>
        </w:rPr>
        <w:t>INTRODUCTION</w:t>
      </w:r>
    </w:p>
    <w:p w14:paraId="0B9C8689">
      <w:pPr>
        <w:pStyle w:val="28"/>
        <w:spacing w:before="0" w:beforeAutospacing="0" w:after="0" w:afterAutospacing="0"/>
        <w:ind w:firstLine="567"/>
        <w:jc w:val="both"/>
      </w:pPr>
      <w:r>
        <w:rPr>
          <w:position w:val="-6"/>
          <w:sz w:val="70"/>
          <w:lang w:eastAsia="id-ID"/>
        </w:rPr>
        <w:t xml:space="preserve">   </w:t>
      </w:r>
      <w:r>
        <w:t>Listening was the first skill acquired before speaking, reading, and writing. Wahyuni (2019) stated that listening, a fundamental language skill, was crucial in language learning. It was an activity frequently engaged in during daily life. The ability to hear, identify, comprehend, and interpret spoken language was essential for effective communication. Listening went beyond merely hearing; it required focus on the speaker’s message. Darweesh (2014) stated that both teachers and students must recognize the importance of listening comprehension for academic success. High school students especially needed it to understand material, follow discussions, presentations, and seminars, and pass the listening section of the national exam.</w:t>
      </w:r>
    </w:p>
    <w:p w14:paraId="02315C58">
      <w:pPr>
        <w:pStyle w:val="28"/>
        <w:spacing w:before="0" w:beforeAutospacing="0" w:after="0" w:afterAutospacing="0"/>
        <w:ind w:firstLine="567"/>
        <w:jc w:val="both"/>
      </w:pPr>
      <w:r>
        <w:t>However, many students struggled with listening due to internal and external factors. Internal factors included poor concentration and limited vocabulary. Technical issues or hearing problems also disrupted listening. Concentration significantly affected comprehension (Partiwi &amp; Andriyanti, 2019). Darti and Asmawati (2017) explained that nervousness or anxiety could cause students to lose focus. External factors, such as speaker delivery, motivation, and context, also impacted listening (Sari &amp; Fithriyana, 2019). Students struggled when the speaker talked too fast or when topics were unfamiliar, making comprehension more difficult.</w:t>
      </w:r>
    </w:p>
    <w:p w14:paraId="60ECACD8">
      <w:pPr>
        <w:pStyle w:val="28"/>
        <w:spacing w:before="0" w:beforeAutospacing="0" w:after="0" w:afterAutospacing="0"/>
        <w:ind w:firstLine="567"/>
        <w:jc w:val="both"/>
      </w:pPr>
      <w:r>
        <w:t>Teachers needed to support students in improving listening skills by selecting quality materials, appropriate methods, and teaching strategies. Ayu and Zuraida (2020) asserted that instructional techniques benefited students. Teaching listening strategies was vital but often neglected at lower levels. Yulisa (2017) defined listening strategies as techniques used to understand spoken input.</w:t>
      </w:r>
    </w:p>
    <w:p w14:paraId="04F17666">
      <w:pPr>
        <w:pStyle w:val="28"/>
        <w:spacing w:before="0" w:beforeAutospacing="0" w:after="0" w:afterAutospacing="0"/>
        <w:ind w:firstLine="567"/>
        <w:jc w:val="both"/>
      </w:pPr>
      <w:r>
        <w:t>Research aimed to help learners improve comprehension through strategic listening (Ebadi &amp; Oroji, 2016). Strategic listening required awareness, selection, and application of suitable strategies (Amin et al., 2022). These included plans and behaviors that helped learners process information more effectively (Amin et al., 2011, as cited in Anggraeni et al., 2023). Vandergrift (1997, as cited in Rizky, 2020) categorized listening strategies into metacognitive, cognitive, and socio-affective. Metacognitive strategies involved planning and evaluating. Cognitive strategies included note-taking and identifying key words. Socio-affective strategies involved peer interaction and building confidence. Gilakjani and Sabouri (2016) recommended teachers encourage these strategies.</w:t>
      </w:r>
    </w:p>
    <w:p w14:paraId="46243675">
      <w:pPr>
        <w:pStyle w:val="28"/>
        <w:spacing w:before="0" w:beforeAutospacing="0" w:after="0" w:afterAutospacing="0"/>
        <w:ind w:firstLine="567"/>
        <w:jc w:val="both"/>
      </w:pPr>
      <w:r>
        <w:t>This study focused on SMA Negeri 14 Palembang. A preliminary interview with a tenth-grade English teacher showed that students lacked awareness of listening strategies, although they learned listening in class. Therefore, the researcher decided to examine the relationship between listening strategies and listening proficiency. Previous studies showed different results. Rizky and Anggraini (2022) found metacognitive strategies most influential, Maria (2018) emphasized cognitive strategies, and Yanti (2016) found socio-affective strategies most used. Given these differences, this study aimed to identify the most frequently used strategies by tenth-grade students at SMA Negeri 14 Palembang and determine their correlation with listening proficiency.</w:t>
      </w:r>
    </w:p>
    <w:p w14:paraId="7513B0BC">
      <w:pPr>
        <w:pStyle w:val="28"/>
        <w:spacing w:before="0" w:beforeAutospacing="0" w:after="0" w:afterAutospacing="0"/>
        <w:ind w:firstLine="567"/>
        <w:jc w:val="both"/>
      </w:pPr>
    </w:p>
    <w:p w14:paraId="323B666C">
      <w:pPr>
        <w:pStyle w:val="28"/>
        <w:spacing w:before="0" w:beforeAutospacing="0" w:after="0" w:afterAutospacing="0"/>
        <w:ind w:firstLine="567"/>
        <w:jc w:val="both"/>
      </w:pPr>
    </w:p>
    <w:p w14:paraId="0C834CD4">
      <w:pPr>
        <w:pStyle w:val="71"/>
        <w:contextualSpacing/>
        <w:rPr>
          <w:sz w:val="24"/>
        </w:rPr>
      </w:pPr>
    </w:p>
    <w:p w14:paraId="411183B9">
      <w:pPr>
        <w:pStyle w:val="71"/>
        <w:contextualSpacing/>
        <w:rPr>
          <w:sz w:val="24"/>
        </w:rPr>
      </w:pPr>
    </w:p>
    <w:p w14:paraId="1B536BAA">
      <w:pPr>
        <w:pStyle w:val="71"/>
        <w:contextualSpacing/>
        <w:rPr>
          <w:sz w:val="24"/>
        </w:rPr>
      </w:pPr>
    </w:p>
    <w:p w14:paraId="57F72FF7">
      <w:pPr>
        <w:jc w:val="both"/>
        <w:rPr>
          <w:rFonts w:ascii="Times New Roman" w:hAnsi="Times New Roman"/>
          <w:b/>
          <w:sz w:val="24"/>
          <w:szCs w:val="24"/>
        </w:rPr>
      </w:pPr>
    </w:p>
    <w:p w14:paraId="6A0164BE">
      <w:pPr>
        <w:pBdr>
          <w:top w:val="none" w:color="auto" w:sz="0" w:space="0"/>
          <w:left w:val="none" w:color="auto" w:sz="0" w:space="0"/>
          <w:bottom w:val="none" w:color="auto" w:sz="0" w:space="0"/>
          <w:right w:val="none" w:color="auto" w:sz="0" w:space="0"/>
          <w:between w:val="none" w:color="auto" w:sz="0" w:space="0"/>
        </w:pBdr>
        <w:spacing w:after="0" w:line="240" w:lineRule="auto"/>
        <w:rPr>
          <w:rFonts w:ascii="Times New Roman" w:hAnsi="Times New Roman" w:eastAsia="Times New Roman" w:cs="Times New Roman"/>
          <w:b/>
          <w:color w:val="000000"/>
        </w:rPr>
      </w:pPr>
      <w:r>
        <w:rPr>
          <w:rFonts w:ascii="Times New Roman" w:hAnsi="Times New Roman" w:eastAsia="Times New Roman" w:cs="Times New Roman"/>
          <w:b/>
          <w:color w:val="000000"/>
        </w:rPr>
        <w:t>RESEARCH</w:t>
      </w:r>
      <w:r>
        <w:rPr>
          <w:rFonts w:hint="default" w:ascii="Times New Roman" w:hAnsi="Times New Roman" w:eastAsia="Times New Roman" w:cs="Times New Roman"/>
          <w:b/>
          <w:color w:val="000000"/>
          <w:lang w:val="en-US"/>
        </w:rPr>
        <w:t xml:space="preserve"> </w:t>
      </w:r>
      <w:r>
        <w:rPr>
          <w:rFonts w:ascii="Times New Roman" w:hAnsi="Times New Roman" w:eastAsia="Times New Roman" w:cs="Times New Roman"/>
          <w:b/>
          <w:color w:val="000000"/>
        </w:rPr>
        <w:t xml:space="preserve"> METHOD</w:t>
      </w:r>
    </w:p>
    <w:p w14:paraId="1E9B0EE5">
      <w:pPr>
        <w:pBdr>
          <w:top w:val="none" w:color="auto" w:sz="0" w:space="0"/>
          <w:left w:val="none" w:color="auto" w:sz="0" w:space="0"/>
          <w:bottom w:val="none" w:color="auto" w:sz="0" w:space="0"/>
          <w:right w:val="none" w:color="auto" w:sz="0" w:space="0"/>
          <w:between w:val="none" w:color="auto" w:sz="0" w:space="0"/>
        </w:pBdr>
        <w:spacing w:after="0" w:line="240" w:lineRule="auto"/>
        <w:rPr>
          <w:rFonts w:ascii="Times New Roman" w:hAnsi="Times New Roman" w:eastAsia="Times New Roman" w:cs="Times New Roman"/>
          <w:b/>
          <w:color w:val="C55911"/>
        </w:rPr>
      </w:pPr>
    </w:p>
    <w:p w14:paraId="1AB05880">
      <w:pPr>
        <w:pStyle w:val="28"/>
        <w:spacing w:before="0" w:beforeAutospacing="0" w:after="0" w:afterAutospacing="0"/>
        <w:ind w:firstLine="567"/>
        <w:jc w:val="both"/>
      </w:pPr>
      <w:r>
        <w:t>This study used a correlational research design with explanatory and predictive approaches. It aimed to determine the correlation between listening strategies and listening proficiency. The procedure involved identifying students’ listening strategies through a questionnaire, assessing their listening proficiency using the TOEFL Junior Listening Test, and analyzing the correlation and influence using SPSS. The independent variable was students’ listening strategies, while the dependent variable was their listening proficiency. Listening strategies were categorized into metacognitive, cognitive, and socio-affective strategies. Listening proficiency referred to students’ ability to comprehend spoken English, measured by the listening test.</w:t>
      </w:r>
    </w:p>
    <w:p w14:paraId="111CDF0C">
      <w:pPr>
        <w:pStyle w:val="28"/>
        <w:spacing w:before="0" w:beforeAutospacing="0" w:after="0" w:afterAutospacing="0"/>
        <w:ind w:firstLine="567"/>
        <w:jc w:val="both"/>
      </w:pPr>
      <w:r>
        <w:t>The population of this study consisted of all tenth-grade students at SMA Negeri 14 Palembang, totaling 329 students. The sample included 107 students from classes E1, E8, and E9, selected using convenience sampling. Data were collected using a closed-ended questionnaire adapted from Pertiwi (2017), consisting of 18 items: 5 metacognitive, 4 cognitive, and 9 socio-affective. Students rated each item on a five-point Likert scale. The listening proficiency test used was the TOEFL Junior Listening Test, consisting of 42 multiple-choice questions and administered over 60 minutes.</w:t>
      </w:r>
    </w:p>
    <w:p w14:paraId="0A3F6FEF">
      <w:pPr>
        <w:pStyle w:val="28"/>
        <w:spacing w:before="0" w:beforeAutospacing="0" w:after="0" w:afterAutospacing="0"/>
        <w:ind w:firstLine="567"/>
        <w:jc w:val="both"/>
      </w:pPr>
      <w:r>
        <w:t>The questionnaire had a Cronbach’s Alpha of 0.84, indicating high reliability. The listening test was a standardized and valid instrument developed by ETS. Data analysis involved descriptive statistics, Pearson Product-Moment correlation, and regression analysis using SPSS to examine the relationship and the influence of listening strategies on listening proficiency.</w:t>
      </w:r>
    </w:p>
    <w:p w14:paraId="5B112080">
      <w:pPr>
        <w:pStyle w:val="28"/>
        <w:spacing w:before="0" w:beforeAutospacing="0" w:after="0" w:afterAutospacing="0"/>
        <w:ind w:firstLine="567"/>
        <w:jc w:val="both"/>
      </w:pPr>
    </w:p>
    <w:p w14:paraId="1BF68E8C">
      <w:pPr>
        <w:pBdr>
          <w:top w:val="none" w:color="auto" w:sz="0" w:space="0"/>
          <w:left w:val="none" w:color="auto" w:sz="0" w:space="0"/>
          <w:bottom w:val="none" w:color="auto" w:sz="0" w:space="0"/>
          <w:right w:val="none" w:color="auto" w:sz="0" w:space="0"/>
          <w:between w:val="none" w:color="auto" w:sz="0" w:space="0"/>
        </w:pBdr>
        <w:spacing w:after="0" w:line="240" w:lineRule="auto"/>
        <w:rPr>
          <w:rFonts w:ascii="Times New Roman" w:hAnsi="Times New Roman" w:eastAsia="Times New Roman" w:cs="Times New Roman"/>
          <w:b/>
          <w:color w:val="C55911"/>
        </w:rPr>
      </w:pPr>
      <w:r>
        <w:rPr>
          <w:rFonts w:ascii="Times New Roman" w:hAnsi="Times New Roman" w:eastAsia="Times New Roman" w:cs="Times New Roman"/>
          <w:b/>
          <w:color w:val="000000"/>
        </w:rPr>
        <w:t xml:space="preserve">FINDINGS AND DISCUSSION </w:t>
      </w:r>
    </w:p>
    <w:p w14:paraId="013D27FD">
      <w:pPr>
        <w:pBdr>
          <w:top w:val="none" w:color="auto" w:sz="0" w:space="0"/>
          <w:left w:val="none" w:color="auto" w:sz="0" w:space="0"/>
          <w:bottom w:val="none" w:color="auto" w:sz="0" w:space="0"/>
          <w:right w:val="none" w:color="auto" w:sz="0" w:space="0"/>
          <w:between w:val="none" w:color="auto" w:sz="0" w:space="0"/>
        </w:pBdr>
        <w:spacing w:after="0" w:line="240" w:lineRule="auto"/>
        <w:rPr>
          <w:rFonts w:ascii="Times New Roman" w:hAnsi="Times New Roman" w:eastAsia="Times New Roman" w:cs="Times New Roman"/>
          <w:b/>
          <w:color w:val="538135"/>
        </w:rPr>
      </w:pPr>
    </w:p>
    <w:p w14:paraId="7ED3BB6C">
      <w:pPr>
        <w:pStyle w:val="2"/>
        <w:widowControl w:val="0"/>
        <w:numPr>
          <w:ilvl w:val="0"/>
          <w:numId w:val="1"/>
        </w:numPr>
        <w:autoSpaceDE w:val="0"/>
        <w:autoSpaceDN w:val="0"/>
        <w:spacing w:before="0" w:beforeAutospacing="0" w:after="0" w:afterAutospacing="0"/>
        <w:ind w:left="426"/>
        <w:rPr>
          <w:sz w:val="24"/>
          <w:szCs w:val="24"/>
        </w:rPr>
      </w:pPr>
      <w:r>
        <w:rPr>
          <w:spacing w:val="-2"/>
          <w:sz w:val="24"/>
          <w:szCs w:val="24"/>
        </w:rPr>
        <w:t>Result</w:t>
      </w:r>
    </w:p>
    <w:p w14:paraId="543D80E0">
      <w:pPr>
        <w:pStyle w:val="28"/>
        <w:spacing w:before="0" w:beforeAutospacing="0" w:after="0" w:afterAutospacing="0"/>
        <w:ind w:firstLine="567"/>
        <w:jc w:val="both"/>
      </w:pPr>
      <w:r>
        <w:t>The total population of tenth-grade students at SMA Negeri 14 Palembang was 101, with 76 students participating in the study. Listening strategies were examined through a questionnaire using a 5-point Likert scale, ranging from (1) strongly disagree to (5) strongly agree. The questionnaire responses were analyzed using SPSS with Cronbach’s Alpha to determine internal consistency.</w:t>
      </w:r>
    </w:p>
    <w:p w14:paraId="5A3025AC">
      <w:pPr>
        <w:pStyle w:val="28"/>
        <w:spacing w:before="0" w:beforeAutospacing="0" w:after="0" w:afterAutospacing="0"/>
        <w:ind w:firstLine="567"/>
        <w:jc w:val="both"/>
      </w:pPr>
      <w:r>
        <w:t>Each student’s total response was divided by the number of items in each strategy category. The strategy with the highest average score represented the most frequently used. Overall strategy usage was calculated by dividing the total sum by 16 items, resulting in a score ranging from 1.0 to 5.0. SPSS analysis showed a maximum score of 70, a minimum of 40, a mean score of 59.41, and a standard deviation of 6.47.</w:t>
      </w:r>
    </w:p>
    <w:p w14:paraId="6CBF6956">
      <w:pPr>
        <w:pStyle w:val="28"/>
        <w:spacing w:before="0" w:beforeAutospacing="0" w:after="0" w:afterAutospacing="0"/>
        <w:ind w:firstLine="567"/>
        <w:jc w:val="both"/>
      </w:pPr>
    </w:p>
    <w:p w14:paraId="63A47511">
      <w:pPr>
        <w:pStyle w:val="28"/>
        <w:spacing w:before="0" w:beforeAutospacing="0" w:after="0" w:afterAutospacing="0"/>
        <w:ind w:firstLine="567"/>
        <w:jc w:val="both"/>
      </w:pPr>
    </w:p>
    <w:p w14:paraId="0482B95D">
      <w:pPr>
        <w:pStyle w:val="28"/>
        <w:spacing w:before="0" w:beforeAutospacing="0" w:after="0" w:afterAutospacing="0"/>
        <w:ind w:firstLine="567"/>
        <w:jc w:val="both"/>
      </w:pPr>
    </w:p>
    <w:p w14:paraId="38002E8F">
      <w:pPr>
        <w:pStyle w:val="28"/>
        <w:spacing w:before="0" w:beforeAutospacing="0" w:after="0" w:afterAutospacing="0"/>
        <w:ind w:firstLine="567"/>
        <w:jc w:val="both"/>
      </w:pPr>
    </w:p>
    <w:p w14:paraId="276899E1">
      <w:pPr>
        <w:pStyle w:val="28"/>
        <w:spacing w:before="0" w:beforeAutospacing="0" w:after="0" w:afterAutospacing="0"/>
        <w:ind w:firstLine="567"/>
        <w:jc w:val="both"/>
      </w:pPr>
    </w:p>
    <w:p w14:paraId="2BDA86BE">
      <w:pPr>
        <w:pStyle w:val="28"/>
        <w:spacing w:before="0" w:beforeAutospacing="0" w:after="0" w:afterAutospacing="0"/>
        <w:ind w:firstLine="567"/>
        <w:jc w:val="both"/>
      </w:pPr>
    </w:p>
    <w:p w14:paraId="692F9B54">
      <w:pPr>
        <w:pStyle w:val="28"/>
        <w:spacing w:before="0" w:beforeAutospacing="0" w:after="0" w:afterAutospacing="0"/>
        <w:ind w:firstLine="567"/>
        <w:jc w:val="both"/>
      </w:pPr>
    </w:p>
    <w:p w14:paraId="639D387A">
      <w:pPr>
        <w:pStyle w:val="28"/>
        <w:spacing w:before="0" w:beforeAutospacing="0" w:after="0" w:afterAutospacing="0"/>
        <w:ind w:firstLine="567"/>
        <w:jc w:val="both"/>
      </w:pPr>
    </w:p>
    <w:p w14:paraId="02E8E170">
      <w:pPr>
        <w:pStyle w:val="28"/>
        <w:spacing w:before="0" w:beforeAutospacing="0" w:after="0" w:afterAutospacing="0"/>
        <w:ind w:firstLine="567"/>
        <w:jc w:val="both"/>
      </w:pPr>
    </w:p>
    <w:p w14:paraId="63637960">
      <w:pPr>
        <w:pStyle w:val="28"/>
        <w:spacing w:before="0" w:beforeAutospacing="0" w:after="0" w:afterAutospacing="0"/>
        <w:ind w:firstLine="567"/>
        <w:jc w:val="both"/>
      </w:pPr>
    </w:p>
    <w:p w14:paraId="38523EC7">
      <w:pPr>
        <w:pStyle w:val="28"/>
        <w:spacing w:before="0" w:beforeAutospacing="0" w:after="0" w:afterAutospacing="0"/>
        <w:ind w:firstLine="567"/>
        <w:jc w:val="both"/>
      </w:pPr>
    </w:p>
    <w:p w14:paraId="0A4207F7">
      <w:pPr>
        <w:pStyle w:val="28"/>
        <w:spacing w:before="0" w:beforeAutospacing="0" w:after="0" w:afterAutospacing="0"/>
        <w:ind w:firstLine="567"/>
        <w:jc w:val="left"/>
      </w:pPr>
    </w:p>
    <w:p w14:paraId="7CBC52D7">
      <w:pPr>
        <w:pBdr>
          <w:top w:val="none" w:color="auto" w:sz="0" w:space="0"/>
          <w:left w:val="none" w:color="auto" w:sz="0" w:space="0"/>
          <w:bottom w:val="none" w:color="auto" w:sz="0" w:space="0"/>
          <w:right w:val="none" w:color="auto" w:sz="0" w:space="0"/>
          <w:between w:val="none" w:color="auto" w:sz="0" w:space="0"/>
        </w:pBdr>
        <w:spacing w:after="0" w:line="240" w:lineRule="auto"/>
        <w:jc w:val="left"/>
        <w:rPr>
          <w:rFonts w:ascii="Times New Roman" w:hAnsi="Times New Roman" w:eastAsia="Times New Roman" w:cs="Times New Roman"/>
          <w:color w:val="000000"/>
        </w:rPr>
      </w:pPr>
      <w:r>
        <w:rPr>
          <w:rFonts w:ascii="Times New Roman" w:hAnsi="Times New Roman" w:eastAsia="Times New Roman" w:cs="Times New Roman"/>
          <w:color w:val="000000"/>
        </w:rPr>
        <w:t>Table 1. Descriptive Statistics</w:t>
      </w:r>
    </w:p>
    <w:tbl>
      <w:tblPr>
        <w:tblStyle w:val="12"/>
        <w:tblpPr w:leftFromText="180" w:rightFromText="180" w:vertAnchor="text" w:horzAnchor="margin" w:tblpY="119"/>
        <w:tblW w:w="7830" w:type="dxa"/>
        <w:tblInd w:w="0" w:type="dxa"/>
        <w:tblLayout w:type="fixed"/>
        <w:tblCellMar>
          <w:top w:w="0" w:type="dxa"/>
          <w:left w:w="0" w:type="dxa"/>
          <w:bottom w:w="0" w:type="dxa"/>
          <w:right w:w="0" w:type="dxa"/>
        </w:tblCellMar>
      </w:tblPr>
      <w:tblGrid>
        <w:gridCol w:w="1750"/>
        <w:gridCol w:w="754"/>
        <w:gridCol w:w="1458"/>
        <w:gridCol w:w="1177"/>
        <w:gridCol w:w="914"/>
        <w:gridCol w:w="1777"/>
      </w:tblGrid>
      <w:tr w14:paraId="6A925A74">
        <w:tblPrEx>
          <w:tblCellMar>
            <w:top w:w="0" w:type="dxa"/>
            <w:left w:w="0" w:type="dxa"/>
            <w:bottom w:w="0" w:type="dxa"/>
            <w:right w:w="0" w:type="dxa"/>
          </w:tblCellMar>
        </w:tblPrEx>
        <w:trPr>
          <w:trHeight w:val="654" w:hRule="atLeast"/>
        </w:trPr>
        <w:tc>
          <w:tcPr>
            <w:tcW w:w="7830" w:type="dxa"/>
            <w:gridSpan w:val="6"/>
            <w:tcBorders>
              <w:top w:val="nil"/>
              <w:left w:val="nil"/>
              <w:bottom w:val="single" w:color="000000" w:sz="4" w:space="0"/>
              <w:right w:val="nil"/>
            </w:tcBorders>
          </w:tcPr>
          <w:p w14:paraId="7FA75B0D">
            <w:pPr>
              <w:tabs>
                <w:tab w:val="left" w:pos="1239"/>
              </w:tabs>
              <w:rPr>
                <w:lang w:val="en-US" w:eastAsia="en-US"/>
              </w:rPr>
            </w:pPr>
          </w:p>
        </w:tc>
      </w:tr>
      <w:tr w14:paraId="3656B888">
        <w:tblPrEx>
          <w:tblCellMar>
            <w:top w:w="0" w:type="dxa"/>
            <w:left w:w="0" w:type="dxa"/>
            <w:bottom w:w="0" w:type="dxa"/>
            <w:right w:w="0" w:type="dxa"/>
          </w:tblCellMar>
        </w:tblPrEx>
        <w:trPr>
          <w:trHeight w:val="605" w:hRule="atLeast"/>
        </w:trPr>
        <w:tc>
          <w:tcPr>
            <w:tcW w:w="1750" w:type="dxa"/>
            <w:tcBorders>
              <w:top w:val="single" w:color="000000" w:sz="4" w:space="0"/>
              <w:left w:val="nil"/>
              <w:bottom w:val="single" w:color="000000" w:sz="4" w:space="0"/>
              <w:right w:val="nil"/>
            </w:tcBorders>
          </w:tcPr>
          <w:p w14:paraId="2673203C">
            <w:pPr>
              <w:pStyle w:val="85"/>
            </w:pPr>
          </w:p>
        </w:tc>
        <w:tc>
          <w:tcPr>
            <w:tcW w:w="754" w:type="dxa"/>
            <w:tcBorders>
              <w:top w:val="single" w:color="000000" w:sz="4" w:space="0"/>
              <w:left w:val="nil"/>
              <w:bottom w:val="single" w:color="000000" w:sz="4" w:space="0"/>
              <w:right w:val="nil"/>
            </w:tcBorders>
          </w:tcPr>
          <w:p w14:paraId="487F2E36">
            <w:pPr>
              <w:pStyle w:val="85"/>
              <w:spacing w:before="18"/>
            </w:pPr>
          </w:p>
          <w:p w14:paraId="0CCF7DE4">
            <w:pPr>
              <w:pStyle w:val="85"/>
              <w:ind w:left="103"/>
            </w:pPr>
            <w:r>
              <w:rPr>
                <w:spacing w:val="-10"/>
              </w:rPr>
              <w:t>N</w:t>
            </w:r>
          </w:p>
        </w:tc>
        <w:tc>
          <w:tcPr>
            <w:tcW w:w="1458" w:type="dxa"/>
            <w:tcBorders>
              <w:top w:val="single" w:color="000000" w:sz="4" w:space="0"/>
              <w:left w:val="nil"/>
              <w:bottom w:val="single" w:color="000000" w:sz="4" w:space="0"/>
              <w:right w:val="nil"/>
            </w:tcBorders>
          </w:tcPr>
          <w:p w14:paraId="70B6C969">
            <w:pPr>
              <w:pStyle w:val="85"/>
              <w:spacing w:before="18"/>
            </w:pPr>
          </w:p>
          <w:p w14:paraId="038DD70E">
            <w:pPr>
              <w:pStyle w:val="85"/>
              <w:ind w:left="448"/>
              <w:rPr>
                <w:lang w:val="id-ID"/>
              </w:rPr>
            </w:pPr>
            <w:r>
              <w:rPr>
                <w:spacing w:val="-2"/>
                <w:lang w:val="id-ID"/>
              </w:rPr>
              <w:t xml:space="preserve">Minimum </w:t>
            </w:r>
          </w:p>
        </w:tc>
        <w:tc>
          <w:tcPr>
            <w:tcW w:w="1177" w:type="dxa"/>
            <w:tcBorders>
              <w:top w:val="single" w:color="000000" w:sz="4" w:space="0"/>
              <w:left w:val="nil"/>
              <w:bottom w:val="single" w:color="000000" w:sz="4" w:space="0"/>
              <w:right w:val="nil"/>
            </w:tcBorders>
          </w:tcPr>
          <w:p w14:paraId="4ED708CC">
            <w:pPr>
              <w:pStyle w:val="85"/>
              <w:spacing w:before="18"/>
            </w:pPr>
          </w:p>
          <w:p w14:paraId="4A9FAF68">
            <w:pPr>
              <w:pStyle w:val="85"/>
              <w:ind w:left="118"/>
              <w:rPr>
                <w:lang w:val="id-ID"/>
              </w:rPr>
            </w:pPr>
            <w:r>
              <w:rPr>
                <w:spacing w:val="-2"/>
                <w:lang w:val="id-ID"/>
              </w:rPr>
              <w:t xml:space="preserve">Maximum </w:t>
            </w:r>
          </w:p>
        </w:tc>
        <w:tc>
          <w:tcPr>
            <w:tcW w:w="914" w:type="dxa"/>
            <w:tcBorders>
              <w:top w:val="single" w:color="000000" w:sz="4" w:space="0"/>
              <w:left w:val="nil"/>
              <w:bottom w:val="single" w:color="000000" w:sz="4" w:space="0"/>
              <w:right w:val="nil"/>
            </w:tcBorders>
          </w:tcPr>
          <w:p w14:paraId="3EEE48B7">
            <w:pPr>
              <w:pStyle w:val="85"/>
              <w:spacing w:before="18"/>
            </w:pPr>
          </w:p>
          <w:p w14:paraId="21F952BA">
            <w:pPr>
              <w:pStyle w:val="85"/>
              <w:ind w:left="122"/>
              <w:rPr>
                <w:lang w:val="id-ID"/>
              </w:rPr>
            </w:pPr>
            <w:r>
              <w:rPr>
                <w:spacing w:val="-4"/>
                <w:lang w:val="id-ID"/>
              </w:rPr>
              <w:t xml:space="preserve">Mean </w:t>
            </w:r>
          </w:p>
        </w:tc>
        <w:tc>
          <w:tcPr>
            <w:tcW w:w="1777" w:type="dxa"/>
            <w:tcBorders>
              <w:top w:val="single" w:color="000000" w:sz="4" w:space="0"/>
              <w:left w:val="nil"/>
              <w:bottom w:val="single" w:color="000000" w:sz="4" w:space="0"/>
              <w:right w:val="nil"/>
            </w:tcBorders>
          </w:tcPr>
          <w:p w14:paraId="5CE9CDDA">
            <w:pPr>
              <w:pStyle w:val="85"/>
              <w:spacing w:before="18"/>
            </w:pPr>
          </w:p>
          <w:p w14:paraId="75849890">
            <w:pPr>
              <w:pStyle w:val="85"/>
              <w:ind w:left="289"/>
              <w:rPr>
                <w:lang w:val="id-ID"/>
              </w:rPr>
            </w:pPr>
            <w:r>
              <w:rPr>
                <w:lang w:val="id-ID"/>
              </w:rPr>
              <w:t>Std. Deviation</w:t>
            </w:r>
          </w:p>
        </w:tc>
      </w:tr>
      <w:tr w14:paraId="0218642F">
        <w:tblPrEx>
          <w:tblCellMar>
            <w:top w:w="0" w:type="dxa"/>
            <w:left w:w="0" w:type="dxa"/>
            <w:bottom w:w="0" w:type="dxa"/>
            <w:right w:w="0" w:type="dxa"/>
          </w:tblCellMar>
        </w:tblPrEx>
        <w:trPr>
          <w:trHeight w:val="325" w:hRule="atLeast"/>
        </w:trPr>
        <w:tc>
          <w:tcPr>
            <w:tcW w:w="1750" w:type="dxa"/>
            <w:tcBorders>
              <w:top w:val="single" w:color="000000" w:sz="4" w:space="0"/>
              <w:left w:val="nil"/>
              <w:bottom w:val="nil"/>
              <w:right w:val="nil"/>
            </w:tcBorders>
          </w:tcPr>
          <w:p w14:paraId="6EB8BA27">
            <w:pPr>
              <w:pStyle w:val="85"/>
              <w:spacing w:before="23"/>
              <w:ind w:left="41"/>
            </w:pPr>
            <w:r>
              <w:rPr>
                <w:spacing w:val="-2"/>
              </w:rPr>
              <w:t>Strategies</w:t>
            </w:r>
          </w:p>
        </w:tc>
        <w:tc>
          <w:tcPr>
            <w:tcW w:w="754" w:type="dxa"/>
            <w:tcBorders>
              <w:top w:val="single" w:color="000000" w:sz="4" w:space="0"/>
              <w:left w:val="nil"/>
              <w:bottom w:val="nil"/>
              <w:right w:val="nil"/>
            </w:tcBorders>
          </w:tcPr>
          <w:p w14:paraId="6654C777">
            <w:pPr>
              <w:pStyle w:val="85"/>
              <w:spacing w:before="23"/>
              <w:ind w:left="103"/>
            </w:pPr>
            <w:r>
              <w:rPr>
                <w:spacing w:val="-5"/>
              </w:rPr>
              <w:t>74</w:t>
            </w:r>
          </w:p>
        </w:tc>
        <w:tc>
          <w:tcPr>
            <w:tcW w:w="1458" w:type="dxa"/>
            <w:tcBorders>
              <w:top w:val="single" w:color="000000" w:sz="4" w:space="0"/>
              <w:left w:val="nil"/>
              <w:bottom w:val="nil"/>
              <w:right w:val="nil"/>
            </w:tcBorders>
          </w:tcPr>
          <w:p w14:paraId="693E5E88">
            <w:pPr>
              <w:pStyle w:val="85"/>
              <w:spacing w:before="23"/>
              <w:ind w:left="448"/>
            </w:pPr>
            <w:r>
              <w:rPr>
                <w:spacing w:val="-5"/>
              </w:rPr>
              <w:t>40</w:t>
            </w:r>
          </w:p>
        </w:tc>
        <w:tc>
          <w:tcPr>
            <w:tcW w:w="1177" w:type="dxa"/>
            <w:tcBorders>
              <w:top w:val="single" w:color="000000" w:sz="4" w:space="0"/>
              <w:left w:val="nil"/>
              <w:bottom w:val="nil"/>
              <w:right w:val="nil"/>
            </w:tcBorders>
          </w:tcPr>
          <w:p w14:paraId="1F208A3F">
            <w:pPr>
              <w:pStyle w:val="85"/>
              <w:spacing w:before="23"/>
              <w:ind w:left="118"/>
            </w:pPr>
            <w:r>
              <w:rPr>
                <w:spacing w:val="-5"/>
              </w:rPr>
              <w:t>70</w:t>
            </w:r>
          </w:p>
        </w:tc>
        <w:tc>
          <w:tcPr>
            <w:tcW w:w="914" w:type="dxa"/>
            <w:tcBorders>
              <w:top w:val="single" w:color="000000" w:sz="4" w:space="0"/>
              <w:left w:val="nil"/>
              <w:bottom w:val="nil"/>
              <w:right w:val="nil"/>
            </w:tcBorders>
          </w:tcPr>
          <w:p w14:paraId="1B1C60B0">
            <w:pPr>
              <w:pStyle w:val="85"/>
              <w:spacing w:before="23"/>
              <w:ind w:left="118"/>
            </w:pPr>
            <w:r>
              <w:rPr>
                <w:spacing w:val="-2"/>
              </w:rPr>
              <w:t>59.41</w:t>
            </w:r>
          </w:p>
        </w:tc>
        <w:tc>
          <w:tcPr>
            <w:tcW w:w="1777" w:type="dxa"/>
            <w:tcBorders>
              <w:top w:val="single" w:color="000000" w:sz="4" w:space="0"/>
              <w:left w:val="nil"/>
              <w:bottom w:val="nil"/>
              <w:right w:val="nil"/>
            </w:tcBorders>
          </w:tcPr>
          <w:p w14:paraId="4BC677B7">
            <w:pPr>
              <w:pStyle w:val="85"/>
              <w:spacing w:before="23"/>
              <w:ind w:left="289"/>
            </w:pPr>
            <w:r>
              <w:rPr>
                <w:spacing w:val="-2"/>
              </w:rPr>
              <w:t>6.474</w:t>
            </w:r>
          </w:p>
        </w:tc>
      </w:tr>
      <w:tr w14:paraId="5BEB8555">
        <w:tblPrEx>
          <w:tblCellMar>
            <w:top w:w="0" w:type="dxa"/>
            <w:left w:w="0" w:type="dxa"/>
            <w:bottom w:w="0" w:type="dxa"/>
            <w:right w:w="0" w:type="dxa"/>
          </w:tblCellMar>
        </w:tblPrEx>
        <w:trPr>
          <w:trHeight w:val="676" w:hRule="atLeast"/>
        </w:trPr>
        <w:tc>
          <w:tcPr>
            <w:tcW w:w="1750" w:type="dxa"/>
            <w:tcBorders>
              <w:top w:val="nil"/>
              <w:left w:val="nil"/>
              <w:bottom w:val="single" w:color="000000" w:sz="4" w:space="0"/>
              <w:right w:val="nil"/>
            </w:tcBorders>
          </w:tcPr>
          <w:p w14:paraId="3965ED12">
            <w:pPr>
              <w:pStyle w:val="85"/>
              <w:spacing w:before="105"/>
              <w:ind w:left="41"/>
            </w:pPr>
            <w:r>
              <w:rPr>
                <w:spacing w:val="-2"/>
              </w:rPr>
              <w:t>Valid</w:t>
            </w:r>
            <w:r>
              <w:rPr>
                <w:spacing w:val="-10"/>
              </w:rPr>
              <w:t xml:space="preserve"> </w:t>
            </w:r>
            <w:r>
              <w:rPr>
                <w:spacing w:val="-2"/>
              </w:rPr>
              <w:t>N</w:t>
            </w:r>
            <w:r>
              <w:rPr>
                <w:spacing w:val="-12"/>
              </w:rPr>
              <w:t xml:space="preserve"> </w:t>
            </w:r>
            <w:r>
              <w:rPr>
                <w:spacing w:val="-2"/>
              </w:rPr>
              <w:t>(listwise)</w:t>
            </w:r>
          </w:p>
        </w:tc>
        <w:tc>
          <w:tcPr>
            <w:tcW w:w="754" w:type="dxa"/>
            <w:tcBorders>
              <w:top w:val="nil"/>
              <w:left w:val="nil"/>
              <w:bottom w:val="single" w:color="000000" w:sz="4" w:space="0"/>
              <w:right w:val="nil"/>
            </w:tcBorders>
          </w:tcPr>
          <w:p w14:paraId="2B8B450E">
            <w:pPr>
              <w:pStyle w:val="85"/>
              <w:spacing w:before="245"/>
              <w:ind w:left="103"/>
            </w:pPr>
            <w:r>
              <w:rPr>
                <w:spacing w:val="-5"/>
              </w:rPr>
              <w:t>74</w:t>
            </w:r>
          </w:p>
        </w:tc>
        <w:tc>
          <w:tcPr>
            <w:tcW w:w="1458" w:type="dxa"/>
            <w:tcBorders>
              <w:top w:val="nil"/>
              <w:left w:val="nil"/>
              <w:bottom w:val="single" w:color="000000" w:sz="4" w:space="0"/>
              <w:right w:val="nil"/>
            </w:tcBorders>
          </w:tcPr>
          <w:p w14:paraId="3A75987C">
            <w:pPr>
              <w:pStyle w:val="85"/>
            </w:pPr>
          </w:p>
        </w:tc>
        <w:tc>
          <w:tcPr>
            <w:tcW w:w="1177" w:type="dxa"/>
            <w:tcBorders>
              <w:top w:val="nil"/>
              <w:left w:val="nil"/>
              <w:bottom w:val="single" w:color="000000" w:sz="4" w:space="0"/>
              <w:right w:val="nil"/>
            </w:tcBorders>
          </w:tcPr>
          <w:p w14:paraId="6C08BC66">
            <w:pPr>
              <w:pStyle w:val="85"/>
            </w:pPr>
          </w:p>
        </w:tc>
        <w:tc>
          <w:tcPr>
            <w:tcW w:w="914" w:type="dxa"/>
            <w:tcBorders>
              <w:top w:val="nil"/>
              <w:left w:val="nil"/>
              <w:bottom w:val="single" w:color="000000" w:sz="4" w:space="0"/>
              <w:right w:val="nil"/>
            </w:tcBorders>
          </w:tcPr>
          <w:p w14:paraId="1E99AE55">
            <w:pPr>
              <w:pStyle w:val="85"/>
            </w:pPr>
          </w:p>
        </w:tc>
        <w:tc>
          <w:tcPr>
            <w:tcW w:w="1777" w:type="dxa"/>
            <w:tcBorders>
              <w:top w:val="nil"/>
              <w:left w:val="nil"/>
              <w:bottom w:val="single" w:color="000000" w:sz="4" w:space="0"/>
              <w:right w:val="nil"/>
            </w:tcBorders>
          </w:tcPr>
          <w:p w14:paraId="4AAD3856">
            <w:pPr>
              <w:pStyle w:val="85"/>
            </w:pPr>
          </w:p>
        </w:tc>
      </w:tr>
    </w:tbl>
    <w:p w14:paraId="758D047D">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color w:val="000000"/>
        </w:rPr>
      </w:pPr>
    </w:p>
    <w:p w14:paraId="5F156AFA">
      <w:pPr>
        <w:pStyle w:val="14"/>
        <w:spacing w:before="272" w:after="24"/>
        <w:ind w:right="-1" w:firstLine="567"/>
      </w:pPr>
      <w:r>
        <w:t xml:space="preserve">A relatively high level of </w:t>
      </w:r>
      <w:r>
        <w:rPr>
          <w:bCs/>
        </w:rPr>
        <w:t>listening proficiency</w:t>
      </w:r>
      <w:r>
        <w:t xml:space="preserve"> was evident in the participants' descriptive statistical analysis. The</w:t>
      </w:r>
      <w:r>
        <w:rPr>
          <w:b/>
        </w:rPr>
        <w:t xml:space="preserve"> </w:t>
      </w:r>
      <w:r>
        <w:rPr>
          <w:rStyle w:val="30"/>
          <w:rFonts w:eastAsia="SimSun"/>
          <w:b w:val="0"/>
        </w:rPr>
        <w:t>maximum score achieved was 100</w:t>
      </w:r>
      <w:r>
        <w:t xml:space="preserve">, while the </w:t>
      </w:r>
      <w:r>
        <w:rPr>
          <w:rStyle w:val="30"/>
          <w:rFonts w:eastAsia="SimSun"/>
          <w:b w:val="0"/>
        </w:rPr>
        <w:t>lowest was 55</w:t>
      </w:r>
      <w:r>
        <w:t xml:space="preserve">. On average, participants scored </w:t>
      </w:r>
      <w:r>
        <w:rPr>
          <w:rStyle w:val="30"/>
          <w:rFonts w:eastAsia="SimSun"/>
          <w:b w:val="0"/>
        </w:rPr>
        <w:t>84.97</w:t>
      </w:r>
      <w:r>
        <w:t>, with a standard deviation of 9.584. This average suggests that the participants generally possessed a strong command of listening skills.</w:t>
      </w:r>
    </w:p>
    <w:p w14:paraId="1DE0C464">
      <w:pPr>
        <w:pStyle w:val="14"/>
        <w:spacing w:before="272" w:after="24"/>
        <w:ind w:right="-1" w:firstLine="567"/>
      </w:pPr>
    </w:p>
    <w:tbl>
      <w:tblPr>
        <w:tblStyle w:val="12"/>
        <w:tblW w:w="0" w:type="auto"/>
        <w:tblInd w:w="0" w:type="dxa"/>
        <w:tblLayout w:type="fixed"/>
        <w:tblCellMar>
          <w:top w:w="0" w:type="dxa"/>
          <w:left w:w="0" w:type="dxa"/>
          <w:bottom w:w="0" w:type="dxa"/>
          <w:right w:w="0" w:type="dxa"/>
        </w:tblCellMar>
      </w:tblPr>
      <w:tblGrid>
        <w:gridCol w:w="1801"/>
        <w:gridCol w:w="705"/>
        <w:gridCol w:w="1468"/>
        <w:gridCol w:w="1165"/>
        <w:gridCol w:w="891"/>
        <w:gridCol w:w="1765"/>
      </w:tblGrid>
      <w:tr w14:paraId="76E519E6">
        <w:tblPrEx>
          <w:tblCellMar>
            <w:top w:w="0" w:type="dxa"/>
            <w:left w:w="0" w:type="dxa"/>
            <w:bottom w:w="0" w:type="dxa"/>
            <w:right w:w="0" w:type="dxa"/>
          </w:tblCellMar>
        </w:tblPrEx>
        <w:trPr>
          <w:trHeight w:val="822" w:hRule="atLeast"/>
        </w:trPr>
        <w:tc>
          <w:tcPr>
            <w:tcW w:w="7795" w:type="dxa"/>
            <w:gridSpan w:val="6"/>
            <w:tcBorders>
              <w:top w:val="nil"/>
              <w:left w:val="nil"/>
              <w:bottom w:val="single" w:color="000000" w:sz="4" w:space="0"/>
              <w:right w:val="nil"/>
            </w:tcBorders>
          </w:tcPr>
          <w:p w14:paraId="7FDA9BFB">
            <w:pPr>
              <w:pStyle w:val="85"/>
              <w:ind w:left="56"/>
              <w:jc w:val="left"/>
              <w:rPr>
                <w:sz w:val="24"/>
              </w:rPr>
            </w:pPr>
            <w:r>
              <w:rPr>
                <w:spacing w:val="-4"/>
                <w:sz w:val="24"/>
              </w:rPr>
              <w:t>Table 2. Descriptive Statistics</w:t>
            </w:r>
          </w:p>
        </w:tc>
      </w:tr>
      <w:tr w14:paraId="39E6F9E2">
        <w:tblPrEx>
          <w:tblCellMar>
            <w:top w:w="0" w:type="dxa"/>
            <w:left w:w="0" w:type="dxa"/>
            <w:bottom w:w="0" w:type="dxa"/>
            <w:right w:w="0" w:type="dxa"/>
          </w:tblCellMar>
        </w:tblPrEx>
        <w:trPr>
          <w:trHeight w:val="394" w:hRule="atLeast"/>
        </w:trPr>
        <w:tc>
          <w:tcPr>
            <w:tcW w:w="1801" w:type="dxa"/>
            <w:tcBorders>
              <w:top w:val="single" w:color="000000" w:sz="4" w:space="0"/>
              <w:left w:val="nil"/>
              <w:bottom w:val="single" w:color="000000" w:sz="4" w:space="0"/>
              <w:right w:val="nil"/>
            </w:tcBorders>
          </w:tcPr>
          <w:p w14:paraId="030CAB36">
            <w:pPr>
              <w:pStyle w:val="85"/>
              <w:rPr>
                <w:sz w:val="24"/>
              </w:rPr>
            </w:pPr>
          </w:p>
        </w:tc>
        <w:tc>
          <w:tcPr>
            <w:tcW w:w="705" w:type="dxa"/>
            <w:tcBorders>
              <w:top w:val="single" w:color="000000" w:sz="4" w:space="0"/>
              <w:left w:val="nil"/>
              <w:bottom w:val="single" w:color="000000" w:sz="4" w:space="0"/>
              <w:right w:val="nil"/>
            </w:tcBorders>
          </w:tcPr>
          <w:p w14:paraId="1083BBA8">
            <w:pPr>
              <w:pStyle w:val="85"/>
              <w:spacing w:before="58"/>
              <w:ind w:left="47"/>
              <w:rPr>
                <w:sz w:val="24"/>
                <w:lang w:val="id-ID"/>
              </w:rPr>
            </w:pPr>
            <w:r>
              <w:rPr>
                <w:spacing w:val="-10"/>
                <w:sz w:val="24"/>
                <w:lang w:val="id-ID"/>
              </w:rPr>
              <w:t>N</w:t>
            </w:r>
          </w:p>
        </w:tc>
        <w:tc>
          <w:tcPr>
            <w:tcW w:w="1468" w:type="dxa"/>
            <w:tcBorders>
              <w:top w:val="single" w:color="000000" w:sz="4" w:space="0"/>
              <w:left w:val="nil"/>
              <w:bottom w:val="single" w:color="000000" w:sz="4" w:space="0"/>
              <w:right w:val="nil"/>
            </w:tcBorders>
          </w:tcPr>
          <w:p w14:paraId="4A827966">
            <w:pPr>
              <w:pStyle w:val="85"/>
              <w:spacing w:before="58"/>
              <w:ind w:left="417"/>
              <w:rPr>
                <w:sz w:val="24"/>
                <w:lang w:val="id-ID"/>
              </w:rPr>
            </w:pPr>
            <w:r>
              <w:rPr>
                <w:spacing w:val="-2"/>
                <w:sz w:val="24"/>
                <w:lang w:val="id-ID"/>
              </w:rPr>
              <w:t xml:space="preserve">Minimum </w:t>
            </w:r>
          </w:p>
        </w:tc>
        <w:tc>
          <w:tcPr>
            <w:tcW w:w="1165" w:type="dxa"/>
            <w:tcBorders>
              <w:top w:val="single" w:color="000000" w:sz="4" w:space="0"/>
              <w:left w:val="nil"/>
              <w:bottom w:val="single" w:color="000000" w:sz="4" w:space="0"/>
              <w:right w:val="nil"/>
            </w:tcBorders>
          </w:tcPr>
          <w:p w14:paraId="4AA4D9F1">
            <w:pPr>
              <w:pStyle w:val="85"/>
              <w:spacing w:before="58"/>
              <w:ind w:left="84" w:right="-165"/>
              <w:rPr>
                <w:sz w:val="24"/>
              </w:rPr>
            </w:pPr>
            <w:r>
              <w:rPr>
                <w:spacing w:val="-2"/>
                <w:sz w:val="24"/>
              </w:rPr>
              <w:t xml:space="preserve">Maximum </w:t>
            </w:r>
          </w:p>
        </w:tc>
        <w:tc>
          <w:tcPr>
            <w:tcW w:w="891" w:type="dxa"/>
            <w:tcBorders>
              <w:top w:val="single" w:color="000000" w:sz="4" w:space="0"/>
              <w:left w:val="nil"/>
              <w:bottom w:val="single" w:color="000000" w:sz="4" w:space="0"/>
              <w:right w:val="nil"/>
            </w:tcBorders>
          </w:tcPr>
          <w:p w14:paraId="42F0DC48">
            <w:pPr>
              <w:pStyle w:val="85"/>
              <w:spacing w:before="58"/>
              <w:ind w:left="85"/>
              <w:rPr>
                <w:sz w:val="24"/>
                <w:lang w:val="id-ID"/>
              </w:rPr>
            </w:pPr>
            <w:r>
              <w:rPr>
                <w:spacing w:val="-4"/>
                <w:sz w:val="24"/>
                <w:lang w:val="id-ID"/>
              </w:rPr>
              <w:t xml:space="preserve">Mean </w:t>
            </w:r>
          </w:p>
        </w:tc>
        <w:tc>
          <w:tcPr>
            <w:tcW w:w="1765" w:type="dxa"/>
            <w:tcBorders>
              <w:top w:val="single" w:color="000000" w:sz="4" w:space="0"/>
              <w:left w:val="nil"/>
              <w:bottom w:val="single" w:color="000000" w:sz="4" w:space="0"/>
              <w:right w:val="nil"/>
            </w:tcBorders>
          </w:tcPr>
          <w:p w14:paraId="5241C9C0">
            <w:pPr>
              <w:pStyle w:val="85"/>
              <w:spacing w:before="58"/>
              <w:ind w:left="263"/>
              <w:rPr>
                <w:sz w:val="24"/>
                <w:lang w:val="id-ID"/>
              </w:rPr>
            </w:pPr>
            <w:r>
              <w:rPr>
                <w:sz w:val="24"/>
                <w:lang w:val="id-ID"/>
              </w:rPr>
              <w:t>Std.Deviation</w:t>
            </w:r>
          </w:p>
        </w:tc>
      </w:tr>
      <w:tr w14:paraId="0E4F2E0A">
        <w:tblPrEx>
          <w:tblCellMar>
            <w:top w:w="0" w:type="dxa"/>
            <w:left w:w="0" w:type="dxa"/>
            <w:bottom w:w="0" w:type="dxa"/>
            <w:right w:w="0" w:type="dxa"/>
          </w:tblCellMar>
        </w:tblPrEx>
        <w:trPr>
          <w:trHeight w:val="355" w:hRule="atLeast"/>
        </w:trPr>
        <w:tc>
          <w:tcPr>
            <w:tcW w:w="1801" w:type="dxa"/>
            <w:tcBorders>
              <w:top w:val="single" w:color="000000" w:sz="4" w:space="0"/>
              <w:left w:val="nil"/>
              <w:bottom w:val="nil"/>
              <w:right w:val="nil"/>
            </w:tcBorders>
          </w:tcPr>
          <w:p w14:paraId="61B5C9C3">
            <w:pPr>
              <w:pStyle w:val="85"/>
              <w:spacing w:before="22"/>
              <w:ind w:left="56"/>
              <w:rPr>
                <w:sz w:val="24"/>
              </w:rPr>
            </w:pPr>
            <w:r>
              <w:rPr>
                <w:spacing w:val="-2"/>
                <w:sz w:val="24"/>
              </w:rPr>
              <w:t>Proficiency</w:t>
            </w:r>
          </w:p>
        </w:tc>
        <w:tc>
          <w:tcPr>
            <w:tcW w:w="705" w:type="dxa"/>
            <w:tcBorders>
              <w:top w:val="single" w:color="000000" w:sz="4" w:space="0"/>
              <w:left w:val="nil"/>
              <w:bottom w:val="nil"/>
              <w:right w:val="nil"/>
            </w:tcBorders>
          </w:tcPr>
          <w:p w14:paraId="7957AF2D">
            <w:pPr>
              <w:pStyle w:val="85"/>
              <w:spacing w:before="22"/>
              <w:ind w:left="47"/>
              <w:rPr>
                <w:sz w:val="24"/>
              </w:rPr>
            </w:pPr>
            <w:r>
              <w:rPr>
                <w:spacing w:val="-5"/>
                <w:sz w:val="24"/>
              </w:rPr>
              <w:t>74</w:t>
            </w:r>
          </w:p>
        </w:tc>
        <w:tc>
          <w:tcPr>
            <w:tcW w:w="1468" w:type="dxa"/>
            <w:tcBorders>
              <w:top w:val="single" w:color="000000" w:sz="4" w:space="0"/>
              <w:left w:val="nil"/>
              <w:bottom w:val="nil"/>
              <w:right w:val="nil"/>
            </w:tcBorders>
          </w:tcPr>
          <w:p w14:paraId="4B3A1081">
            <w:pPr>
              <w:pStyle w:val="85"/>
              <w:spacing w:before="22"/>
              <w:ind w:left="417"/>
              <w:rPr>
                <w:sz w:val="24"/>
              </w:rPr>
            </w:pPr>
            <w:r>
              <w:rPr>
                <w:spacing w:val="-5"/>
                <w:sz w:val="24"/>
              </w:rPr>
              <w:t>55</w:t>
            </w:r>
          </w:p>
        </w:tc>
        <w:tc>
          <w:tcPr>
            <w:tcW w:w="1165" w:type="dxa"/>
            <w:tcBorders>
              <w:top w:val="single" w:color="000000" w:sz="4" w:space="0"/>
              <w:left w:val="nil"/>
              <w:bottom w:val="nil"/>
              <w:right w:val="nil"/>
            </w:tcBorders>
          </w:tcPr>
          <w:p w14:paraId="03C9163D">
            <w:pPr>
              <w:pStyle w:val="85"/>
              <w:spacing w:before="22"/>
              <w:ind w:left="84"/>
              <w:rPr>
                <w:sz w:val="24"/>
              </w:rPr>
            </w:pPr>
            <w:r>
              <w:rPr>
                <w:spacing w:val="-5"/>
                <w:sz w:val="24"/>
              </w:rPr>
              <w:t>100</w:t>
            </w:r>
          </w:p>
        </w:tc>
        <w:tc>
          <w:tcPr>
            <w:tcW w:w="891" w:type="dxa"/>
            <w:tcBorders>
              <w:top w:val="single" w:color="000000" w:sz="4" w:space="0"/>
              <w:left w:val="nil"/>
              <w:bottom w:val="nil"/>
              <w:right w:val="nil"/>
            </w:tcBorders>
          </w:tcPr>
          <w:p w14:paraId="500C1541">
            <w:pPr>
              <w:pStyle w:val="85"/>
              <w:spacing w:before="22"/>
              <w:ind w:left="85"/>
              <w:rPr>
                <w:sz w:val="24"/>
              </w:rPr>
            </w:pPr>
            <w:r>
              <w:rPr>
                <w:spacing w:val="-2"/>
                <w:sz w:val="24"/>
              </w:rPr>
              <w:t>84.97</w:t>
            </w:r>
          </w:p>
        </w:tc>
        <w:tc>
          <w:tcPr>
            <w:tcW w:w="1765" w:type="dxa"/>
            <w:tcBorders>
              <w:top w:val="single" w:color="000000" w:sz="4" w:space="0"/>
              <w:left w:val="nil"/>
              <w:bottom w:val="nil"/>
              <w:right w:val="nil"/>
            </w:tcBorders>
          </w:tcPr>
          <w:p w14:paraId="35776AA7">
            <w:pPr>
              <w:pStyle w:val="85"/>
              <w:spacing w:before="22"/>
              <w:ind w:left="263"/>
              <w:rPr>
                <w:sz w:val="24"/>
              </w:rPr>
            </w:pPr>
            <w:r>
              <w:rPr>
                <w:spacing w:val="-2"/>
                <w:sz w:val="24"/>
              </w:rPr>
              <w:t>9.584</w:t>
            </w:r>
          </w:p>
        </w:tc>
      </w:tr>
      <w:tr w14:paraId="70271C0F">
        <w:tblPrEx>
          <w:tblCellMar>
            <w:top w:w="0" w:type="dxa"/>
            <w:left w:w="0" w:type="dxa"/>
            <w:bottom w:w="0" w:type="dxa"/>
            <w:right w:w="0" w:type="dxa"/>
          </w:tblCellMar>
        </w:tblPrEx>
        <w:trPr>
          <w:trHeight w:val="389" w:hRule="atLeast"/>
        </w:trPr>
        <w:tc>
          <w:tcPr>
            <w:tcW w:w="1801" w:type="dxa"/>
            <w:tcBorders>
              <w:top w:val="nil"/>
              <w:left w:val="nil"/>
              <w:bottom w:val="single" w:color="000000" w:sz="4" w:space="0"/>
              <w:right w:val="nil"/>
            </w:tcBorders>
          </w:tcPr>
          <w:p w14:paraId="6EA14B6E">
            <w:pPr>
              <w:pStyle w:val="85"/>
              <w:spacing w:before="25"/>
              <w:ind w:left="56"/>
              <w:rPr>
                <w:sz w:val="24"/>
                <w:lang w:val="id-ID"/>
              </w:rPr>
            </w:pPr>
            <w:r>
              <w:rPr>
                <w:spacing w:val="-2"/>
                <w:sz w:val="24"/>
                <w:lang w:val="id-ID"/>
              </w:rPr>
              <w:t>Valid N (listwise)</w:t>
            </w:r>
          </w:p>
        </w:tc>
        <w:tc>
          <w:tcPr>
            <w:tcW w:w="705" w:type="dxa"/>
            <w:tcBorders>
              <w:top w:val="nil"/>
              <w:left w:val="nil"/>
              <w:bottom w:val="single" w:color="000000" w:sz="4" w:space="0"/>
              <w:right w:val="nil"/>
            </w:tcBorders>
          </w:tcPr>
          <w:p w14:paraId="1D8458DB">
            <w:pPr>
              <w:pStyle w:val="85"/>
              <w:spacing w:before="37"/>
              <w:ind w:left="47"/>
              <w:rPr>
                <w:sz w:val="24"/>
              </w:rPr>
            </w:pPr>
            <w:r>
              <w:rPr>
                <w:spacing w:val="-5"/>
                <w:sz w:val="24"/>
              </w:rPr>
              <w:t>74</w:t>
            </w:r>
          </w:p>
        </w:tc>
        <w:tc>
          <w:tcPr>
            <w:tcW w:w="1468" w:type="dxa"/>
            <w:tcBorders>
              <w:top w:val="nil"/>
              <w:left w:val="nil"/>
              <w:bottom w:val="single" w:color="000000" w:sz="4" w:space="0"/>
              <w:right w:val="nil"/>
            </w:tcBorders>
          </w:tcPr>
          <w:p w14:paraId="056E00F4">
            <w:pPr>
              <w:pStyle w:val="85"/>
              <w:rPr>
                <w:sz w:val="24"/>
              </w:rPr>
            </w:pPr>
          </w:p>
        </w:tc>
        <w:tc>
          <w:tcPr>
            <w:tcW w:w="1165" w:type="dxa"/>
            <w:tcBorders>
              <w:top w:val="nil"/>
              <w:left w:val="nil"/>
              <w:bottom w:val="single" w:color="000000" w:sz="4" w:space="0"/>
              <w:right w:val="nil"/>
            </w:tcBorders>
          </w:tcPr>
          <w:p w14:paraId="17D192BB">
            <w:pPr>
              <w:pStyle w:val="85"/>
              <w:rPr>
                <w:sz w:val="24"/>
              </w:rPr>
            </w:pPr>
          </w:p>
        </w:tc>
        <w:tc>
          <w:tcPr>
            <w:tcW w:w="891" w:type="dxa"/>
            <w:tcBorders>
              <w:top w:val="nil"/>
              <w:left w:val="nil"/>
              <w:bottom w:val="single" w:color="000000" w:sz="4" w:space="0"/>
              <w:right w:val="nil"/>
            </w:tcBorders>
          </w:tcPr>
          <w:p w14:paraId="67DF7F5C">
            <w:pPr>
              <w:pStyle w:val="85"/>
              <w:rPr>
                <w:sz w:val="24"/>
              </w:rPr>
            </w:pPr>
          </w:p>
        </w:tc>
        <w:tc>
          <w:tcPr>
            <w:tcW w:w="1765" w:type="dxa"/>
            <w:tcBorders>
              <w:top w:val="nil"/>
              <w:left w:val="nil"/>
              <w:bottom w:val="single" w:color="000000" w:sz="4" w:space="0"/>
              <w:right w:val="nil"/>
            </w:tcBorders>
          </w:tcPr>
          <w:p w14:paraId="5F0C1AAA">
            <w:pPr>
              <w:pStyle w:val="85"/>
              <w:rPr>
                <w:sz w:val="24"/>
              </w:rPr>
            </w:pPr>
          </w:p>
        </w:tc>
      </w:tr>
    </w:tbl>
    <w:p w14:paraId="7283B786">
      <w:pPr>
        <w:pStyle w:val="14"/>
        <w:spacing w:before="0"/>
        <w:ind w:left="568" w:right="427" w:firstLine="564"/>
      </w:pPr>
    </w:p>
    <w:p w14:paraId="751D2104">
      <w:pPr>
        <w:pStyle w:val="14"/>
        <w:spacing w:before="0"/>
        <w:ind w:right="-1" w:firstLine="564"/>
      </w:pPr>
      <w:r>
        <w:t xml:space="preserve">As the study employed parametric statistical methods, including correlation and regression, it was essential to confirm that each variable was normally distributed. As shown in Table 3, the descriptive statistics were presented, while Table 15 explained </w:t>
      </w:r>
      <w:r>
        <w:rPr>
          <w:lang w:val="id-ID"/>
        </w:rPr>
        <w:t>the result of the normality</w:t>
      </w:r>
      <w:r>
        <w:t xml:space="preserve"> statistical test.</w:t>
      </w:r>
    </w:p>
    <w:p w14:paraId="72C702E7">
      <w:pPr>
        <w:pStyle w:val="14"/>
        <w:spacing w:before="0"/>
        <w:ind w:right="427" w:firstLine="564"/>
        <w:jc w:val="left"/>
      </w:pPr>
    </w:p>
    <w:p w14:paraId="791D40F8">
      <w:pPr>
        <w:pStyle w:val="14"/>
        <w:spacing w:before="0"/>
        <w:ind w:right="427"/>
        <w:jc w:val="left"/>
        <w:rPr>
          <w:rFonts w:hint="default" w:ascii="Times New Roman" w:hAnsi="Times New Roman" w:cs="Times New Roman"/>
        </w:rPr>
      </w:pPr>
      <w:r>
        <w:rPr>
          <w:rFonts w:hint="default" w:ascii="Times New Roman" w:hAnsi="Times New Roman" w:cs="Times New Roman"/>
        </w:rPr>
        <w:t>Table 3. Normality Test</w:t>
      </w:r>
    </w:p>
    <w:p w14:paraId="4A5658B1">
      <w:pPr>
        <w:pStyle w:val="14"/>
        <w:spacing w:before="0"/>
        <w:ind w:right="427" w:firstLine="564"/>
      </w:pPr>
    </w:p>
    <w:tbl>
      <w:tblPr>
        <w:tblStyle w:val="12"/>
        <w:tblW w:w="0" w:type="auto"/>
        <w:tblInd w:w="0" w:type="dxa"/>
        <w:tblLayout w:type="fixed"/>
        <w:tblCellMar>
          <w:top w:w="0" w:type="dxa"/>
          <w:left w:w="0" w:type="dxa"/>
          <w:bottom w:w="0" w:type="dxa"/>
          <w:right w:w="0" w:type="dxa"/>
        </w:tblCellMar>
      </w:tblPr>
      <w:tblGrid>
        <w:gridCol w:w="1594"/>
        <w:gridCol w:w="2056"/>
        <w:gridCol w:w="1751"/>
        <w:gridCol w:w="2369"/>
      </w:tblGrid>
      <w:tr w14:paraId="194EC240">
        <w:tblPrEx>
          <w:tblCellMar>
            <w:top w:w="0" w:type="dxa"/>
            <w:left w:w="0" w:type="dxa"/>
            <w:bottom w:w="0" w:type="dxa"/>
            <w:right w:w="0" w:type="dxa"/>
          </w:tblCellMar>
        </w:tblPrEx>
        <w:trPr>
          <w:trHeight w:val="544" w:hRule="atLeast"/>
        </w:trPr>
        <w:tc>
          <w:tcPr>
            <w:tcW w:w="1594" w:type="dxa"/>
            <w:tcBorders>
              <w:top w:val="single" w:color="000000" w:sz="4" w:space="0"/>
              <w:left w:val="nil"/>
              <w:bottom w:val="single" w:color="000000" w:sz="4" w:space="0"/>
              <w:right w:val="nil"/>
            </w:tcBorders>
          </w:tcPr>
          <w:p w14:paraId="75B88D52">
            <w:pPr>
              <w:pStyle w:val="85"/>
              <w:rPr>
                <w:sz w:val="24"/>
              </w:rPr>
            </w:pPr>
          </w:p>
        </w:tc>
        <w:tc>
          <w:tcPr>
            <w:tcW w:w="2056" w:type="dxa"/>
            <w:tcBorders>
              <w:top w:val="single" w:color="000000" w:sz="4" w:space="0"/>
              <w:left w:val="nil"/>
              <w:bottom w:val="single" w:color="000000" w:sz="4" w:space="0"/>
              <w:right w:val="nil"/>
            </w:tcBorders>
          </w:tcPr>
          <w:p w14:paraId="49587EDD">
            <w:pPr>
              <w:pStyle w:val="85"/>
              <w:rPr>
                <w:sz w:val="24"/>
              </w:rPr>
            </w:pPr>
          </w:p>
        </w:tc>
        <w:tc>
          <w:tcPr>
            <w:tcW w:w="1751" w:type="dxa"/>
            <w:tcBorders>
              <w:top w:val="single" w:color="000000" w:sz="4" w:space="0"/>
              <w:left w:val="nil"/>
              <w:bottom w:val="single" w:color="000000" w:sz="4" w:space="0"/>
              <w:right w:val="nil"/>
            </w:tcBorders>
          </w:tcPr>
          <w:p w14:paraId="20804B4D">
            <w:pPr>
              <w:pStyle w:val="85"/>
              <w:ind w:left="364"/>
              <w:rPr>
                <w:sz w:val="24"/>
              </w:rPr>
            </w:pPr>
            <w:r>
              <w:rPr>
                <w:spacing w:val="-2"/>
                <w:sz w:val="24"/>
              </w:rPr>
              <w:t xml:space="preserve">Listening </w:t>
            </w:r>
            <w:r>
              <w:rPr>
                <w:spacing w:val="-4"/>
                <w:sz w:val="24"/>
              </w:rPr>
              <w:t>Strategies</w:t>
            </w:r>
          </w:p>
        </w:tc>
        <w:tc>
          <w:tcPr>
            <w:tcW w:w="2369" w:type="dxa"/>
            <w:tcBorders>
              <w:top w:val="single" w:color="000000" w:sz="4" w:space="0"/>
              <w:left w:val="nil"/>
              <w:bottom w:val="single" w:color="000000" w:sz="4" w:space="0"/>
              <w:right w:val="nil"/>
            </w:tcBorders>
          </w:tcPr>
          <w:p w14:paraId="2DC9AFC9">
            <w:pPr>
              <w:pStyle w:val="85"/>
              <w:ind w:left="552" w:right="14"/>
              <w:rPr>
                <w:sz w:val="24"/>
              </w:rPr>
            </w:pPr>
            <w:r>
              <w:rPr>
                <w:spacing w:val="-2"/>
                <w:sz w:val="24"/>
              </w:rPr>
              <w:t xml:space="preserve">Listening </w:t>
            </w:r>
            <w:r>
              <w:rPr>
                <w:spacing w:val="-4"/>
                <w:sz w:val="24"/>
              </w:rPr>
              <w:t>Proficiency</w:t>
            </w:r>
          </w:p>
        </w:tc>
      </w:tr>
      <w:tr w14:paraId="1EE645B1">
        <w:tblPrEx>
          <w:tblCellMar>
            <w:top w:w="0" w:type="dxa"/>
            <w:left w:w="0" w:type="dxa"/>
            <w:bottom w:w="0" w:type="dxa"/>
            <w:right w:w="0" w:type="dxa"/>
          </w:tblCellMar>
        </w:tblPrEx>
        <w:trPr>
          <w:trHeight w:val="271" w:hRule="atLeast"/>
        </w:trPr>
        <w:tc>
          <w:tcPr>
            <w:tcW w:w="1594" w:type="dxa"/>
            <w:tcBorders>
              <w:top w:val="single" w:color="000000" w:sz="4" w:space="0"/>
              <w:left w:val="nil"/>
              <w:bottom w:val="nil"/>
              <w:right w:val="nil"/>
            </w:tcBorders>
          </w:tcPr>
          <w:p w14:paraId="3AC3C30B">
            <w:pPr>
              <w:pStyle w:val="85"/>
              <w:ind w:left="136"/>
              <w:rPr>
                <w:b/>
                <w:sz w:val="24"/>
              </w:rPr>
            </w:pPr>
            <w:r>
              <w:rPr>
                <w:b/>
                <w:spacing w:val="-10"/>
                <w:sz w:val="24"/>
              </w:rPr>
              <w:t>N</w:t>
            </w:r>
          </w:p>
        </w:tc>
        <w:tc>
          <w:tcPr>
            <w:tcW w:w="2056" w:type="dxa"/>
            <w:tcBorders>
              <w:top w:val="single" w:color="000000" w:sz="4" w:space="0"/>
              <w:left w:val="nil"/>
              <w:bottom w:val="nil"/>
              <w:right w:val="nil"/>
            </w:tcBorders>
          </w:tcPr>
          <w:p w14:paraId="04F7E0F2">
            <w:pPr>
              <w:pStyle w:val="85"/>
              <w:rPr>
                <w:sz w:val="24"/>
              </w:rPr>
            </w:pPr>
          </w:p>
        </w:tc>
        <w:tc>
          <w:tcPr>
            <w:tcW w:w="1751" w:type="dxa"/>
            <w:tcBorders>
              <w:top w:val="single" w:color="000000" w:sz="4" w:space="0"/>
              <w:left w:val="nil"/>
              <w:bottom w:val="nil"/>
              <w:right w:val="nil"/>
            </w:tcBorders>
          </w:tcPr>
          <w:p w14:paraId="6D164784">
            <w:pPr>
              <w:pStyle w:val="85"/>
              <w:ind w:left="364"/>
              <w:rPr>
                <w:sz w:val="24"/>
              </w:rPr>
            </w:pPr>
            <w:r>
              <w:rPr>
                <w:spacing w:val="-5"/>
                <w:sz w:val="24"/>
              </w:rPr>
              <w:t>74</w:t>
            </w:r>
          </w:p>
        </w:tc>
        <w:tc>
          <w:tcPr>
            <w:tcW w:w="2369" w:type="dxa"/>
            <w:tcBorders>
              <w:top w:val="single" w:color="000000" w:sz="4" w:space="0"/>
              <w:left w:val="nil"/>
              <w:bottom w:val="nil"/>
              <w:right w:val="nil"/>
            </w:tcBorders>
          </w:tcPr>
          <w:p w14:paraId="341FBED8">
            <w:pPr>
              <w:pStyle w:val="85"/>
              <w:ind w:left="552"/>
              <w:rPr>
                <w:sz w:val="24"/>
              </w:rPr>
            </w:pPr>
            <w:r>
              <w:rPr>
                <w:spacing w:val="-5"/>
                <w:sz w:val="24"/>
              </w:rPr>
              <w:t>74</w:t>
            </w:r>
          </w:p>
        </w:tc>
      </w:tr>
      <w:tr w14:paraId="1049E380">
        <w:tblPrEx>
          <w:tblCellMar>
            <w:top w:w="0" w:type="dxa"/>
            <w:left w:w="0" w:type="dxa"/>
            <w:bottom w:w="0" w:type="dxa"/>
            <w:right w:w="0" w:type="dxa"/>
          </w:tblCellMar>
        </w:tblPrEx>
        <w:trPr>
          <w:trHeight w:val="544" w:hRule="atLeast"/>
        </w:trPr>
        <w:tc>
          <w:tcPr>
            <w:tcW w:w="1594" w:type="dxa"/>
          </w:tcPr>
          <w:p w14:paraId="08478606">
            <w:pPr>
              <w:pStyle w:val="85"/>
              <w:spacing w:before="73"/>
              <w:ind w:left="136"/>
              <w:rPr>
                <w:sz w:val="24"/>
              </w:rPr>
            </w:pPr>
            <w:r>
              <w:rPr>
                <w:spacing w:val="-2"/>
                <w:sz w:val="24"/>
              </w:rPr>
              <w:t xml:space="preserve">Normal </w:t>
            </w:r>
            <w:r>
              <w:rPr>
                <w:spacing w:val="-4"/>
                <w:sz w:val="24"/>
              </w:rPr>
              <w:t>Parameters</w:t>
            </w:r>
          </w:p>
        </w:tc>
        <w:tc>
          <w:tcPr>
            <w:tcW w:w="2056" w:type="dxa"/>
          </w:tcPr>
          <w:p w14:paraId="72C624FB">
            <w:pPr>
              <w:pStyle w:val="85"/>
              <w:spacing w:before="73"/>
              <w:ind w:left="496"/>
              <w:rPr>
                <w:sz w:val="24"/>
              </w:rPr>
            </w:pPr>
            <w:r>
              <w:rPr>
                <w:spacing w:val="-4"/>
                <w:sz w:val="24"/>
              </w:rPr>
              <w:t>Mean</w:t>
            </w:r>
          </w:p>
        </w:tc>
        <w:tc>
          <w:tcPr>
            <w:tcW w:w="1751" w:type="dxa"/>
          </w:tcPr>
          <w:p w14:paraId="2322A020">
            <w:pPr>
              <w:pStyle w:val="85"/>
              <w:spacing w:before="73"/>
              <w:ind w:left="364"/>
              <w:rPr>
                <w:sz w:val="24"/>
              </w:rPr>
            </w:pPr>
            <w:r>
              <w:rPr>
                <w:spacing w:val="-2"/>
                <w:sz w:val="24"/>
              </w:rPr>
              <w:t>59.46</w:t>
            </w:r>
          </w:p>
        </w:tc>
        <w:tc>
          <w:tcPr>
            <w:tcW w:w="2369" w:type="dxa"/>
          </w:tcPr>
          <w:p w14:paraId="2279B675">
            <w:pPr>
              <w:pStyle w:val="85"/>
              <w:spacing w:before="73"/>
              <w:ind w:left="552"/>
              <w:rPr>
                <w:sz w:val="24"/>
              </w:rPr>
            </w:pPr>
            <w:r>
              <w:rPr>
                <w:spacing w:val="-2"/>
                <w:sz w:val="24"/>
              </w:rPr>
              <w:t>84.97</w:t>
            </w:r>
          </w:p>
        </w:tc>
      </w:tr>
      <w:tr w14:paraId="57A64581">
        <w:tblPrEx>
          <w:tblCellMar>
            <w:top w:w="0" w:type="dxa"/>
            <w:left w:w="0" w:type="dxa"/>
            <w:bottom w:w="0" w:type="dxa"/>
            <w:right w:w="0" w:type="dxa"/>
          </w:tblCellMar>
        </w:tblPrEx>
        <w:trPr>
          <w:trHeight w:val="398" w:hRule="atLeast"/>
        </w:trPr>
        <w:tc>
          <w:tcPr>
            <w:tcW w:w="1594" w:type="dxa"/>
            <w:tcBorders>
              <w:top w:val="nil"/>
              <w:left w:val="nil"/>
              <w:bottom w:val="single" w:color="000000" w:sz="4" w:space="0"/>
              <w:right w:val="nil"/>
            </w:tcBorders>
          </w:tcPr>
          <w:p w14:paraId="58E06D1D">
            <w:pPr>
              <w:pStyle w:val="85"/>
              <w:rPr>
                <w:sz w:val="24"/>
              </w:rPr>
            </w:pPr>
          </w:p>
        </w:tc>
        <w:tc>
          <w:tcPr>
            <w:tcW w:w="2056" w:type="dxa"/>
            <w:tcBorders>
              <w:top w:val="nil"/>
              <w:left w:val="nil"/>
              <w:bottom w:val="single" w:color="000000" w:sz="4" w:space="0"/>
              <w:right w:val="nil"/>
            </w:tcBorders>
          </w:tcPr>
          <w:p w14:paraId="3886C8C0">
            <w:pPr>
              <w:pStyle w:val="85"/>
              <w:spacing w:before="75"/>
              <w:ind w:left="496"/>
              <w:rPr>
                <w:sz w:val="24"/>
              </w:rPr>
            </w:pPr>
            <w:r>
              <w:rPr>
                <w:sz w:val="24"/>
              </w:rPr>
              <w:t>Std</w:t>
            </w:r>
            <w:r>
              <w:rPr>
                <w:spacing w:val="-2"/>
                <w:sz w:val="24"/>
              </w:rPr>
              <w:t xml:space="preserve"> Deviation</w:t>
            </w:r>
          </w:p>
        </w:tc>
        <w:tc>
          <w:tcPr>
            <w:tcW w:w="1751" w:type="dxa"/>
            <w:tcBorders>
              <w:top w:val="nil"/>
              <w:left w:val="nil"/>
              <w:bottom w:val="single" w:color="000000" w:sz="4" w:space="0"/>
              <w:right w:val="nil"/>
            </w:tcBorders>
          </w:tcPr>
          <w:p w14:paraId="1D18E20E">
            <w:pPr>
              <w:pStyle w:val="85"/>
              <w:spacing w:before="75"/>
              <w:ind w:left="364"/>
              <w:rPr>
                <w:sz w:val="24"/>
              </w:rPr>
            </w:pPr>
            <w:r>
              <w:rPr>
                <w:spacing w:val="-2"/>
                <w:sz w:val="24"/>
              </w:rPr>
              <w:t>6.496</w:t>
            </w:r>
          </w:p>
        </w:tc>
        <w:tc>
          <w:tcPr>
            <w:tcW w:w="2369" w:type="dxa"/>
            <w:tcBorders>
              <w:top w:val="nil"/>
              <w:left w:val="nil"/>
              <w:bottom w:val="single" w:color="000000" w:sz="4" w:space="0"/>
              <w:right w:val="nil"/>
            </w:tcBorders>
          </w:tcPr>
          <w:p w14:paraId="0C1A8F83">
            <w:pPr>
              <w:pStyle w:val="85"/>
              <w:spacing w:before="75"/>
              <w:ind w:left="552"/>
              <w:rPr>
                <w:sz w:val="24"/>
              </w:rPr>
            </w:pPr>
            <w:r>
              <w:rPr>
                <w:spacing w:val="-4"/>
                <w:sz w:val="24"/>
              </w:rPr>
              <w:t>9584</w:t>
            </w:r>
          </w:p>
        </w:tc>
      </w:tr>
    </w:tbl>
    <w:p w14:paraId="0ACD6335">
      <w:pPr>
        <w:pStyle w:val="14"/>
        <w:spacing w:before="272" w:after="24"/>
        <w:ind w:right="-1" w:firstLine="567"/>
        <w:rPr>
          <w:rFonts w:hint="default" w:ascii="Times New Roman" w:hAnsi="Times New Roman" w:cs="Times New Roman"/>
        </w:rPr>
      </w:pPr>
      <w:r>
        <w:rPr>
          <w:rFonts w:hint="default" w:ascii="Times New Roman" w:hAnsi="Times New Roman" w:cs="Times New Roman"/>
        </w:rPr>
        <w:t>Linearity was assessed by looking at any deviation from a straight-line relationship. As Table 4 shows, a p-value larger than 0.05 points to a linear connection between the two variables. The analysis revealed that the deviation from linearity between listening strategies and listening proficiency was 0.185.</w:t>
      </w:r>
      <w:r>
        <w:rPr>
          <w:rFonts w:hint="default" w:ascii="Times New Roman" w:hAnsi="Times New Roman" w:cs="Times New Roman"/>
          <w:b/>
          <w:bCs/>
        </w:rPr>
        <w:t xml:space="preserve"> </w:t>
      </w:r>
      <w:r>
        <w:rPr>
          <w:rFonts w:hint="default" w:ascii="Times New Roman" w:hAnsi="Times New Roman" w:cs="Times New Roman"/>
        </w:rPr>
        <w:t>This confirms that the data satisfied the assumption of linearity, which made correlation and regression analyses valid.</w:t>
      </w:r>
    </w:p>
    <w:p w14:paraId="707C0CFC">
      <w:pPr>
        <w:pBdr>
          <w:top w:val="none" w:color="auto" w:sz="0" w:space="0"/>
          <w:left w:val="none" w:color="auto" w:sz="0" w:space="0"/>
          <w:bottom w:val="none" w:color="auto" w:sz="0" w:space="0"/>
          <w:right w:val="none" w:color="auto" w:sz="0" w:space="0"/>
          <w:between w:val="none" w:color="auto" w:sz="0" w:space="0"/>
        </w:pBdr>
        <w:spacing w:after="0" w:line="240" w:lineRule="auto"/>
        <w:jc w:val="left"/>
        <w:rPr>
          <w:rFonts w:hint="default" w:ascii="Times New Roman" w:hAnsi="Times New Roman" w:eastAsia="Times New Roman" w:cs="Times New Roman"/>
          <w:color w:val="000000"/>
        </w:rPr>
      </w:pPr>
      <w:r>
        <w:rPr>
          <w:rFonts w:hint="default" w:ascii="Times New Roman" w:hAnsi="Times New Roman" w:eastAsia="Times New Roman" w:cs="Times New Roman"/>
          <w:color w:val="000000"/>
        </w:rPr>
        <w:t xml:space="preserve">Table 4. </w:t>
      </w:r>
      <w:r>
        <w:rPr>
          <w:rFonts w:hint="default" w:ascii="Times New Roman" w:hAnsi="Times New Roman" w:eastAsia="Times New Roman" w:cs="Times New Roman"/>
          <w:i/>
          <w:color w:val="000000"/>
        </w:rPr>
        <w:t>ANOVA</w:t>
      </w:r>
    </w:p>
    <w:p w14:paraId="35D0B0FF">
      <w:pPr>
        <w:pBdr>
          <w:top w:val="none" w:color="auto" w:sz="0" w:space="0"/>
          <w:left w:val="none" w:color="auto" w:sz="0" w:space="0"/>
          <w:bottom w:val="none" w:color="auto" w:sz="0" w:space="0"/>
          <w:right w:val="none" w:color="auto" w:sz="0" w:space="0"/>
          <w:between w:val="none" w:color="auto" w:sz="0" w:space="0"/>
        </w:pBdr>
        <w:spacing w:after="0" w:line="240" w:lineRule="auto"/>
        <w:rPr>
          <w:rFonts w:hint="default" w:ascii="Times New Roman" w:hAnsi="Times New Roman" w:eastAsia="Times New Roman" w:cs="Times New Roman"/>
          <w:color w:val="000000"/>
        </w:rPr>
      </w:pPr>
    </w:p>
    <w:tbl>
      <w:tblPr>
        <w:tblStyle w:val="12"/>
        <w:tblW w:w="8371" w:type="dxa"/>
        <w:tblInd w:w="0" w:type="dxa"/>
        <w:tblLayout w:type="fixed"/>
        <w:tblCellMar>
          <w:top w:w="0" w:type="dxa"/>
          <w:left w:w="0" w:type="dxa"/>
          <w:bottom w:w="0" w:type="dxa"/>
          <w:right w:w="0" w:type="dxa"/>
        </w:tblCellMar>
      </w:tblPr>
      <w:tblGrid>
        <w:gridCol w:w="1453"/>
        <w:gridCol w:w="1685"/>
        <w:gridCol w:w="1289"/>
        <w:gridCol w:w="725"/>
        <w:gridCol w:w="1301"/>
        <w:gridCol w:w="911"/>
        <w:gridCol w:w="1007"/>
      </w:tblGrid>
      <w:tr w14:paraId="35B9FAF3">
        <w:tblPrEx>
          <w:tblCellMar>
            <w:top w:w="0" w:type="dxa"/>
            <w:left w:w="0" w:type="dxa"/>
            <w:bottom w:w="0" w:type="dxa"/>
            <w:right w:w="0" w:type="dxa"/>
          </w:tblCellMar>
        </w:tblPrEx>
        <w:trPr>
          <w:trHeight w:val="770" w:hRule="atLeast"/>
        </w:trPr>
        <w:tc>
          <w:tcPr>
            <w:tcW w:w="1453" w:type="dxa"/>
            <w:tcBorders>
              <w:top w:val="single" w:color="000000" w:sz="4" w:space="0"/>
              <w:left w:val="nil"/>
              <w:bottom w:val="single" w:color="000000" w:sz="4" w:space="0"/>
              <w:right w:val="nil"/>
            </w:tcBorders>
          </w:tcPr>
          <w:p w14:paraId="5FA988C0">
            <w:pPr>
              <w:pStyle w:val="85"/>
              <w:rPr>
                <w:rFonts w:hint="default" w:ascii="Times New Roman" w:hAnsi="Times New Roman" w:cs="Times New Roman"/>
                <w:sz w:val="24"/>
              </w:rPr>
            </w:pPr>
          </w:p>
        </w:tc>
        <w:tc>
          <w:tcPr>
            <w:tcW w:w="1685" w:type="dxa"/>
            <w:tcBorders>
              <w:top w:val="single" w:color="000000" w:sz="4" w:space="0"/>
              <w:left w:val="nil"/>
              <w:bottom w:val="single" w:color="000000" w:sz="4" w:space="0"/>
              <w:right w:val="nil"/>
            </w:tcBorders>
          </w:tcPr>
          <w:p w14:paraId="41CDEC37">
            <w:pPr>
              <w:pStyle w:val="85"/>
              <w:rPr>
                <w:rFonts w:hint="default" w:ascii="Times New Roman" w:hAnsi="Times New Roman" w:cs="Times New Roman"/>
                <w:sz w:val="24"/>
              </w:rPr>
            </w:pPr>
          </w:p>
        </w:tc>
        <w:tc>
          <w:tcPr>
            <w:tcW w:w="1289" w:type="dxa"/>
            <w:tcBorders>
              <w:top w:val="single" w:color="000000" w:sz="4" w:space="0"/>
              <w:left w:val="nil"/>
              <w:bottom w:val="single" w:color="000000" w:sz="4" w:space="0"/>
              <w:right w:val="nil"/>
            </w:tcBorders>
          </w:tcPr>
          <w:p w14:paraId="5DA5475F">
            <w:pPr>
              <w:pStyle w:val="85"/>
              <w:spacing w:before="19"/>
              <w:ind w:left="221" w:right="222"/>
              <w:rPr>
                <w:rFonts w:hint="default" w:ascii="Times New Roman" w:hAnsi="Times New Roman" w:cs="Times New Roman"/>
                <w:sz w:val="24"/>
                <w:lang w:val="id-ID"/>
              </w:rPr>
            </w:pPr>
            <w:r>
              <w:rPr>
                <w:rFonts w:hint="default" w:ascii="Times New Roman" w:hAnsi="Times New Roman" w:cs="Times New Roman"/>
                <w:sz w:val="24"/>
                <w:lang w:val="id-ID"/>
              </w:rPr>
              <w:t>Sum of Squares</w:t>
            </w:r>
          </w:p>
        </w:tc>
        <w:tc>
          <w:tcPr>
            <w:tcW w:w="725" w:type="dxa"/>
            <w:tcBorders>
              <w:top w:val="single" w:color="000000" w:sz="4" w:space="0"/>
              <w:left w:val="nil"/>
              <w:bottom w:val="single" w:color="000000" w:sz="4" w:space="0"/>
              <w:right w:val="nil"/>
            </w:tcBorders>
          </w:tcPr>
          <w:p w14:paraId="4B9A78C3">
            <w:pPr>
              <w:pStyle w:val="85"/>
              <w:spacing w:before="23"/>
              <w:rPr>
                <w:rFonts w:hint="default" w:ascii="Times New Roman" w:hAnsi="Times New Roman" w:cs="Times New Roman"/>
                <w:i/>
                <w:sz w:val="24"/>
              </w:rPr>
            </w:pPr>
          </w:p>
          <w:p w14:paraId="0677CCE6">
            <w:pPr>
              <w:pStyle w:val="85"/>
              <w:ind w:left="176"/>
              <w:rPr>
                <w:rFonts w:hint="default" w:ascii="Times New Roman" w:hAnsi="Times New Roman" w:cs="Times New Roman"/>
                <w:sz w:val="24"/>
                <w:lang w:val="id-ID"/>
              </w:rPr>
            </w:pPr>
            <w:r>
              <w:rPr>
                <w:rFonts w:hint="default" w:ascii="Times New Roman" w:hAnsi="Times New Roman" w:cs="Times New Roman"/>
                <w:spacing w:val="-5"/>
                <w:sz w:val="24"/>
                <w:lang w:val="id-ID"/>
              </w:rPr>
              <w:t>df</w:t>
            </w:r>
          </w:p>
        </w:tc>
        <w:tc>
          <w:tcPr>
            <w:tcW w:w="1301" w:type="dxa"/>
            <w:tcBorders>
              <w:top w:val="single" w:color="000000" w:sz="4" w:space="0"/>
              <w:left w:val="nil"/>
              <w:bottom w:val="single" w:color="000000" w:sz="4" w:space="0"/>
              <w:right w:val="nil"/>
            </w:tcBorders>
          </w:tcPr>
          <w:p w14:paraId="4096BEF0">
            <w:pPr>
              <w:pStyle w:val="85"/>
              <w:spacing w:before="19"/>
              <w:ind w:left="316" w:right="328"/>
              <w:rPr>
                <w:rFonts w:hint="default" w:ascii="Times New Roman" w:hAnsi="Times New Roman" w:cs="Times New Roman"/>
                <w:sz w:val="24"/>
              </w:rPr>
            </w:pPr>
            <w:r>
              <w:rPr>
                <w:rFonts w:hint="default" w:ascii="Times New Roman" w:hAnsi="Times New Roman" w:cs="Times New Roman"/>
                <w:spacing w:val="-4"/>
                <w:sz w:val="24"/>
              </w:rPr>
              <w:t>Mean Square</w:t>
            </w:r>
          </w:p>
        </w:tc>
        <w:tc>
          <w:tcPr>
            <w:tcW w:w="911" w:type="dxa"/>
            <w:tcBorders>
              <w:top w:val="single" w:color="000000" w:sz="4" w:space="0"/>
              <w:left w:val="nil"/>
              <w:bottom w:val="single" w:color="000000" w:sz="4" w:space="0"/>
              <w:right w:val="nil"/>
            </w:tcBorders>
          </w:tcPr>
          <w:p w14:paraId="34242A41">
            <w:pPr>
              <w:pStyle w:val="85"/>
              <w:spacing w:before="23"/>
              <w:rPr>
                <w:rFonts w:hint="default" w:ascii="Times New Roman" w:hAnsi="Times New Roman" w:cs="Times New Roman"/>
                <w:i/>
                <w:sz w:val="24"/>
              </w:rPr>
            </w:pPr>
          </w:p>
          <w:p w14:paraId="7EB7CA8C">
            <w:pPr>
              <w:pStyle w:val="85"/>
              <w:ind w:left="211"/>
              <w:rPr>
                <w:rFonts w:hint="default" w:ascii="Times New Roman" w:hAnsi="Times New Roman" w:cs="Times New Roman"/>
                <w:sz w:val="24"/>
                <w:lang w:val="id-ID"/>
              </w:rPr>
            </w:pPr>
            <w:r>
              <w:rPr>
                <w:rFonts w:hint="default" w:ascii="Times New Roman" w:hAnsi="Times New Roman" w:cs="Times New Roman"/>
                <w:spacing w:val="-10"/>
                <w:sz w:val="24"/>
                <w:lang w:val="id-ID"/>
              </w:rPr>
              <w:t>F</w:t>
            </w:r>
          </w:p>
        </w:tc>
        <w:tc>
          <w:tcPr>
            <w:tcW w:w="1007" w:type="dxa"/>
            <w:tcBorders>
              <w:top w:val="single" w:color="000000" w:sz="4" w:space="0"/>
              <w:left w:val="nil"/>
              <w:bottom w:val="single" w:color="000000" w:sz="4" w:space="0"/>
              <w:right w:val="nil"/>
            </w:tcBorders>
          </w:tcPr>
          <w:p w14:paraId="07991142">
            <w:pPr>
              <w:pStyle w:val="85"/>
              <w:spacing w:before="23"/>
              <w:rPr>
                <w:rFonts w:hint="default" w:ascii="Times New Roman" w:hAnsi="Times New Roman" w:cs="Times New Roman"/>
                <w:i/>
                <w:sz w:val="24"/>
              </w:rPr>
            </w:pPr>
          </w:p>
          <w:p w14:paraId="214FF366">
            <w:pPr>
              <w:pStyle w:val="85"/>
              <w:ind w:left="168"/>
              <w:rPr>
                <w:rFonts w:hint="default" w:ascii="Times New Roman" w:hAnsi="Times New Roman" w:cs="Times New Roman"/>
                <w:sz w:val="24"/>
                <w:lang w:val="id-ID"/>
              </w:rPr>
            </w:pPr>
            <w:r>
              <w:rPr>
                <w:rFonts w:hint="default" w:ascii="Times New Roman" w:hAnsi="Times New Roman" w:cs="Times New Roman"/>
                <w:spacing w:val="-4"/>
                <w:sz w:val="24"/>
                <w:lang w:val="id-ID"/>
              </w:rPr>
              <w:t>Sig.</w:t>
            </w:r>
          </w:p>
        </w:tc>
      </w:tr>
      <w:tr w14:paraId="7AC9D0AC">
        <w:tblPrEx>
          <w:tblCellMar>
            <w:top w:w="0" w:type="dxa"/>
            <w:left w:w="0" w:type="dxa"/>
            <w:bottom w:w="0" w:type="dxa"/>
            <w:right w:w="0" w:type="dxa"/>
          </w:tblCellMar>
        </w:tblPrEx>
        <w:trPr>
          <w:trHeight w:val="560" w:hRule="atLeast"/>
        </w:trPr>
        <w:tc>
          <w:tcPr>
            <w:tcW w:w="1453" w:type="dxa"/>
            <w:tcBorders>
              <w:top w:val="single" w:color="000000" w:sz="4" w:space="0"/>
              <w:left w:val="nil"/>
              <w:bottom w:val="nil"/>
              <w:right w:val="nil"/>
            </w:tcBorders>
          </w:tcPr>
          <w:p w14:paraId="0F0B3235">
            <w:pPr>
              <w:pStyle w:val="85"/>
              <w:ind w:left="42" w:right="579"/>
              <w:rPr>
                <w:rFonts w:hint="default" w:ascii="Times New Roman" w:hAnsi="Times New Roman" w:cs="Times New Roman"/>
                <w:sz w:val="24"/>
                <w:lang w:val="id-ID"/>
              </w:rPr>
            </w:pPr>
            <w:r>
              <w:rPr>
                <w:rFonts w:hint="default" w:ascii="Times New Roman" w:hAnsi="Times New Roman" w:cs="Times New Roman"/>
                <w:spacing w:val="-4"/>
                <w:sz w:val="24"/>
                <w:lang w:val="id-ID"/>
              </w:rPr>
              <w:t>Between Groups</w:t>
            </w:r>
          </w:p>
        </w:tc>
        <w:tc>
          <w:tcPr>
            <w:tcW w:w="1685" w:type="dxa"/>
            <w:tcBorders>
              <w:top w:val="single" w:color="000000" w:sz="4" w:space="0"/>
              <w:left w:val="nil"/>
              <w:bottom w:val="nil"/>
              <w:right w:val="nil"/>
            </w:tcBorders>
          </w:tcPr>
          <w:p w14:paraId="48036C75">
            <w:pPr>
              <w:pStyle w:val="85"/>
              <w:spacing w:before="19"/>
              <w:ind w:left="-3"/>
              <w:rPr>
                <w:rFonts w:hint="default" w:ascii="Times New Roman" w:hAnsi="Times New Roman" w:cs="Times New Roman"/>
                <w:sz w:val="24"/>
              </w:rPr>
            </w:pPr>
            <w:r>
              <w:rPr>
                <w:rFonts w:hint="default" w:ascii="Times New Roman" w:hAnsi="Times New Roman" w:cs="Times New Roman"/>
                <w:spacing w:val="-2"/>
                <w:sz w:val="24"/>
              </w:rPr>
              <w:t>(Combined)</w:t>
            </w:r>
          </w:p>
        </w:tc>
        <w:tc>
          <w:tcPr>
            <w:tcW w:w="1289" w:type="dxa"/>
            <w:tcBorders>
              <w:top w:val="single" w:color="000000" w:sz="4" w:space="0"/>
              <w:left w:val="nil"/>
              <w:bottom w:val="nil"/>
              <w:right w:val="nil"/>
            </w:tcBorders>
          </w:tcPr>
          <w:p w14:paraId="63CF2922">
            <w:pPr>
              <w:pStyle w:val="85"/>
              <w:spacing w:before="19"/>
              <w:ind w:left="117" w:right="64"/>
              <w:jc w:val="center"/>
              <w:rPr>
                <w:rFonts w:hint="default" w:ascii="Times New Roman" w:hAnsi="Times New Roman" w:cs="Times New Roman"/>
                <w:sz w:val="24"/>
              </w:rPr>
            </w:pPr>
            <w:r>
              <w:rPr>
                <w:rFonts w:hint="default" w:ascii="Times New Roman" w:hAnsi="Times New Roman" w:cs="Times New Roman"/>
                <w:spacing w:val="-2"/>
                <w:sz w:val="24"/>
              </w:rPr>
              <w:t>2680.063</w:t>
            </w:r>
          </w:p>
        </w:tc>
        <w:tc>
          <w:tcPr>
            <w:tcW w:w="725" w:type="dxa"/>
            <w:tcBorders>
              <w:top w:val="single" w:color="000000" w:sz="4" w:space="0"/>
              <w:left w:val="nil"/>
              <w:bottom w:val="nil"/>
              <w:right w:val="nil"/>
            </w:tcBorders>
          </w:tcPr>
          <w:p w14:paraId="1A466B2B">
            <w:pPr>
              <w:pStyle w:val="85"/>
              <w:spacing w:before="19"/>
              <w:ind w:left="176"/>
              <w:rPr>
                <w:rFonts w:hint="default" w:ascii="Times New Roman" w:hAnsi="Times New Roman" w:cs="Times New Roman"/>
                <w:sz w:val="24"/>
              </w:rPr>
            </w:pPr>
            <w:r>
              <w:rPr>
                <w:rFonts w:hint="default" w:ascii="Times New Roman" w:hAnsi="Times New Roman" w:cs="Times New Roman"/>
                <w:spacing w:val="-5"/>
                <w:sz w:val="24"/>
              </w:rPr>
              <w:t>22</w:t>
            </w:r>
          </w:p>
        </w:tc>
        <w:tc>
          <w:tcPr>
            <w:tcW w:w="1301" w:type="dxa"/>
            <w:tcBorders>
              <w:top w:val="single" w:color="000000" w:sz="4" w:space="0"/>
              <w:left w:val="nil"/>
              <w:bottom w:val="nil"/>
              <w:right w:val="nil"/>
            </w:tcBorders>
          </w:tcPr>
          <w:p w14:paraId="4DE6E724">
            <w:pPr>
              <w:pStyle w:val="85"/>
              <w:spacing w:before="19"/>
              <w:ind w:left="323"/>
              <w:rPr>
                <w:rFonts w:hint="default" w:ascii="Times New Roman" w:hAnsi="Times New Roman" w:cs="Times New Roman"/>
                <w:sz w:val="24"/>
              </w:rPr>
            </w:pPr>
            <w:r>
              <w:rPr>
                <w:rFonts w:hint="default" w:ascii="Times New Roman" w:hAnsi="Times New Roman" w:cs="Times New Roman"/>
                <w:spacing w:val="-2"/>
                <w:sz w:val="24"/>
              </w:rPr>
              <w:t>121.821</w:t>
            </w:r>
          </w:p>
        </w:tc>
        <w:tc>
          <w:tcPr>
            <w:tcW w:w="911" w:type="dxa"/>
            <w:tcBorders>
              <w:top w:val="single" w:color="000000" w:sz="4" w:space="0"/>
              <w:left w:val="nil"/>
              <w:bottom w:val="nil"/>
              <w:right w:val="nil"/>
            </w:tcBorders>
          </w:tcPr>
          <w:p w14:paraId="02CC6430">
            <w:pPr>
              <w:pStyle w:val="85"/>
              <w:spacing w:before="19"/>
              <w:ind w:left="211"/>
              <w:rPr>
                <w:rFonts w:hint="default" w:ascii="Times New Roman" w:hAnsi="Times New Roman" w:cs="Times New Roman"/>
                <w:sz w:val="24"/>
              </w:rPr>
            </w:pPr>
            <w:r>
              <w:rPr>
                <w:rFonts w:hint="default" w:ascii="Times New Roman" w:hAnsi="Times New Roman" w:cs="Times New Roman"/>
                <w:spacing w:val="-2"/>
                <w:sz w:val="24"/>
              </w:rPr>
              <w:t>1.543</w:t>
            </w:r>
          </w:p>
        </w:tc>
        <w:tc>
          <w:tcPr>
            <w:tcW w:w="1007" w:type="dxa"/>
            <w:tcBorders>
              <w:top w:val="single" w:color="000000" w:sz="4" w:space="0"/>
              <w:left w:val="nil"/>
              <w:bottom w:val="nil"/>
              <w:right w:val="nil"/>
            </w:tcBorders>
          </w:tcPr>
          <w:p w14:paraId="5657058F">
            <w:pPr>
              <w:pStyle w:val="85"/>
              <w:spacing w:before="19"/>
              <w:ind w:left="168"/>
              <w:rPr>
                <w:rFonts w:hint="default" w:ascii="Times New Roman" w:hAnsi="Times New Roman" w:cs="Times New Roman"/>
                <w:sz w:val="24"/>
              </w:rPr>
            </w:pPr>
            <w:r>
              <w:rPr>
                <w:rFonts w:hint="default" w:ascii="Times New Roman" w:hAnsi="Times New Roman" w:cs="Times New Roman"/>
                <w:spacing w:val="-4"/>
                <w:sz w:val="24"/>
              </w:rPr>
              <w:t>.102</w:t>
            </w:r>
          </w:p>
        </w:tc>
      </w:tr>
      <w:tr w14:paraId="640DF30F">
        <w:tblPrEx>
          <w:tblCellMar>
            <w:top w:w="0" w:type="dxa"/>
            <w:left w:w="0" w:type="dxa"/>
            <w:bottom w:w="0" w:type="dxa"/>
            <w:right w:w="0" w:type="dxa"/>
          </w:tblCellMar>
        </w:tblPrEx>
        <w:trPr>
          <w:trHeight w:val="410" w:hRule="atLeast"/>
        </w:trPr>
        <w:tc>
          <w:tcPr>
            <w:tcW w:w="1453" w:type="dxa"/>
          </w:tcPr>
          <w:p w14:paraId="77D28372">
            <w:pPr>
              <w:pStyle w:val="85"/>
              <w:rPr>
                <w:rFonts w:hint="default" w:ascii="Times New Roman" w:hAnsi="Times New Roman" w:cs="Times New Roman"/>
                <w:sz w:val="24"/>
              </w:rPr>
            </w:pPr>
          </w:p>
        </w:tc>
        <w:tc>
          <w:tcPr>
            <w:tcW w:w="1685" w:type="dxa"/>
          </w:tcPr>
          <w:p w14:paraId="08D5C6F2">
            <w:pPr>
              <w:pStyle w:val="85"/>
              <w:ind w:left="-3"/>
              <w:rPr>
                <w:rFonts w:hint="default" w:ascii="Times New Roman" w:hAnsi="Times New Roman" w:cs="Times New Roman"/>
                <w:sz w:val="24"/>
                <w:lang w:val="id-ID"/>
              </w:rPr>
            </w:pPr>
            <w:r>
              <w:rPr>
                <w:rFonts w:hint="default" w:ascii="Times New Roman" w:hAnsi="Times New Roman" w:cs="Times New Roman"/>
                <w:spacing w:val="-2"/>
                <w:sz w:val="24"/>
                <w:lang w:val="id-ID"/>
              </w:rPr>
              <w:t>Linearity</w:t>
            </w:r>
          </w:p>
        </w:tc>
        <w:tc>
          <w:tcPr>
            <w:tcW w:w="1289" w:type="dxa"/>
          </w:tcPr>
          <w:p w14:paraId="2C05CEF3">
            <w:pPr>
              <w:pStyle w:val="85"/>
              <w:ind w:left="53" w:right="117"/>
              <w:jc w:val="center"/>
              <w:rPr>
                <w:rFonts w:hint="default" w:ascii="Times New Roman" w:hAnsi="Times New Roman" w:cs="Times New Roman"/>
                <w:sz w:val="24"/>
              </w:rPr>
            </w:pPr>
            <w:r>
              <w:rPr>
                <w:rFonts w:hint="default" w:ascii="Times New Roman" w:hAnsi="Times New Roman" w:cs="Times New Roman"/>
                <w:spacing w:val="-2"/>
                <w:sz w:val="24"/>
              </w:rPr>
              <w:t>429.069</w:t>
            </w:r>
          </w:p>
        </w:tc>
        <w:tc>
          <w:tcPr>
            <w:tcW w:w="725" w:type="dxa"/>
          </w:tcPr>
          <w:p w14:paraId="1B8F42AD">
            <w:pPr>
              <w:pStyle w:val="85"/>
              <w:ind w:left="176"/>
              <w:rPr>
                <w:rFonts w:hint="default" w:ascii="Times New Roman" w:hAnsi="Times New Roman" w:cs="Times New Roman"/>
                <w:sz w:val="24"/>
              </w:rPr>
            </w:pPr>
            <w:r>
              <w:rPr>
                <w:rFonts w:hint="default" w:ascii="Times New Roman" w:hAnsi="Times New Roman" w:cs="Times New Roman"/>
                <w:spacing w:val="-10"/>
                <w:sz w:val="24"/>
              </w:rPr>
              <w:t>1</w:t>
            </w:r>
          </w:p>
        </w:tc>
        <w:tc>
          <w:tcPr>
            <w:tcW w:w="1301" w:type="dxa"/>
          </w:tcPr>
          <w:p w14:paraId="590EF7DF">
            <w:pPr>
              <w:pStyle w:val="85"/>
              <w:ind w:left="323"/>
              <w:rPr>
                <w:rFonts w:hint="default" w:ascii="Times New Roman" w:hAnsi="Times New Roman" w:cs="Times New Roman"/>
                <w:sz w:val="24"/>
              </w:rPr>
            </w:pPr>
            <w:r>
              <w:rPr>
                <w:rFonts w:hint="default" w:ascii="Times New Roman" w:hAnsi="Times New Roman" w:cs="Times New Roman"/>
                <w:spacing w:val="-2"/>
                <w:sz w:val="24"/>
              </w:rPr>
              <w:t>429.069</w:t>
            </w:r>
          </w:p>
        </w:tc>
        <w:tc>
          <w:tcPr>
            <w:tcW w:w="911" w:type="dxa"/>
          </w:tcPr>
          <w:p w14:paraId="059286FC">
            <w:pPr>
              <w:pStyle w:val="85"/>
              <w:ind w:left="211"/>
              <w:rPr>
                <w:rFonts w:hint="default" w:ascii="Times New Roman" w:hAnsi="Times New Roman" w:cs="Times New Roman"/>
                <w:sz w:val="24"/>
              </w:rPr>
            </w:pPr>
            <w:r>
              <w:rPr>
                <w:rFonts w:hint="default" w:ascii="Times New Roman" w:hAnsi="Times New Roman" w:cs="Times New Roman"/>
                <w:spacing w:val="-2"/>
                <w:sz w:val="24"/>
              </w:rPr>
              <w:t>5.435</w:t>
            </w:r>
          </w:p>
        </w:tc>
        <w:tc>
          <w:tcPr>
            <w:tcW w:w="1007" w:type="dxa"/>
          </w:tcPr>
          <w:p w14:paraId="4A8603EE">
            <w:pPr>
              <w:pStyle w:val="85"/>
              <w:ind w:left="168"/>
              <w:rPr>
                <w:rFonts w:hint="default" w:ascii="Times New Roman" w:hAnsi="Times New Roman" w:cs="Times New Roman"/>
                <w:sz w:val="24"/>
              </w:rPr>
            </w:pPr>
            <w:r>
              <w:rPr>
                <w:rFonts w:hint="default" w:ascii="Times New Roman" w:hAnsi="Times New Roman" w:cs="Times New Roman"/>
                <w:spacing w:val="-4"/>
                <w:sz w:val="24"/>
              </w:rPr>
              <w:t>.024</w:t>
            </w:r>
          </w:p>
        </w:tc>
      </w:tr>
      <w:tr w14:paraId="3ABA961D">
        <w:tblPrEx>
          <w:tblCellMar>
            <w:top w:w="0" w:type="dxa"/>
            <w:left w:w="0" w:type="dxa"/>
            <w:bottom w:w="0" w:type="dxa"/>
            <w:right w:w="0" w:type="dxa"/>
          </w:tblCellMar>
        </w:tblPrEx>
        <w:trPr>
          <w:trHeight w:val="792" w:hRule="atLeast"/>
        </w:trPr>
        <w:tc>
          <w:tcPr>
            <w:tcW w:w="1453" w:type="dxa"/>
          </w:tcPr>
          <w:p w14:paraId="184A0129">
            <w:pPr>
              <w:pStyle w:val="85"/>
              <w:rPr>
                <w:rFonts w:hint="default" w:ascii="Times New Roman" w:hAnsi="Times New Roman" w:cs="Times New Roman"/>
                <w:sz w:val="24"/>
              </w:rPr>
            </w:pPr>
          </w:p>
        </w:tc>
        <w:tc>
          <w:tcPr>
            <w:tcW w:w="1685" w:type="dxa"/>
          </w:tcPr>
          <w:p w14:paraId="77538CE3">
            <w:pPr>
              <w:pStyle w:val="85"/>
              <w:spacing w:before="125"/>
              <w:ind w:left="-3"/>
              <w:rPr>
                <w:rFonts w:hint="default" w:ascii="Times New Roman" w:hAnsi="Times New Roman" w:cs="Times New Roman"/>
                <w:sz w:val="24"/>
              </w:rPr>
            </w:pPr>
            <w:r>
              <w:rPr>
                <w:rFonts w:hint="default" w:ascii="Times New Roman" w:hAnsi="Times New Roman" w:cs="Times New Roman"/>
                <w:spacing w:val="-2"/>
                <w:sz w:val="24"/>
              </w:rPr>
              <w:t>Deviation</w:t>
            </w:r>
            <w:r>
              <w:rPr>
                <w:rFonts w:hint="default" w:ascii="Times New Roman" w:hAnsi="Times New Roman" w:cs="Times New Roman"/>
                <w:spacing w:val="-14"/>
                <w:sz w:val="24"/>
              </w:rPr>
              <w:t xml:space="preserve"> </w:t>
            </w:r>
            <w:r>
              <w:rPr>
                <w:rFonts w:hint="default" w:ascii="Times New Roman" w:hAnsi="Times New Roman" w:cs="Times New Roman"/>
                <w:spacing w:val="-2"/>
                <w:sz w:val="24"/>
              </w:rPr>
              <w:t>from Linearity</w:t>
            </w:r>
          </w:p>
        </w:tc>
        <w:tc>
          <w:tcPr>
            <w:tcW w:w="1289" w:type="dxa"/>
          </w:tcPr>
          <w:p w14:paraId="5B0CA947">
            <w:pPr>
              <w:pStyle w:val="85"/>
              <w:spacing w:before="261"/>
              <w:ind w:left="117" w:right="64"/>
              <w:jc w:val="center"/>
              <w:rPr>
                <w:rFonts w:hint="default" w:ascii="Times New Roman" w:hAnsi="Times New Roman" w:cs="Times New Roman"/>
                <w:sz w:val="24"/>
              </w:rPr>
            </w:pPr>
            <w:r>
              <w:rPr>
                <w:rFonts w:hint="default" w:ascii="Times New Roman" w:hAnsi="Times New Roman" w:cs="Times New Roman"/>
                <w:spacing w:val="-2"/>
                <w:sz w:val="24"/>
              </w:rPr>
              <w:t>2250.993</w:t>
            </w:r>
          </w:p>
        </w:tc>
        <w:tc>
          <w:tcPr>
            <w:tcW w:w="725" w:type="dxa"/>
          </w:tcPr>
          <w:p w14:paraId="4AB47C70">
            <w:pPr>
              <w:pStyle w:val="85"/>
              <w:spacing w:before="261"/>
              <w:ind w:left="176"/>
              <w:rPr>
                <w:rFonts w:hint="default" w:ascii="Times New Roman" w:hAnsi="Times New Roman" w:cs="Times New Roman"/>
                <w:sz w:val="24"/>
              </w:rPr>
            </w:pPr>
            <w:r>
              <w:rPr>
                <w:rFonts w:hint="default" w:ascii="Times New Roman" w:hAnsi="Times New Roman" w:cs="Times New Roman"/>
                <w:spacing w:val="-5"/>
                <w:sz w:val="24"/>
              </w:rPr>
              <w:t>21</w:t>
            </w:r>
          </w:p>
        </w:tc>
        <w:tc>
          <w:tcPr>
            <w:tcW w:w="1301" w:type="dxa"/>
          </w:tcPr>
          <w:p w14:paraId="570250BC">
            <w:pPr>
              <w:pStyle w:val="85"/>
              <w:spacing w:before="261"/>
              <w:ind w:left="323"/>
              <w:rPr>
                <w:rFonts w:hint="default" w:ascii="Times New Roman" w:hAnsi="Times New Roman" w:cs="Times New Roman"/>
                <w:sz w:val="24"/>
              </w:rPr>
            </w:pPr>
            <w:r>
              <w:rPr>
                <w:rFonts w:hint="default" w:ascii="Times New Roman" w:hAnsi="Times New Roman" w:cs="Times New Roman"/>
                <w:spacing w:val="-2"/>
                <w:sz w:val="24"/>
              </w:rPr>
              <w:t>107.190</w:t>
            </w:r>
          </w:p>
        </w:tc>
        <w:tc>
          <w:tcPr>
            <w:tcW w:w="911" w:type="dxa"/>
          </w:tcPr>
          <w:p w14:paraId="0A158235">
            <w:pPr>
              <w:pStyle w:val="85"/>
              <w:spacing w:before="261"/>
              <w:ind w:left="211"/>
              <w:rPr>
                <w:rFonts w:hint="default" w:ascii="Times New Roman" w:hAnsi="Times New Roman" w:cs="Times New Roman"/>
                <w:sz w:val="24"/>
              </w:rPr>
            </w:pPr>
            <w:r>
              <w:rPr>
                <w:rFonts w:hint="default" w:ascii="Times New Roman" w:hAnsi="Times New Roman" w:cs="Times New Roman"/>
                <w:spacing w:val="-2"/>
                <w:sz w:val="24"/>
              </w:rPr>
              <w:t>1.358</w:t>
            </w:r>
          </w:p>
        </w:tc>
        <w:tc>
          <w:tcPr>
            <w:tcW w:w="1007" w:type="dxa"/>
          </w:tcPr>
          <w:p w14:paraId="5D746AB8">
            <w:pPr>
              <w:pStyle w:val="85"/>
              <w:spacing w:before="261"/>
              <w:ind w:left="168"/>
              <w:rPr>
                <w:rFonts w:hint="default" w:ascii="Times New Roman" w:hAnsi="Times New Roman" w:cs="Times New Roman"/>
                <w:sz w:val="24"/>
              </w:rPr>
            </w:pPr>
            <w:r>
              <w:rPr>
                <w:rFonts w:hint="default" w:ascii="Times New Roman" w:hAnsi="Times New Roman" w:cs="Times New Roman"/>
                <w:spacing w:val="-4"/>
                <w:sz w:val="24"/>
              </w:rPr>
              <w:t>.185</w:t>
            </w:r>
          </w:p>
        </w:tc>
      </w:tr>
      <w:tr w14:paraId="39867514">
        <w:tblPrEx>
          <w:tblCellMar>
            <w:top w:w="0" w:type="dxa"/>
            <w:left w:w="0" w:type="dxa"/>
            <w:bottom w:w="0" w:type="dxa"/>
            <w:right w:w="0" w:type="dxa"/>
          </w:tblCellMar>
        </w:tblPrEx>
        <w:trPr>
          <w:trHeight w:val="493" w:hRule="atLeast"/>
        </w:trPr>
        <w:tc>
          <w:tcPr>
            <w:tcW w:w="1453" w:type="dxa"/>
          </w:tcPr>
          <w:p w14:paraId="375453F4">
            <w:pPr>
              <w:pStyle w:val="85"/>
              <w:spacing w:before="105"/>
              <w:ind w:left="42" w:right="-15"/>
              <w:rPr>
                <w:rFonts w:hint="default" w:ascii="Times New Roman" w:hAnsi="Times New Roman" w:cs="Times New Roman"/>
                <w:sz w:val="24"/>
              </w:rPr>
            </w:pPr>
            <w:r>
              <w:rPr>
                <w:rFonts w:hint="default" w:ascii="Times New Roman" w:hAnsi="Times New Roman" w:cs="Times New Roman"/>
                <w:sz w:val="24"/>
              </w:rPr>
              <w:t>Within</w:t>
            </w:r>
            <w:r>
              <w:rPr>
                <w:rFonts w:hint="default" w:ascii="Times New Roman" w:hAnsi="Times New Roman" w:cs="Times New Roman"/>
                <w:spacing w:val="-12"/>
                <w:sz w:val="24"/>
              </w:rPr>
              <w:t xml:space="preserve"> </w:t>
            </w:r>
            <w:r>
              <w:rPr>
                <w:rFonts w:hint="default" w:ascii="Times New Roman" w:hAnsi="Times New Roman" w:cs="Times New Roman"/>
                <w:spacing w:val="-2"/>
                <w:sz w:val="24"/>
              </w:rPr>
              <w:t>Groups</w:t>
            </w:r>
          </w:p>
        </w:tc>
        <w:tc>
          <w:tcPr>
            <w:tcW w:w="1685" w:type="dxa"/>
          </w:tcPr>
          <w:p w14:paraId="5434218A">
            <w:pPr>
              <w:pStyle w:val="85"/>
              <w:rPr>
                <w:rFonts w:hint="default" w:ascii="Times New Roman" w:hAnsi="Times New Roman" w:cs="Times New Roman"/>
                <w:sz w:val="24"/>
              </w:rPr>
            </w:pPr>
          </w:p>
        </w:tc>
        <w:tc>
          <w:tcPr>
            <w:tcW w:w="1289" w:type="dxa"/>
          </w:tcPr>
          <w:p w14:paraId="613440A9">
            <w:pPr>
              <w:pStyle w:val="85"/>
              <w:spacing w:before="105"/>
              <w:ind w:left="117" w:right="64"/>
              <w:jc w:val="center"/>
              <w:rPr>
                <w:rFonts w:hint="default" w:ascii="Times New Roman" w:hAnsi="Times New Roman" w:cs="Times New Roman"/>
                <w:sz w:val="24"/>
              </w:rPr>
            </w:pPr>
            <w:r>
              <w:rPr>
                <w:rFonts w:hint="default" w:ascii="Times New Roman" w:hAnsi="Times New Roman" w:cs="Times New Roman"/>
                <w:spacing w:val="-2"/>
                <w:sz w:val="24"/>
              </w:rPr>
              <w:t>4025.883</w:t>
            </w:r>
          </w:p>
        </w:tc>
        <w:tc>
          <w:tcPr>
            <w:tcW w:w="725" w:type="dxa"/>
          </w:tcPr>
          <w:p w14:paraId="23C7E82D">
            <w:pPr>
              <w:pStyle w:val="85"/>
              <w:spacing w:before="105"/>
              <w:ind w:left="176"/>
              <w:rPr>
                <w:rFonts w:hint="default" w:ascii="Times New Roman" w:hAnsi="Times New Roman" w:cs="Times New Roman"/>
                <w:sz w:val="24"/>
              </w:rPr>
            </w:pPr>
            <w:r>
              <w:rPr>
                <w:rFonts w:hint="default" w:ascii="Times New Roman" w:hAnsi="Times New Roman" w:cs="Times New Roman"/>
                <w:spacing w:val="-5"/>
                <w:sz w:val="24"/>
              </w:rPr>
              <w:t>51</w:t>
            </w:r>
          </w:p>
        </w:tc>
        <w:tc>
          <w:tcPr>
            <w:tcW w:w="1301" w:type="dxa"/>
          </w:tcPr>
          <w:p w14:paraId="36A640E1">
            <w:pPr>
              <w:pStyle w:val="85"/>
              <w:spacing w:before="105"/>
              <w:ind w:left="320"/>
              <w:rPr>
                <w:rFonts w:hint="default" w:ascii="Times New Roman" w:hAnsi="Times New Roman" w:cs="Times New Roman"/>
                <w:sz w:val="24"/>
              </w:rPr>
            </w:pPr>
            <w:r>
              <w:rPr>
                <w:rFonts w:hint="default" w:ascii="Times New Roman" w:hAnsi="Times New Roman" w:cs="Times New Roman"/>
                <w:spacing w:val="-2"/>
                <w:sz w:val="24"/>
              </w:rPr>
              <w:t>78.939</w:t>
            </w:r>
          </w:p>
        </w:tc>
        <w:tc>
          <w:tcPr>
            <w:tcW w:w="911" w:type="dxa"/>
          </w:tcPr>
          <w:p w14:paraId="66646E4A">
            <w:pPr>
              <w:pStyle w:val="85"/>
              <w:rPr>
                <w:rFonts w:hint="default" w:ascii="Times New Roman" w:hAnsi="Times New Roman" w:cs="Times New Roman"/>
                <w:sz w:val="24"/>
              </w:rPr>
            </w:pPr>
          </w:p>
        </w:tc>
        <w:tc>
          <w:tcPr>
            <w:tcW w:w="1007" w:type="dxa"/>
          </w:tcPr>
          <w:p w14:paraId="115112ED">
            <w:pPr>
              <w:pStyle w:val="85"/>
              <w:rPr>
                <w:rFonts w:hint="default" w:ascii="Times New Roman" w:hAnsi="Times New Roman" w:cs="Times New Roman"/>
                <w:sz w:val="24"/>
              </w:rPr>
            </w:pPr>
          </w:p>
        </w:tc>
      </w:tr>
      <w:tr w14:paraId="40A9E4FB">
        <w:tblPrEx>
          <w:tblCellMar>
            <w:top w:w="0" w:type="dxa"/>
            <w:left w:w="0" w:type="dxa"/>
            <w:bottom w:w="0" w:type="dxa"/>
            <w:right w:w="0" w:type="dxa"/>
          </w:tblCellMar>
        </w:tblPrEx>
        <w:trPr>
          <w:trHeight w:val="581" w:hRule="atLeast"/>
        </w:trPr>
        <w:tc>
          <w:tcPr>
            <w:tcW w:w="1453" w:type="dxa"/>
            <w:tcBorders>
              <w:top w:val="nil"/>
              <w:left w:val="nil"/>
              <w:bottom w:val="single" w:color="000000" w:sz="4" w:space="0"/>
              <w:right w:val="nil"/>
            </w:tcBorders>
          </w:tcPr>
          <w:p w14:paraId="799CFB66">
            <w:pPr>
              <w:pStyle w:val="85"/>
              <w:spacing w:before="103"/>
              <w:ind w:left="42"/>
              <w:rPr>
                <w:rFonts w:hint="default" w:ascii="Times New Roman" w:hAnsi="Times New Roman" w:cs="Times New Roman"/>
                <w:sz w:val="24"/>
                <w:lang w:val="id-ID"/>
              </w:rPr>
            </w:pPr>
            <w:r>
              <w:rPr>
                <w:rFonts w:hint="default" w:ascii="Times New Roman" w:hAnsi="Times New Roman" w:cs="Times New Roman"/>
                <w:spacing w:val="-2"/>
                <w:sz w:val="24"/>
                <w:lang w:val="id-ID"/>
              </w:rPr>
              <w:t>Total</w:t>
            </w:r>
          </w:p>
        </w:tc>
        <w:tc>
          <w:tcPr>
            <w:tcW w:w="1685" w:type="dxa"/>
            <w:tcBorders>
              <w:top w:val="nil"/>
              <w:left w:val="nil"/>
              <w:bottom w:val="single" w:color="000000" w:sz="4" w:space="0"/>
              <w:right w:val="nil"/>
            </w:tcBorders>
          </w:tcPr>
          <w:p w14:paraId="183B05C9">
            <w:pPr>
              <w:pStyle w:val="85"/>
              <w:rPr>
                <w:rFonts w:hint="default" w:ascii="Times New Roman" w:hAnsi="Times New Roman" w:cs="Times New Roman"/>
                <w:sz w:val="24"/>
              </w:rPr>
            </w:pPr>
          </w:p>
        </w:tc>
        <w:tc>
          <w:tcPr>
            <w:tcW w:w="1289" w:type="dxa"/>
            <w:tcBorders>
              <w:top w:val="nil"/>
              <w:left w:val="nil"/>
              <w:bottom w:val="single" w:color="000000" w:sz="4" w:space="0"/>
              <w:right w:val="nil"/>
            </w:tcBorders>
          </w:tcPr>
          <w:p w14:paraId="3848B47F">
            <w:pPr>
              <w:pStyle w:val="85"/>
              <w:spacing w:before="103"/>
              <w:ind w:left="117" w:right="64"/>
              <w:jc w:val="center"/>
              <w:rPr>
                <w:rFonts w:hint="default" w:ascii="Times New Roman" w:hAnsi="Times New Roman" w:cs="Times New Roman"/>
                <w:sz w:val="24"/>
              </w:rPr>
            </w:pPr>
            <w:r>
              <w:rPr>
                <w:rFonts w:hint="default" w:ascii="Times New Roman" w:hAnsi="Times New Roman" w:cs="Times New Roman"/>
                <w:spacing w:val="-2"/>
                <w:sz w:val="24"/>
              </w:rPr>
              <w:t>6705.946</w:t>
            </w:r>
          </w:p>
        </w:tc>
        <w:tc>
          <w:tcPr>
            <w:tcW w:w="725" w:type="dxa"/>
            <w:tcBorders>
              <w:top w:val="nil"/>
              <w:left w:val="nil"/>
              <w:bottom w:val="single" w:color="000000" w:sz="4" w:space="0"/>
              <w:right w:val="nil"/>
            </w:tcBorders>
          </w:tcPr>
          <w:p w14:paraId="03EA9B77">
            <w:pPr>
              <w:pStyle w:val="85"/>
              <w:spacing w:before="103"/>
              <w:ind w:left="176"/>
              <w:rPr>
                <w:rFonts w:hint="default" w:ascii="Times New Roman" w:hAnsi="Times New Roman" w:cs="Times New Roman"/>
                <w:sz w:val="24"/>
              </w:rPr>
            </w:pPr>
            <w:r>
              <w:rPr>
                <w:rFonts w:hint="default" w:ascii="Times New Roman" w:hAnsi="Times New Roman" w:cs="Times New Roman"/>
                <w:spacing w:val="-5"/>
                <w:sz w:val="24"/>
              </w:rPr>
              <w:t>73</w:t>
            </w:r>
          </w:p>
        </w:tc>
        <w:tc>
          <w:tcPr>
            <w:tcW w:w="1301" w:type="dxa"/>
            <w:tcBorders>
              <w:top w:val="nil"/>
              <w:left w:val="nil"/>
              <w:bottom w:val="single" w:color="000000" w:sz="4" w:space="0"/>
              <w:right w:val="nil"/>
            </w:tcBorders>
          </w:tcPr>
          <w:p w14:paraId="7CCF24D2">
            <w:pPr>
              <w:pStyle w:val="85"/>
              <w:rPr>
                <w:rFonts w:hint="default" w:ascii="Times New Roman" w:hAnsi="Times New Roman" w:cs="Times New Roman"/>
                <w:sz w:val="24"/>
              </w:rPr>
            </w:pPr>
          </w:p>
        </w:tc>
        <w:tc>
          <w:tcPr>
            <w:tcW w:w="911" w:type="dxa"/>
            <w:tcBorders>
              <w:top w:val="nil"/>
              <w:left w:val="nil"/>
              <w:bottom w:val="single" w:color="000000" w:sz="4" w:space="0"/>
              <w:right w:val="nil"/>
            </w:tcBorders>
          </w:tcPr>
          <w:p w14:paraId="15A53407">
            <w:pPr>
              <w:pStyle w:val="85"/>
              <w:rPr>
                <w:rFonts w:hint="default" w:ascii="Times New Roman" w:hAnsi="Times New Roman" w:cs="Times New Roman"/>
                <w:sz w:val="24"/>
              </w:rPr>
            </w:pPr>
          </w:p>
        </w:tc>
        <w:tc>
          <w:tcPr>
            <w:tcW w:w="1007" w:type="dxa"/>
            <w:tcBorders>
              <w:top w:val="nil"/>
              <w:left w:val="nil"/>
              <w:bottom w:val="single" w:color="000000" w:sz="4" w:space="0"/>
              <w:right w:val="nil"/>
            </w:tcBorders>
          </w:tcPr>
          <w:p w14:paraId="3B90E197">
            <w:pPr>
              <w:pStyle w:val="85"/>
              <w:rPr>
                <w:rFonts w:hint="default" w:ascii="Times New Roman" w:hAnsi="Times New Roman" w:cs="Times New Roman"/>
                <w:sz w:val="24"/>
              </w:rPr>
            </w:pPr>
          </w:p>
        </w:tc>
      </w:tr>
    </w:tbl>
    <w:p w14:paraId="2EE54F40">
      <w:pPr>
        <w:pBdr>
          <w:top w:val="none" w:color="auto" w:sz="0" w:space="0"/>
          <w:left w:val="none" w:color="auto" w:sz="0" w:space="0"/>
          <w:bottom w:val="none" w:color="auto" w:sz="0" w:space="0"/>
          <w:right w:val="none" w:color="auto" w:sz="0" w:space="0"/>
          <w:between w:val="none" w:color="auto" w:sz="0" w:space="0"/>
        </w:pBdr>
        <w:spacing w:after="0" w:line="240" w:lineRule="auto"/>
        <w:rPr>
          <w:rFonts w:hint="default" w:ascii="Times New Roman" w:hAnsi="Times New Roman" w:eastAsia="Times New Roman" w:cs="Times New Roman"/>
          <w:color w:val="000000"/>
        </w:rPr>
      </w:pPr>
    </w:p>
    <w:p w14:paraId="7AC904F7">
      <w:pPr>
        <w:pStyle w:val="85"/>
        <w:ind w:firstLine="567"/>
        <w:jc w:val="both"/>
        <w:rPr>
          <w:rFonts w:hint="default" w:ascii="Times New Roman" w:hAnsi="Times New Roman" w:cs="Times New Roman"/>
          <w:sz w:val="24"/>
          <w:szCs w:val="24"/>
        </w:rPr>
      </w:pPr>
      <w:r>
        <w:rPr>
          <w:rFonts w:hint="default" w:ascii="Times New Roman" w:hAnsi="Times New Roman" w:cs="Times New Roman"/>
          <w:sz w:val="24"/>
          <w:szCs w:val="24"/>
        </w:rPr>
        <w:t>This segment addresses the initial research question through an analysis of the descriptive statistics pertaining to both listening strategies and listening proficiency. The findings, based on the Pearson Product Moment Correlation coefficient, revealed a positive relationship between the two variables. The calculated correlation coefficient (r) was 0.253, which is higher than the critical r-table value of 0.228 (as shown in Table 5).</w:t>
      </w:r>
    </w:p>
    <w:p w14:paraId="7384FC54">
      <w:pPr>
        <w:pBdr>
          <w:top w:val="none" w:color="auto" w:sz="0" w:space="0"/>
          <w:left w:val="none" w:color="auto" w:sz="0" w:space="0"/>
          <w:bottom w:val="none" w:color="auto" w:sz="0" w:space="0"/>
          <w:right w:val="none" w:color="auto" w:sz="0" w:space="0"/>
          <w:between w:val="none" w:color="auto" w:sz="0" w:space="0"/>
        </w:pBdr>
        <w:spacing w:after="0" w:line="240" w:lineRule="auto"/>
        <w:rPr>
          <w:rFonts w:hint="default" w:ascii="Times New Roman" w:hAnsi="Times New Roman" w:eastAsia="Times New Roman" w:cs="Times New Roman"/>
          <w:color w:val="000000"/>
        </w:rPr>
      </w:pPr>
    </w:p>
    <w:p w14:paraId="3DCE2680">
      <w:pPr>
        <w:pBdr>
          <w:top w:val="none" w:color="auto" w:sz="0" w:space="0"/>
          <w:left w:val="none" w:color="auto" w:sz="0" w:space="0"/>
          <w:bottom w:val="none" w:color="auto" w:sz="0" w:space="0"/>
          <w:right w:val="none" w:color="auto" w:sz="0" w:space="0"/>
          <w:between w:val="none" w:color="auto" w:sz="0" w:space="0"/>
        </w:pBdr>
        <w:spacing w:after="0" w:line="240" w:lineRule="auto"/>
        <w:jc w:val="left"/>
        <w:rPr>
          <w:rFonts w:hint="default" w:ascii="Times New Roman" w:hAnsi="Times New Roman" w:eastAsia="Times New Roman" w:cs="Times New Roman"/>
          <w:color w:val="000000"/>
        </w:rPr>
      </w:pPr>
      <w:r>
        <w:rPr>
          <w:rFonts w:hint="default" w:ascii="Times New Roman" w:hAnsi="Times New Roman" w:eastAsia="Times New Roman" w:cs="Times New Roman"/>
          <w:color w:val="000000"/>
        </w:rPr>
        <w:t>Table 5. Correlation</w:t>
      </w:r>
    </w:p>
    <w:p w14:paraId="270734E3">
      <w:pPr>
        <w:pBdr>
          <w:top w:val="none" w:color="auto" w:sz="0" w:space="0"/>
          <w:left w:val="none" w:color="auto" w:sz="0" w:space="0"/>
          <w:bottom w:val="none" w:color="auto" w:sz="0" w:space="0"/>
          <w:right w:val="none" w:color="auto" w:sz="0" w:space="0"/>
          <w:between w:val="none" w:color="auto" w:sz="0" w:space="0"/>
        </w:pBdr>
        <w:spacing w:after="0" w:line="240" w:lineRule="auto"/>
        <w:rPr>
          <w:rFonts w:hint="default" w:ascii="Times New Roman" w:hAnsi="Times New Roman" w:eastAsia="Times New Roman" w:cs="Times New Roman"/>
          <w:color w:val="000000"/>
        </w:rPr>
      </w:pPr>
    </w:p>
    <w:tbl>
      <w:tblPr>
        <w:tblStyle w:val="12"/>
        <w:tblW w:w="8183" w:type="dxa"/>
        <w:tblInd w:w="0" w:type="dxa"/>
        <w:tblLayout w:type="fixed"/>
        <w:tblCellMar>
          <w:top w:w="0" w:type="dxa"/>
          <w:left w:w="0" w:type="dxa"/>
          <w:bottom w:w="0" w:type="dxa"/>
          <w:right w:w="0" w:type="dxa"/>
        </w:tblCellMar>
      </w:tblPr>
      <w:tblGrid>
        <w:gridCol w:w="1192"/>
        <w:gridCol w:w="2733"/>
        <w:gridCol w:w="1895"/>
        <w:gridCol w:w="2363"/>
      </w:tblGrid>
      <w:tr w14:paraId="1AA47BDD">
        <w:tblPrEx>
          <w:tblCellMar>
            <w:top w:w="0" w:type="dxa"/>
            <w:left w:w="0" w:type="dxa"/>
            <w:bottom w:w="0" w:type="dxa"/>
            <w:right w:w="0" w:type="dxa"/>
          </w:tblCellMar>
        </w:tblPrEx>
        <w:trPr>
          <w:trHeight w:val="287" w:hRule="atLeast"/>
        </w:trPr>
        <w:tc>
          <w:tcPr>
            <w:tcW w:w="1192" w:type="dxa"/>
            <w:tcBorders>
              <w:top w:val="single" w:color="000000" w:sz="4" w:space="0"/>
              <w:left w:val="nil"/>
              <w:bottom w:val="single" w:color="000000" w:sz="4" w:space="0"/>
              <w:right w:val="nil"/>
            </w:tcBorders>
          </w:tcPr>
          <w:p w14:paraId="26EFD7B3">
            <w:pPr>
              <w:pStyle w:val="85"/>
              <w:rPr>
                <w:rFonts w:hint="default" w:ascii="Times New Roman" w:hAnsi="Times New Roman" w:cs="Times New Roman"/>
              </w:rPr>
            </w:pPr>
          </w:p>
        </w:tc>
        <w:tc>
          <w:tcPr>
            <w:tcW w:w="2733" w:type="dxa"/>
            <w:tcBorders>
              <w:top w:val="single" w:color="000000" w:sz="4" w:space="0"/>
              <w:left w:val="nil"/>
              <w:bottom w:val="single" w:color="000000" w:sz="4" w:space="0"/>
              <w:right w:val="nil"/>
            </w:tcBorders>
          </w:tcPr>
          <w:p w14:paraId="17A9ED95">
            <w:pPr>
              <w:pStyle w:val="85"/>
              <w:rPr>
                <w:rFonts w:hint="default" w:ascii="Times New Roman" w:hAnsi="Times New Roman" w:cs="Times New Roman"/>
              </w:rPr>
            </w:pPr>
          </w:p>
        </w:tc>
        <w:tc>
          <w:tcPr>
            <w:tcW w:w="1895" w:type="dxa"/>
            <w:tcBorders>
              <w:top w:val="single" w:color="000000" w:sz="4" w:space="0"/>
              <w:left w:val="nil"/>
              <w:bottom w:val="single" w:color="000000" w:sz="4" w:space="0"/>
              <w:right w:val="nil"/>
            </w:tcBorders>
          </w:tcPr>
          <w:p w14:paraId="41BE2669">
            <w:pPr>
              <w:pStyle w:val="85"/>
              <w:spacing w:before="15"/>
              <w:ind w:left="768"/>
              <w:rPr>
                <w:rFonts w:hint="default" w:ascii="Times New Roman" w:hAnsi="Times New Roman" w:cs="Times New Roman"/>
                <w:sz w:val="24"/>
              </w:rPr>
            </w:pPr>
            <w:r>
              <w:rPr>
                <w:rFonts w:hint="default" w:ascii="Times New Roman" w:hAnsi="Times New Roman" w:cs="Times New Roman"/>
                <w:spacing w:val="-10"/>
                <w:sz w:val="24"/>
              </w:rPr>
              <w:t>X</w:t>
            </w:r>
          </w:p>
        </w:tc>
        <w:tc>
          <w:tcPr>
            <w:tcW w:w="2363" w:type="dxa"/>
            <w:tcBorders>
              <w:top w:val="single" w:color="000000" w:sz="4" w:space="0"/>
              <w:left w:val="nil"/>
              <w:bottom w:val="single" w:color="000000" w:sz="4" w:space="0"/>
              <w:right w:val="nil"/>
            </w:tcBorders>
          </w:tcPr>
          <w:p w14:paraId="228D73A2">
            <w:pPr>
              <w:pStyle w:val="85"/>
              <w:spacing w:before="15"/>
              <w:ind w:left="630"/>
              <w:rPr>
                <w:rFonts w:hint="default" w:ascii="Times New Roman" w:hAnsi="Times New Roman" w:cs="Times New Roman"/>
                <w:sz w:val="24"/>
              </w:rPr>
            </w:pPr>
            <w:r>
              <w:rPr>
                <w:rFonts w:hint="default" w:ascii="Times New Roman" w:hAnsi="Times New Roman" w:cs="Times New Roman"/>
                <w:spacing w:val="-10"/>
                <w:sz w:val="24"/>
              </w:rPr>
              <w:t>Y</w:t>
            </w:r>
          </w:p>
        </w:tc>
      </w:tr>
      <w:tr w14:paraId="75A66908">
        <w:tblPrEx>
          <w:tblCellMar>
            <w:top w:w="0" w:type="dxa"/>
            <w:left w:w="0" w:type="dxa"/>
            <w:bottom w:w="0" w:type="dxa"/>
            <w:right w:w="0" w:type="dxa"/>
          </w:tblCellMar>
        </w:tblPrEx>
        <w:trPr>
          <w:trHeight w:val="290" w:hRule="atLeast"/>
        </w:trPr>
        <w:tc>
          <w:tcPr>
            <w:tcW w:w="1192" w:type="dxa"/>
            <w:tcBorders>
              <w:top w:val="single" w:color="000000" w:sz="4" w:space="0"/>
              <w:left w:val="nil"/>
              <w:bottom w:val="nil"/>
              <w:right w:val="nil"/>
            </w:tcBorders>
          </w:tcPr>
          <w:p w14:paraId="7D3752E0">
            <w:pPr>
              <w:pStyle w:val="85"/>
              <w:ind w:left="28"/>
              <w:rPr>
                <w:rFonts w:hint="default" w:ascii="Times New Roman" w:hAnsi="Times New Roman" w:cs="Times New Roman"/>
                <w:sz w:val="24"/>
              </w:rPr>
            </w:pPr>
            <w:r>
              <w:rPr>
                <w:rFonts w:hint="default" w:ascii="Times New Roman" w:hAnsi="Times New Roman" w:cs="Times New Roman"/>
                <w:spacing w:val="-2"/>
                <w:sz w:val="24"/>
              </w:rPr>
              <w:t>Listening</w:t>
            </w:r>
          </w:p>
        </w:tc>
        <w:tc>
          <w:tcPr>
            <w:tcW w:w="2733" w:type="dxa"/>
            <w:tcBorders>
              <w:top w:val="single" w:color="000000" w:sz="4" w:space="0"/>
              <w:left w:val="nil"/>
              <w:bottom w:val="nil"/>
              <w:right w:val="nil"/>
            </w:tcBorders>
          </w:tcPr>
          <w:p w14:paraId="5BC7E539">
            <w:pPr>
              <w:pStyle w:val="85"/>
              <w:ind w:left="76"/>
              <w:rPr>
                <w:rFonts w:hint="default" w:ascii="Times New Roman" w:hAnsi="Times New Roman" w:cs="Times New Roman"/>
                <w:sz w:val="24"/>
                <w:lang w:val="id-ID"/>
              </w:rPr>
            </w:pPr>
            <w:r>
              <w:rPr>
                <w:rFonts w:hint="default" w:ascii="Times New Roman" w:hAnsi="Times New Roman" w:cs="Times New Roman"/>
                <w:sz w:val="24"/>
                <w:lang w:val="id-ID"/>
              </w:rPr>
              <w:t>Pearson Correlation</w:t>
            </w:r>
          </w:p>
        </w:tc>
        <w:tc>
          <w:tcPr>
            <w:tcW w:w="1895" w:type="dxa"/>
            <w:tcBorders>
              <w:top w:val="single" w:color="000000" w:sz="4" w:space="0"/>
              <w:left w:val="nil"/>
              <w:bottom w:val="nil"/>
              <w:right w:val="nil"/>
            </w:tcBorders>
          </w:tcPr>
          <w:p w14:paraId="7C9EDE1D">
            <w:pPr>
              <w:pStyle w:val="85"/>
              <w:ind w:left="768"/>
              <w:rPr>
                <w:rFonts w:hint="default" w:ascii="Times New Roman" w:hAnsi="Times New Roman" w:cs="Times New Roman"/>
                <w:sz w:val="24"/>
                <w:lang w:val="id-ID"/>
              </w:rPr>
            </w:pPr>
            <w:r>
              <w:rPr>
                <w:rFonts w:hint="default" w:ascii="Times New Roman" w:hAnsi="Times New Roman" w:cs="Times New Roman"/>
                <w:spacing w:val="-10"/>
                <w:sz w:val="24"/>
                <w:lang w:val="id-ID"/>
              </w:rPr>
              <w:t>1</w:t>
            </w:r>
          </w:p>
        </w:tc>
        <w:tc>
          <w:tcPr>
            <w:tcW w:w="2363" w:type="dxa"/>
            <w:tcBorders>
              <w:top w:val="single" w:color="000000" w:sz="4" w:space="0"/>
              <w:left w:val="nil"/>
              <w:bottom w:val="nil"/>
              <w:right w:val="nil"/>
            </w:tcBorders>
          </w:tcPr>
          <w:p w14:paraId="1E5F30A4">
            <w:pPr>
              <w:pStyle w:val="85"/>
              <w:ind w:left="630"/>
              <w:rPr>
                <w:rFonts w:hint="default" w:ascii="Times New Roman" w:hAnsi="Times New Roman" w:cs="Times New Roman"/>
                <w:sz w:val="24"/>
              </w:rPr>
            </w:pPr>
            <w:r>
              <w:rPr>
                <w:rFonts w:hint="default" w:ascii="Times New Roman" w:hAnsi="Times New Roman" w:cs="Times New Roman"/>
                <w:spacing w:val="-2"/>
                <w:sz w:val="24"/>
              </w:rPr>
              <w:t>.253</w:t>
            </w:r>
            <w:r>
              <w:rPr>
                <w:rFonts w:hint="default" w:ascii="Times New Roman" w:hAnsi="Times New Roman" w:cs="Times New Roman"/>
                <w:spacing w:val="-2"/>
                <w:sz w:val="24"/>
                <w:vertAlign w:val="superscript"/>
              </w:rPr>
              <w:t>*</w:t>
            </w:r>
          </w:p>
        </w:tc>
      </w:tr>
      <w:tr w14:paraId="417C927E">
        <w:tblPrEx>
          <w:tblCellMar>
            <w:top w:w="0" w:type="dxa"/>
            <w:left w:w="0" w:type="dxa"/>
            <w:bottom w:w="0" w:type="dxa"/>
            <w:right w:w="0" w:type="dxa"/>
          </w:tblCellMar>
        </w:tblPrEx>
        <w:trPr>
          <w:trHeight w:val="420" w:hRule="atLeast"/>
        </w:trPr>
        <w:tc>
          <w:tcPr>
            <w:tcW w:w="1192" w:type="dxa"/>
          </w:tcPr>
          <w:p w14:paraId="3654AB0B">
            <w:pPr>
              <w:pStyle w:val="85"/>
              <w:ind w:left="28"/>
              <w:rPr>
                <w:rFonts w:hint="default" w:ascii="Times New Roman" w:hAnsi="Times New Roman" w:cs="Times New Roman"/>
                <w:sz w:val="24"/>
              </w:rPr>
            </w:pPr>
            <w:r>
              <w:rPr>
                <w:rFonts w:hint="default" w:ascii="Times New Roman" w:hAnsi="Times New Roman" w:cs="Times New Roman"/>
                <w:spacing w:val="-2"/>
                <w:sz w:val="24"/>
              </w:rPr>
              <w:t>Strategies</w:t>
            </w:r>
          </w:p>
        </w:tc>
        <w:tc>
          <w:tcPr>
            <w:tcW w:w="2733" w:type="dxa"/>
          </w:tcPr>
          <w:p w14:paraId="44C48B13">
            <w:pPr>
              <w:pStyle w:val="85"/>
              <w:spacing w:before="91"/>
              <w:ind w:left="76"/>
              <w:rPr>
                <w:rFonts w:hint="default" w:ascii="Times New Roman" w:hAnsi="Times New Roman" w:cs="Times New Roman"/>
                <w:sz w:val="24"/>
              </w:rPr>
            </w:pPr>
            <w:r>
              <w:rPr>
                <w:rFonts w:hint="default" w:ascii="Times New Roman" w:hAnsi="Times New Roman" w:cs="Times New Roman"/>
                <w:sz w:val="24"/>
              </w:rPr>
              <w:t>Sig.</w:t>
            </w:r>
            <w:r>
              <w:rPr>
                <w:rFonts w:hint="default" w:ascii="Times New Roman" w:hAnsi="Times New Roman" w:cs="Times New Roman"/>
                <w:spacing w:val="-7"/>
                <w:sz w:val="24"/>
              </w:rPr>
              <w:t xml:space="preserve"> </w:t>
            </w:r>
            <w:r>
              <w:rPr>
                <w:rFonts w:hint="default" w:ascii="Times New Roman" w:hAnsi="Times New Roman" w:cs="Times New Roman"/>
                <w:sz w:val="24"/>
              </w:rPr>
              <w:t>(2-</w:t>
            </w:r>
            <w:r>
              <w:rPr>
                <w:rFonts w:hint="default" w:ascii="Times New Roman" w:hAnsi="Times New Roman" w:cs="Times New Roman"/>
                <w:spacing w:val="-2"/>
                <w:sz w:val="24"/>
              </w:rPr>
              <w:t>tailed)</w:t>
            </w:r>
          </w:p>
        </w:tc>
        <w:tc>
          <w:tcPr>
            <w:tcW w:w="1895" w:type="dxa"/>
          </w:tcPr>
          <w:p w14:paraId="656CB97A">
            <w:pPr>
              <w:pStyle w:val="85"/>
              <w:rPr>
                <w:rFonts w:hint="default" w:ascii="Times New Roman" w:hAnsi="Times New Roman" w:cs="Times New Roman"/>
              </w:rPr>
            </w:pPr>
          </w:p>
        </w:tc>
        <w:tc>
          <w:tcPr>
            <w:tcW w:w="2363" w:type="dxa"/>
          </w:tcPr>
          <w:p w14:paraId="3C7C207F">
            <w:pPr>
              <w:pStyle w:val="85"/>
              <w:spacing w:before="91"/>
              <w:ind w:left="630"/>
              <w:rPr>
                <w:rFonts w:hint="default" w:ascii="Times New Roman" w:hAnsi="Times New Roman" w:cs="Times New Roman"/>
                <w:sz w:val="24"/>
              </w:rPr>
            </w:pPr>
            <w:r>
              <w:rPr>
                <w:rFonts w:hint="default" w:ascii="Times New Roman" w:hAnsi="Times New Roman" w:cs="Times New Roman"/>
                <w:spacing w:val="-4"/>
                <w:sz w:val="24"/>
              </w:rPr>
              <w:t>.030</w:t>
            </w:r>
          </w:p>
        </w:tc>
      </w:tr>
      <w:tr w14:paraId="027E9EB0">
        <w:tblPrEx>
          <w:tblCellMar>
            <w:top w:w="0" w:type="dxa"/>
            <w:left w:w="0" w:type="dxa"/>
            <w:bottom w:w="0" w:type="dxa"/>
            <w:right w:w="0" w:type="dxa"/>
          </w:tblCellMar>
        </w:tblPrEx>
        <w:trPr>
          <w:trHeight w:val="342" w:hRule="atLeast"/>
        </w:trPr>
        <w:tc>
          <w:tcPr>
            <w:tcW w:w="1192" w:type="dxa"/>
            <w:tcBorders>
              <w:top w:val="nil"/>
              <w:left w:val="nil"/>
              <w:bottom w:val="single" w:color="000000" w:sz="8" w:space="0"/>
              <w:right w:val="nil"/>
            </w:tcBorders>
          </w:tcPr>
          <w:p w14:paraId="2FB9CE51">
            <w:pPr>
              <w:pStyle w:val="85"/>
              <w:rPr>
                <w:rFonts w:hint="default" w:ascii="Times New Roman" w:hAnsi="Times New Roman" w:cs="Times New Roman"/>
              </w:rPr>
            </w:pPr>
          </w:p>
        </w:tc>
        <w:tc>
          <w:tcPr>
            <w:tcW w:w="2733" w:type="dxa"/>
            <w:tcBorders>
              <w:top w:val="nil"/>
              <w:left w:val="nil"/>
              <w:bottom w:val="single" w:color="000000" w:sz="8" w:space="0"/>
              <w:right w:val="nil"/>
            </w:tcBorders>
          </w:tcPr>
          <w:p w14:paraId="1570FDC1">
            <w:pPr>
              <w:pStyle w:val="85"/>
              <w:spacing w:before="43"/>
              <w:ind w:left="76"/>
              <w:rPr>
                <w:rFonts w:hint="default" w:ascii="Times New Roman" w:hAnsi="Times New Roman" w:cs="Times New Roman"/>
                <w:sz w:val="24"/>
              </w:rPr>
            </w:pPr>
            <w:r>
              <w:rPr>
                <w:rFonts w:hint="default" w:ascii="Times New Roman" w:hAnsi="Times New Roman" w:cs="Times New Roman"/>
                <w:spacing w:val="-10"/>
                <w:sz w:val="24"/>
              </w:rPr>
              <w:t>N</w:t>
            </w:r>
          </w:p>
        </w:tc>
        <w:tc>
          <w:tcPr>
            <w:tcW w:w="1895" w:type="dxa"/>
            <w:tcBorders>
              <w:top w:val="nil"/>
              <w:left w:val="nil"/>
              <w:bottom w:val="single" w:color="000000" w:sz="4" w:space="0"/>
              <w:right w:val="nil"/>
            </w:tcBorders>
          </w:tcPr>
          <w:p w14:paraId="0B2A6032">
            <w:pPr>
              <w:pStyle w:val="85"/>
              <w:spacing w:before="43"/>
              <w:ind w:left="768"/>
              <w:rPr>
                <w:rFonts w:hint="default" w:ascii="Times New Roman" w:hAnsi="Times New Roman" w:cs="Times New Roman"/>
                <w:sz w:val="24"/>
                <w:lang w:val="id-ID"/>
              </w:rPr>
            </w:pPr>
            <w:r>
              <w:rPr>
                <w:rFonts w:hint="default" w:ascii="Times New Roman" w:hAnsi="Times New Roman" w:cs="Times New Roman"/>
                <w:spacing w:val="-5"/>
                <w:sz w:val="24"/>
                <w:lang w:val="id-ID"/>
              </w:rPr>
              <w:t>74</w:t>
            </w:r>
          </w:p>
        </w:tc>
        <w:tc>
          <w:tcPr>
            <w:tcW w:w="2363" w:type="dxa"/>
            <w:tcBorders>
              <w:top w:val="nil"/>
              <w:left w:val="nil"/>
              <w:bottom w:val="single" w:color="000000" w:sz="4" w:space="0"/>
              <w:right w:val="nil"/>
            </w:tcBorders>
          </w:tcPr>
          <w:p w14:paraId="6D9DC709">
            <w:pPr>
              <w:pStyle w:val="85"/>
              <w:spacing w:before="43"/>
              <w:ind w:left="630"/>
              <w:rPr>
                <w:rFonts w:hint="default" w:ascii="Times New Roman" w:hAnsi="Times New Roman" w:cs="Times New Roman"/>
                <w:sz w:val="24"/>
                <w:lang w:val="id-ID"/>
              </w:rPr>
            </w:pPr>
            <w:r>
              <w:rPr>
                <w:rFonts w:hint="default" w:ascii="Times New Roman" w:hAnsi="Times New Roman" w:cs="Times New Roman"/>
                <w:spacing w:val="-5"/>
                <w:sz w:val="24"/>
                <w:lang w:val="id-ID"/>
              </w:rPr>
              <w:t>74</w:t>
            </w:r>
          </w:p>
        </w:tc>
      </w:tr>
      <w:tr w14:paraId="6674B6FA">
        <w:tblPrEx>
          <w:tblCellMar>
            <w:top w:w="0" w:type="dxa"/>
            <w:left w:w="0" w:type="dxa"/>
            <w:bottom w:w="0" w:type="dxa"/>
            <w:right w:w="0" w:type="dxa"/>
          </w:tblCellMar>
        </w:tblPrEx>
        <w:trPr>
          <w:trHeight w:val="675" w:hRule="atLeast"/>
        </w:trPr>
        <w:tc>
          <w:tcPr>
            <w:tcW w:w="1192" w:type="dxa"/>
            <w:tcBorders>
              <w:top w:val="single" w:color="000000" w:sz="8" w:space="0"/>
              <w:left w:val="nil"/>
              <w:bottom w:val="nil"/>
              <w:right w:val="nil"/>
            </w:tcBorders>
          </w:tcPr>
          <w:p w14:paraId="37F3C4AD">
            <w:pPr>
              <w:pStyle w:val="85"/>
              <w:ind w:left="28"/>
              <w:rPr>
                <w:rFonts w:hint="default" w:ascii="Times New Roman" w:hAnsi="Times New Roman" w:cs="Times New Roman"/>
                <w:sz w:val="24"/>
              </w:rPr>
            </w:pPr>
            <w:r>
              <w:rPr>
                <w:rFonts w:hint="default" w:ascii="Times New Roman" w:hAnsi="Times New Roman" w:cs="Times New Roman"/>
                <w:spacing w:val="-2"/>
                <w:sz w:val="24"/>
              </w:rPr>
              <w:t xml:space="preserve">Listening </w:t>
            </w:r>
            <w:r>
              <w:rPr>
                <w:rFonts w:hint="default" w:ascii="Times New Roman" w:hAnsi="Times New Roman" w:cs="Times New Roman"/>
                <w:spacing w:val="-4"/>
                <w:sz w:val="24"/>
              </w:rPr>
              <w:t>Proficiency</w:t>
            </w:r>
          </w:p>
        </w:tc>
        <w:tc>
          <w:tcPr>
            <w:tcW w:w="2733" w:type="dxa"/>
            <w:tcBorders>
              <w:top w:val="single" w:color="000000" w:sz="8" w:space="0"/>
              <w:left w:val="nil"/>
              <w:bottom w:val="nil"/>
              <w:right w:val="nil"/>
            </w:tcBorders>
          </w:tcPr>
          <w:p w14:paraId="3C32632C">
            <w:pPr>
              <w:pStyle w:val="85"/>
              <w:ind w:left="76"/>
              <w:rPr>
                <w:rFonts w:hint="default" w:ascii="Times New Roman" w:hAnsi="Times New Roman" w:cs="Times New Roman"/>
                <w:sz w:val="24"/>
                <w:lang w:val="id-ID"/>
              </w:rPr>
            </w:pPr>
            <w:r>
              <w:rPr>
                <w:rFonts w:hint="default" w:ascii="Times New Roman" w:hAnsi="Times New Roman" w:cs="Times New Roman"/>
                <w:sz w:val="24"/>
                <w:lang w:val="id-ID"/>
              </w:rPr>
              <w:t>Pearson Correlation</w:t>
            </w:r>
          </w:p>
          <w:p w14:paraId="143C95FF">
            <w:pPr>
              <w:pStyle w:val="85"/>
              <w:spacing w:before="80"/>
              <w:ind w:left="76"/>
              <w:rPr>
                <w:rFonts w:hint="default" w:ascii="Times New Roman" w:hAnsi="Times New Roman" w:cs="Times New Roman"/>
                <w:sz w:val="24"/>
              </w:rPr>
            </w:pPr>
            <w:r>
              <w:rPr>
                <w:rFonts w:hint="default" w:ascii="Times New Roman" w:hAnsi="Times New Roman" w:cs="Times New Roman"/>
                <w:sz w:val="24"/>
              </w:rPr>
              <w:t>Sig.</w:t>
            </w:r>
            <w:r>
              <w:rPr>
                <w:rFonts w:hint="default" w:ascii="Times New Roman" w:hAnsi="Times New Roman" w:cs="Times New Roman"/>
                <w:spacing w:val="-7"/>
                <w:sz w:val="24"/>
              </w:rPr>
              <w:t xml:space="preserve"> </w:t>
            </w:r>
            <w:r>
              <w:rPr>
                <w:rFonts w:hint="default" w:ascii="Times New Roman" w:hAnsi="Times New Roman" w:cs="Times New Roman"/>
                <w:sz w:val="24"/>
              </w:rPr>
              <w:t>(2-</w:t>
            </w:r>
            <w:r>
              <w:rPr>
                <w:rFonts w:hint="default" w:ascii="Times New Roman" w:hAnsi="Times New Roman" w:cs="Times New Roman"/>
                <w:spacing w:val="-2"/>
                <w:sz w:val="24"/>
              </w:rPr>
              <w:t>tailed)</w:t>
            </w:r>
          </w:p>
        </w:tc>
        <w:tc>
          <w:tcPr>
            <w:tcW w:w="1895" w:type="dxa"/>
            <w:tcBorders>
              <w:top w:val="single" w:color="000000" w:sz="4" w:space="0"/>
              <w:left w:val="nil"/>
              <w:bottom w:val="nil"/>
              <w:right w:val="nil"/>
            </w:tcBorders>
          </w:tcPr>
          <w:p w14:paraId="17C01DCD">
            <w:pPr>
              <w:pStyle w:val="85"/>
              <w:ind w:left="142"/>
              <w:jc w:val="center"/>
              <w:rPr>
                <w:rFonts w:hint="default" w:ascii="Times New Roman" w:hAnsi="Times New Roman" w:cs="Times New Roman"/>
                <w:sz w:val="24"/>
              </w:rPr>
            </w:pPr>
            <w:r>
              <w:rPr>
                <w:rFonts w:hint="default" w:ascii="Times New Roman" w:hAnsi="Times New Roman" w:cs="Times New Roman"/>
                <w:spacing w:val="-2"/>
                <w:sz w:val="24"/>
              </w:rPr>
              <w:t>.253</w:t>
            </w:r>
            <w:r>
              <w:rPr>
                <w:rFonts w:hint="default" w:ascii="Times New Roman" w:hAnsi="Times New Roman" w:cs="Times New Roman"/>
                <w:spacing w:val="-2"/>
                <w:sz w:val="24"/>
                <w:vertAlign w:val="superscript"/>
              </w:rPr>
              <w:t>*</w:t>
            </w:r>
          </w:p>
          <w:p w14:paraId="5617F604">
            <w:pPr>
              <w:pStyle w:val="85"/>
              <w:spacing w:before="80"/>
              <w:ind w:left="142" w:right="89"/>
              <w:jc w:val="center"/>
              <w:rPr>
                <w:rFonts w:hint="default" w:ascii="Times New Roman" w:hAnsi="Times New Roman" w:cs="Times New Roman"/>
                <w:sz w:val="24"/>
              </w:rPr>
            </w:pPr>
            <w:r>
              <w:rPr>
                <w:rFonts w:hint="default" w:ascii="Times New Roman" w:hAnsi="Times New Roman" w:cs="Times New Roman"/>
                <w:spacing w:val="-4"/>
                <w:sz w:val="24"/>
              </w:rPr>
              <w:t>.030</w:t>
            </w:r>
          </w:p>
        </w:tc>
        <w:tc>
          <w:tcPr>
            <w:tcW w:w="2363" w:type="dxa"/>
            <w:tcBorders>
              <w:top w:val="single" w:color="000000" w:sz="4" w:space="0"/>
              <w:left w:val="nil"/>
              <w:bottom w:val="nil"/>
              <w:right w:val="nil"/>
            </w:tcBorders>
          </w:tcPr>
          <w:p w14:paraId="1B9B01BA">
            <w:pPr>
              <w:pStyle w:val="85"/>
              <w:ind w:left="630"/>
              <w:rPr>
                <w:rFonts w:hint="default" w:ascii="Times New Roman" w:hAnsi="Times New Roman" w:cs="Times New Roman"/>
                <w:sz w:val="24"/>
              </w:rPr>
            </w:pPr>
            <w:r>
              <w:rPr>
                <w:rFonts w:hint="default" w:ascii="Times New Roman" w:hAnsi="Times New Roman" w:cs="Times New Roman"/>
                <w:spacing w:val="-10"/>
                <w:sz w:val="24"/>
              </w:rPr>
              <w:t>1</w:t>
            </w:r>
          </w:p>
        </w:tc>
      </w:tr>
      <w:tr w14:paraId="74495440">
        <w:tblPrEx>
          <w:tblCellMar>
            <w:top w:w="0" w:type="dxa"/>
            <w:left w:w="0" w:type="dxa"/>
            <w:bottom w:w="0" w:type="dxa"/>
            <w:right w:w="0" w:type="dxa"/>
          </w:tblCellMar>
        </w:tblPrEx>
        <w:trPr>
          <w:trHeight w:val="348" w:hRule="atLeast"/>
        </w:trPr>
        <w:tc>
          <w:tcPr>
            <w:tcW w:w="1192" w:type="dxa"/>
            <w:tcBorders>
              <w:top w:val="nil"/>
              <w:left w:val="nil"/>
              <w:bottom w:val="single" w:color="000000" w:sz="4" w:space="0"/>
              <w:right w:val="nil"/>
            </w:tcBorders>
          </w:tcPr>
          <w:p w14:paraId="7A17B7D7">
            <w:pPr>
              <w:pStyle w:val="85"/>
              <w:rPr>
                <w:rFonts w:hint="default" w:ascii="Times New Roman" w:hAnsi="Times New Roman" w:cs="Times New Roman"/>
              </w:rPr>
            </w:pPr>
          </w:p>
        </w:tc>
        <w:tc>
          <w:tcPr>
            <w:tcW w:w="2733" w:type="dxa"/>
            <w:tcBorders>
              <w:top w:val="nil"/>
              <w:left w:val="nil"/>
              <w:bottom w:val="single" w:color="000000" w:sz="4" w:space="0"/>
              <w:right w:val="nil"/>
            </w:tcBorders>
          </w:tcPr>
          <w:p w14:paraId="5A9939FD">
            <w:pPr>
              <w:pStyle w:val="85"/>
              <w:spacing w:before="33"/>
              <w:ind w:left="76"/>
              <w:rPr>
                <w:rFonts w:hint="default" w:ascii="Times New Roman" w:hAnsi="Times New Roman" w:cs="Times New Roman"/>
                <w:sz w:val="24"/>
                <w:lang w:val="id-ID"/>
              </w:rPr>
            </w:pPr>
            <w:r>
              <w:rPr>
                <w:rFonts w:hint="default" w:ascii="Times New Roman" w:hAnsi="Times New Roman" w:cs="Times New Roman"/>
                <w:spacing w:val="-10"/>
                <w:sz w:val="24"/>
                <w:lang w:val="id-ID"/>
              </w:rPr>
              <w:t>N</w:t>
            </w:r>
          </w:p>
        </w:tc>
        <w:tc>
          <w:tcPr>
            <w:tcW w:w="1895" w:type="dxa"/>
            <w:tcBorders>
              <w:top w:val="nil"/>
              <w:left w:val="nil"/>
              <w:bottom w:val="single" w:color="000000" w:sz="4" w:space="0"/>
              <w:right w:val="nil"/>
            </w:tcBorders>
          </w:tcPr>
          <w:p w14:paraId="4696BDD1">
            <w:pPr>
              <w:pStyle w:val="85"/>
              <w:spacing w:before="33"/>
              <w:ind w:left="768"/>
              <w:rPr>
                <w:rFonts w:hint="default" w:ascii="Times New Roman" w:hAnsi="Times New Roman" w:cs="Times New Roman"/>
                <w:sz w:val="24"/>
              </w:rPr>
            </w:pPr>
            <w:r>
              <w:rPr>
                <w:rFonts w:hint="default" w:ascii="Times New Roman" w:hAnsi="Times New Roman" w:cs="Times New Roman"/>
                <w:spacing w:val="-5"/>
                <w:sz w:val="24"/>
              </w:rPr>
              <w:t>74</w:t>
            </w:r>
          </w:p>
        </w:tc>
        <w:tc>
          <w:tcPr>
            <w:tcW w:w="2363" w:type="dxa"/>
            <w:tcBorders>
              <w:top w:val="nil"/>
              <w:left w:val="nil"/>
              <w:bottom w:val="single" w:color="000000" w:sz="4" w:space="0"/>
              <w:right w:val="nil"/>
            </w:tcBorders>
          </w:tcPr>
          <w:p w14:paraId="22BC4400">
            <w:pPr>
              <w:pStyle w:val="85"/>
              <w:spacing w:before="33"/>
              <w:ind w:left="630"/>
              <w:rPr>
                <w:rFonts w:hint="default" w:ascii="Times New Roman" w:hAnsi="Times New Roman" w:cs="Times New Roman"/>
                <w:sz w:val="24"/>
              </w:rPr>
            </w:pPr>
            <w:r>
              <w:rPr>
                <w:rFonts w:hint="default" w:ascii="Times New Roman" w:hAnsi="Times New Roman" w:cs="Times New Roman"/>
                <w:spacing w:val="-5"/>
                <w:sz w:val="24"/>
              </w:rPr>
              <w:t>74</w:t>
            </w:r>
          </w:p>
        </w:tc>
      </w:tr>
      <w:tr w14:paraId="0B146C77">
        <w:tblPrEx>
          <w:tblCellMar>
            <w:top w:w="0" w:type="dxa"/>
            <w:left w:w="0" w:type="dxa"/>
            <w:bottom w:w="0" w:type="dxa"/>
            <w:right w:w="0" w:type="dxa"/>
          </w:tblCellMar>
        </w:tblPrEx>
        <w:trPr>
          <w:trHeight w:val="88" w:hRule="atLeast"/>
        </w:trPr>
        <w:tc>
          <w:tcPr>
            <w:tcW w:w="3925" w:type="dxa"/>
            <w:gridSpan w:val="2"/>
            <w:tcBorders>
              <w:top w:val="single" w:color="000000" w:sz="4" w:space="0"/>
              <w:left w:val="nil"/>
              <w:bottom w:val="nil"/>
              <w:right w:val="nil"/>
            </w:tcBorders>
          </w:tcPr>
          <w:p w14:paraId="2FD74733">
            <w:pPr>
              <w:widowControl w:val="0"/>
              <w:autoSpaceDE w:val="0"/>
              <w:autoSpaceDN w:val="0"/>
              <w:rPr>
                <w:rFonts w:hint="default" w:ascii="Times New Roman" w:hAnsi="Times New Roman" w:eastAsia="Times New Roman" w:cs="Times New Roman"/>
              </w:rPr>
            </w:pPr>
          </w:p>
        </w:tc>
        <w:tc>
          <w:tcPr>
            <w:tcW w:w="1895" w:type="dxa"/>
            <w:tcBorders>
              <w:top w:val="single" w:color="000000" w:sz="4" w:space="0"/>
              <w:left w:val="nil"/>
              <w:bottom w:val="nil"/>
              <w:right w:val="nil"/>
            </w:tcBorders>
          </w:tcPr>
          <w:p w14:paraId="1B62E503">
            <w:pPr>
              <w:pStyle w:val="85"/>
              <w:rPr>
                <w:rFonts w:hint="default" w:ascii="Times New Roman" w:hAnsi="Times New Roman" w:cs="Times New Roman"/>
              </w:rPr>
            </w:pPr>
          </w:p>
        </w:tc>
        <w:tc>
          <w:tcPr>
            <w:tcW w:w="2363" w:type="dxa"/>
            <w:tcBorders>
              <w:top w:val="single" w:color="000000" w:sz="4" w:space="0"/>
              <w:left w:val="nil"/>
              <w:bottom w:val="nil"/>
              <w:right w:val="nil"/>
            </w:tcBorders>
          </w:tcPr>
          <w:p w14:paraId="5E337787">
            <w:pPr>
              <w:pStyle w:val="85"/>
              <w:rPr>
                <w:rFonts w:hint="default" w:ascii="Times New Roman" w:hAnsi="Times New Roman" w:cs="Times New Roman"/>
              </w:rPr>
            </w:pPr>
          </w:p>
        </w:tc>
      </w:tr>
    </w:tbl>
    <w:p w14:paraId="43EB4860">
      <w:pPr>
        <w:pStyle w:val="14"/>
        <w:numPr>
          <w:ilvl w:val="0"/>
          <w:numId w:val="1"/>
        </w:numPr>
        <w:spacing w:before="0"/>
        <w:ind w:left="426" w:right="424" w:hanging="426"/>
        <w:rPr>
          <w:rFonts w:hint="default" w:ascii="Times New Roman" w:hAnsi="Times New Roman" w:cs="Times New Roman"/>
          <w:b/>
        </w:rPr>
      </w:pPr>
      <w:r>
        <w:rPr>
          <w:rFonts w:hint="default" w:ascii="Times New Roman" w:hAnsi="Times New Roman" w:cs="Times New Roman"/>
          <w:b/>
        </w:rPr>
        <w:t xml:space="preserve">Discussion </w:t>
      </w:r>
    </w:p>
    <w:p w14:paraId="39CC50F6">
      <w:pPr>
        <w:pStyle w:val="14"/>
        <w:tabs>
          <w:tab w:val="left" w:pos="9072"/>
        </w:tabs>
        <w:spacing w:before="0"/>
        <w:ind w:right="12" w:firstLine="567"/>
        <w:rPr>
          <w:rFonts w:hint="default" w:ascii="Times New Roman" w:hAnsi="Times New Roman" w:cs="Times New Roman"/>
        </w:rPr>
      </w:pPr>
      <w:r>
        <w:rPr>
          <w:rFonts w:hint="default" w:ascii="Times New Roman" w:hAnsi="Times New Roman" w:cs="Times New Roman"/>
        </w:rPr>
        <w:t>The correlation analysis confirmed a positive and significant relationship between listening strategies and listening proficiency. Students who used listening strategies more frequently tended to achieve higher listening scores. This supports the theory that strategies like planning, monitoring, and evaluating comprehension can improve listening outcomes (O’Malley &amp; Chamot, 1990).</w:t>
      </w:r>
    </w:p>
    <w:p w14:paraId="4F2D5E47">
      <w:pPr>
        <w:pStyle w:val="14"/>
        <w:tabs>
          <w:tab w:val="left" w:pos="9072"/>
        </w:tabs>
        <w:spacing w:before="0"/>
        <w:ind w:right="12" w:firstLine="567"/>
        <w:rPr>
          <w:rFonts w:hint="default" w:ascii="Times New Roman" w:hAnsi="Times New Roman" w:cs="Times New Roman"/>
        </w:rPr>
      </w:pPr>
      <w:r>
        <w:rPr>
          <w:rFonts w:hint="default" w:ascii="Times New Roman" w:hAnsi="Times New Roman" w:cs="Times New Roman"/>
        </w:rPr>
        <w:t>Although the correlation was statistically significant, the effect size was small (6.4%). This suggests that many other factors also influenced students’ listening proficiency, such as vocabulary mastery, background knowledge, exposure to English, and prior learning experiences (Gilakjani &amp; Sabouri, 2016; Vandergrift &amp; Goh, 2012).</w:t>
      </w:r>
    </w:p>
    <w:p w14:paraId="0AC0FD11">
      <w:pPr>
        <w:pStyle w:val="14"/>
        <w:tabs>
          <w:tab w:val="left" w:pos="9072"/>
        </w:tabs>
        <w:spacing w:before="0"/>
        <w:ind w:right="12" w:firstLine="567"/>
        <w:rPr>
          <w:rFonts w:hint="default" w:ascii="Times New Roman" w:hAnsi="Times New Roman" w:cs="Times New Roman"/>
        </w:rPr>
      </w:pPr>
      <w:r>
        <w:rPr>
          <w:rFonts w:hint="default" w:ascii="Times New Roman" w:hAnsi="Times New Roman" w:cs="Times New Roman"/>
        </w:rPr>
        <w:t>Socio-affective strategies were the most commonly used among students. While these help reduce anxiety and promote confidence, they may not directly improve comprehension as effectively as cognitive or metacognitive strategies (Oxford, 1990). The limited use of more analytical strategies may explain the modest effect on proficiency.</w:t>
      </w:r>
    </w:p>
    <w:p w14:paraId="5BE4394A">
      <w:pPr>
        <w:pStyle w:val="28"/>
        <w:tabs>
          <w:tab w:val="left" w:pos="9072"/>
          <w:tab w:val="left" w:pos="9214"/>
        </w:tabs>
        <w:spacing w:before="0" w:beforeAutospacing="0" w:after="0" w:afterAutospacing="0"/>
        <w:ind w:right="-1" w:firstLine="567"/>
        <w:jc w:val="both"/>
        <w:rPr>
          <w:rFonts w:hint="default" w:ascii="Times New Roman" w:hAnsi="Times New Roman" w:cs="Times New Roman"/>
        </w:rPr>
      </w:pPr>
      <w:r>
        <w:rPr>
          <w:rFonts w:hint="default" w:ascii="Times New Roman" w:hAnsi="Times New Roman" w:cs="Times New Roman"/>
        </w:rPr>
        <w:t>These findings align with previous studies (Yulisa, 2017; Bidadabadi, 2011) that emphasize the importance of using a combination of strategy types. Students who applied diverse strategies tended to perform better in listening. Furthermore, activities such as listening to English songs or participating in English courses likely enhanced students’ comprehension beyond classroom learning (Brown, 2007).</w:t>
      </w:r>
    </w:p>
    <w:p w14:paraId="4AAEB0F9">
      <w:pPr>
        <w:pStyle w:val="28"/>
        <w:tabs>
          <w:tab w:val="left" w:pos="9072"/>
          <w:tab w:val="left" w:pos="9214"/>
        </w:tabs>
        <w:spacing w:before="0" w:beforeAutospacing="0" w:after="0" w:afterAutospacing="0"/>
        <w:ind w:right="-1" w:firstLine="567"/>
        <w:jc w:val="both"/>
        <w:rPr>
          <w:rFonts w:hint="default" w:ascii="Times New Roman" w:hAnsi="Times New Roman" w:cs="Times New Roman"/>
        </w:rPr>
      </w:pPr>
      <w:r>
        <w:rPr>
          <w:rFonts w:hint="default" w:ascii="Times New Roman" w:hAnsi="Times New Roman" w:cs="Times New Roman"/>
        </w:rPr>
        <w:t>The results highlight the need for explicit instruction in listening strategies, especially cognitive and metacognitive types. Teachers should integrate strategy training into regular lessons and provide learners with opportunities to reflect on and evaluate their listening performance (Vandergrift &amp; Goh, 2012). Additionally, increasing exposure to authentic English and maintaining a low-anxiety environment will support learners’ overall listening development.</w:t>
      </w:r>
    </w:p>
    <w:p w14:paraId="0E0A7B3F">
      <w:pPr>
        <w:pBdr>
          <w:top w:val="none" w:color="auto" w:sz="0" w:space="0"/>
          <w:left w:val="none" w:color="auto" w:sz="0" w:space="0"/>
          <w:bottom w:val="none" w:color="auto" w:sz="0" w:space="0"/>
          <w:right w:val="none" w:color="auto" w:sz="0" w:space="0"/>
          <w:between w:val="none" w:color="auto" w:sz="0" w:space="0"/>
        </w:pBdr>
        <w:spacing w:after="0" w:line="240" w:lineRule="auto"/>
        <w:rPr>
          <w:rFonts w:hint="default" w:ascii="Times New Roman" w:hAnsi="Times New Roman" w:eastAsia="Times New Roman" w:cs="Times New Roman"/>
          <w:color w:val="000000"/>
        </w:rPr>
      </w:pPr>
    </w:p>
    <w:p w14:paraId="5D911321">
      <w:pPr>
        <w:pBdr>
          <w:top w:val="none" w:color="auto" w:sz="0" w:space="0"/>
          <w:left w:val="none" w:color="auto" w:sz="0" w:space="0"/>
          <w:bottom w:val="none" w:color="auto" w:sz="0" w:space="0"/>
          <w:right w:val="none" w:color="auto" w:sz="0" w:space="0"/>
          <w:between w:val="none" w:color="auto" w:sz="0" w:space="0"/>
        </w:pBdr>
        <w:spacing w:after="0" w:line="240" w:lineRule="auto"/>
        <w:rPr>
          <w:rFonts w:hint="default" w:ascii="Times New Roman" w:hAnsi="Times New Roman" w:eastAsia="Times New Roman" w:cs="Times New Roman"/>
          <w:color w:val="000000"/>
        </w:rPr>
      </w:pPr>
    </w:p>
    <w:p w14:paraId="7DBC840C">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Times New Roman" w:hAnsi="Times New Roman" w:eastAsia="Times New Roman" w:cs="Times New Roman"/>
          <w:b/>
          <w:color w:val="000000"/>
        </w:rPr>
      </w:pPr>
      <w:r>
        <w:rPr>
          <w:rFonts w:hint="default" w:ascii="Times New Roman" w:hAnsi="Times New Roman" w:eastAsia="Times New Roman" w:cs="Times New Roman"/>
          <w:b/>
          <w:color w:val="000000"/>
        </w:rPr>
        <w:t xml:space="preserve">CONCLUSION </w:t>
      </w:r>
    </w:p>
    <w:p w14:paraId="3F418C45">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Times New Roman" w:hAnsi="Times New Roman" w:eastAsia="Times New Roman" w:cs="Times New Roman"/>
          <w:b/>
          <w:color w:val="000000"/>
        </w:rPr>
      </w:pPr>
    </w:p>
    <w:p w14:paraId="3E6212A6">
      <w:pPr>
        <w:spacing w:after="240" w:line="240" w:lineRule="auto"/>
        <w:ind w:firstLine="426"/>
        <w:jc w:val="both"/>
        <w:rPr>
          <w:rFonts w:hint="default" w:ascii="Times New Roman" w:hAnsi="Times New Roman" w:cs="Times New Roman"/>
          <w:sz w:val="24"/>
          <w:szCs w:val="24"/>
        </w:rPr>
      </w:pPr>
      <w:r>
        <w:rPr>
          <w:rFonts w:hint="default" w:ascii="Times New Roman" w:hAnsi="Times New Roman" w:cs="Times New Roman"/>
          <w:sz w:val="24"/>
          <w:szCs w:val="24"/>
        </w:rPr>
        <w:t>This study found a positive and significant relationship between students’ use of listening strategies and their listening proficiency. The correlation analysis showed that students who used listening strategies more frequently tended to achieve better listening results. However, the regression analysis revealed that listening strategies accounted for only a small portion of the variance in listening proficiency. This indicates that while listening strategies contributed to students’ listening success, other factors also played a significant role in shaping their overall listening ability.</w:t>
      </w:r>
    </w:p>
    <w:p w14:paraId="2BA2A88B">
      <w:pPr>
        <w:spacing w:after="240" w:line="240" w:lineRule="auto"/>
        <w:ind w:firstLine="426"/>
        <w:jc w:val="both"/>
        <w:rPr>
          <w:rFonts w:hint="default" w:ascii="Times New Roman" w:hAnsi="Times New Roman" w:cs="Times New Roman"/>
          <w:sz w:val="24"/>
          <w:szCs w:val="24"/>
        </w:rPr>
      </w:pPr>
    </w:p>
    <w:p w14:paraId="2B883621">
      <w:pPr>
        <w:spacing w:after="240" w:line="240" w:lineRule="auto"/>
        <w:ind w:firstLine="426"/>
        <w:jc w:val="both"/>
        <w:rPr>
          <w:rFonts w:hint="default" w:ascii="Times New Roman" w:hAnsi="Times New Roman" w:cs="Times New Roman"/>
          <w:sz w:val="24"/>
          <w:szCs w:val="24"/>
        </w:rPr>
      </w:pPr>
    </w:p>
    <w:p w14:paraId="0572DB9A">
      <w:pPr>
        <w:spacing w:after="240" w:line="240" w:lineRule="auto"/>
        <w:ind w:firstLine="426"/>
        <w:jc w:val="both"/>
        <w:rPr>
          <w:rFonts w:hint="default" w:ascii="Times New Roman" w:hAnsi="Times New Roman" w:cs="Times New Roman"/>
          <w:sz w:val="24"/>
          <w:szCs w:val="24"/>
        </w:rPr>
      </w:pPr>
    </w:p>
    <w:p w14:paraId="1A8C4E79">
      <w:pPr>
        <w:spacing w:after="240" w:line="240" w:lineRule="auto"/>
        <w:ind w:firstLine="426"/>
        <w:jc w:val="both"/>
        <w:rPr>
          <w:rFonts w:hint="default" w:ascii="Times New Roman" w:hAnsi="Times New Roman" w:cs="Times New Roman"/>
          <w:sz w:val="24"/>
          <w:szCs w:val="24"/>
        </w:rPr>
      </w:pPr>
    </w:p>
    <w:p w14:paraId="7201F275">
      <w:pPr>
        <w:spacing w:after="240" w:line="240" w:lineRule="auto"/>
        <w:ind w:firstLine="426"/>
        <w:jc w:val="both"/>
        <w:rPr>
          <w:rFonts w:hint="default" w:ascii="Times New Roman" w:hAnsi="Times New Roman" w:cs="Times New Roman"/>
          <w:sz w:val="24"/>
          <w:szCs w:val="24"/>
        </w:rPr>
      </w:pPr>
    </w:p>
    <w:p w14:paraId="2C0B8FC7">
      <w:pPr>
        <w:spacing w:after="0" w:line="240" w:lineRule="auto"/>
        <w:jc w:val="both"/>
        <w:rPr>
          <w:rFonts w:hint="default" w:ascii="Times New Roman" w:hAnsi="Times New Roman" w:eastAsia="Times New Roman" w:cs="Times New Roman"/>
          <w:b/>
        </w:rPr>
      </w:pPr>
      <w:r>
        <w:rPr>
          <w:rFonts w:hint="default" w:ascii="Times New Roman" w:hAnsi="Times New Roman" w:eastAsia="Times New Roman" w:cs="Times New Roman"/>
          <w:b/>
        </w:rPr>
        <w:t xml:space="preserve">REFERENCES </w:t>
      </w:r>
    </w:p>
    <w:p w14:paraId="3D474A58">
      <w:pPr>
        <w:spacing w:after="0" w:line="240" w:lineRule="auto"/>
        <w:jc w:val="both"/>
        <w:rPr>
          <w:rFonts w:hint="default" w:ascii="Times New Roman" w:hAnsi="Times New Roman" w:eastAsia="Times New Roman" w:cs="Times New Roman"/>
          <w:b/>
          <w:color w:val="538135"/>
        </w:rPr>
      </w:pPr>
    </w:p>
    <w:p w14:paraId="5B91091F">
      <w:pPr>
        <w:pStyle w:val="28"/>
        <w:spacing w:before="0" w:beforeAutospacing="0" w:after="0" w:afterAutospacing="0"/>
        <w:ind w:left="567" w:hanging="567"/>
        <w:jc w:val="both"/>
        <w:rPr>
          <w:rFonts w:hint="default" w:ascii="Times New Roman" w:hAnsi="Times New Roman" w:cs="Times New Roman"/>
        </w:rPr>
      </w:pPr>
      <w:r>
        <w:rPr>
          <w:rFonts w:hint="default" w:ascii="Times New Roman" w:hAnsi="Times New Roman" w:cs="Times New Roman"/>
        </w:rPr>
        <w:t xml:space="preserve">Amin, I. A. R., Amin, M. M., &amp; Aly, M. A. S. (2011). A correlation study between EFL strategic listening and listening comprehension skills among secondary school students. </w:t>
      </w:r>
      <w:r>
        <w:rPr>
          <w:rStyle w:val="23"/>
          <w:rFonts w:hint="default" w:ascii="Times New Roman" w:hAnsi="Times New Roman" w:eastAsia="Consolas" w:cs="Times New Roman"/>
        </w:rPr>
        <w:t>Online Submission</w:t>
      </w:r>
      <w:r>
        <w:rPr>
          <w:rFonts w:hint="default" w:ascii="Times New Roman" w:hAnsi="Times New Roman" w:cs="Times New Roman"/>
        </w:rPr>
        <w:t>.</w:t>
      </w:r>
    </w:p>
    <w:p w14:paraId="7D20FE2D">
      <w:pPr>
        <w:pStyle w:val="28"/>
        <w:spacing w:before="0" w:beforeAutospacing="0" w:after="0" w:afterAutospacing="0"/>
        <w:ind w:left="567" w:hanging="567"/>
        <w:jc w:val="both"/>
        <w:rPr>
          <w:rFonts w:hint="default" w:ascii="Times New Roman" w:hAnsi="Times New Roman" w:cs="Times New Roman"/>
        </w:rPr>
      </w:pPr>
      <w:r>
        <w:rPr>
          <w:rFonts w:hint="default" w:ascii="Times New Roman" w:hAnsi="Times New Roman" w:cs="Times New Roman"/>
        </w:rPr>
        <w:t xml:space="preserve">Ayu, M., &amp; Zuraida, Z. (2020). Enhancing descriptive paragraph writing of secondary students through shared writing. </w:t>
      </w:r>
      <w:r>
        <w:rPr>
          <w:rStyle w:val="23"/>
          <w:rFonts w:hint="default" w:ascii="Times New Roman" w:hAnsi="Times New Roman" w:eastAsia="Consolas" w:cs="Times New Roman"/>
        </w:rPr>
        <w:t>Journal of Research on Language Education, 1</w:t>
      </w:r>
      <w:r>
        <w:rPr>
          <w:rFonts w:hint="default" w:ascii="Times New Roman" w:hAnsi="Times New Roman" w:cs="Times New Roman"/>
        </w:rPr>
        <w:t>(1).</w:t>
      </w:r>
    </w:p>
    <w:p w14:paraId="0E9EF2EA">
      <w:pPr>
        <w:pStyle w:val="28"/>
        <w:spacing w:before="0" w:beforeAutospacing="0" w:after="0" w:afterAutospacing="0"/>
        <w:ind w:left="567" w:hanging="567"/>
        <w:jc w:val="both"/>
        <w:rPr>
          <w:rFonts w:hint="default" w:ascii="Times New Roman" w:hAnsi="Times New Roman" w:cs="Times New Roman"/>
        </w:rPr>
      </w:pPr>
      <w:r>
        <w:rPr>
          <w:rFonts w:hint="default" w:ascii="Times New Roman" w:hAnsi="Times New Roman" w:cs="Times New Roman"/>
        </w:rPr>
        <w:t xml:space="preserve">Brown, G. (1983). </w:t>
      </w:r>
      <w:r>
        <w:rPr>
          <w:rStyle w:val="23"/>
          <w:rFonts w:hint="default" w:ascii="Times New Roman" w:hAnsi="Times New Roman" w:eastAsia="Consolas" w:cs="Times New Roman"/>
        </w:rPr>
        <w:t>Teaching the spoken language</w:t>
      </w:r>
      <w:r>
        <w:rPr>
          <w:rFonts w:hint="default" w:ascii="Times New Roman" w:hAnsi="Times New Roman" w:cs="Times New Roman"/>
        </w:rPr>
        <w:t>. Cambridge University Press.</w:t>
      </w:r>
    </w:p>
    <w:p w14:paraId="466E6085">
      <w:pPr>
        <w:pStyle w:val="28"/>
        <w:spacing w:before="0" w:beforeAutospacing="0" w:after="0" w:afterAutospacing="0"/>
        <w:ind w:left="567" w:hanging="567"/>
        <w:jc w:val="both"/>
        <w:rPr>
          <w:rFonts w:hint="default" w:ascii="Times New Roman" w:hAnsi="Times New Roman" w:cs="Times New Roman"/>
        </w:rPr>
      </w:pPr>
      <w:r>
        <w:rPr>
          <w:rFonts w:hint="default" w:ascii="Times New Roman" w:hAnsi="Times New Roman" w:cs="Times New Roman"/>
        </w:rPr>
        <w:t xml:space="preserve">Darti, D., &amp; Asmawati, A. (2017). Analyzing students’ difficulties toward listening comprehension. </w:t>
      </w:r>
      <w:r>
        <w:rPr>
          <w:rStyle w:val="23"/>
          <w:rFonts w:hint="default" w:ascii="Times New Roman" w:hAnsi="Times New Roman" w:eastAsia="Consolas" w:cs="Times New Roman"/>
        </w:rPr>
        <w:t>English, Teaching, Learning, and Research Journal, 3</w:t>
      </w:r>
      <w:r>
        <w:rPr>
          <w:rFonts w:hint="default" w:ascii="Times New Roman" w:hAnsi="Times New Roman" w:cs="Times New Roman"/>
        </w:rPr>
        <w:t xml:space="preserve">(2), 211–228. </w:t>
      </w:r>
      <w:r>
        <w:rPr>
          <w:rFonts w:hint="default" w:ascii="Times New Roman" w:hAnsi="Times New Roman" w:cs="Times New Roman"/>
        </w:rPr>
        <w:fldChar w:fldCharType="begin"/>
      </w:r>
      <w:r>
        <w:rPr>
          <w:rFonts w:hint="default" w:ascii="Times New Roman" w:hAnsi="Times New Roman" w:cs="Times New Roman"/>
        </w:rPr>
        <w:instrText xml:space="preserve"> HYPERLINK "http://dx.doi.org/10.24252/Eternal.V32.2017.A9" </w:instrText>
      </w:r>
      <w:r>
        <w:rPr>
          <w:rFonts w:hint="default" w:ascii="Times New Roman" w:hAnsi="Times New Roman" w:cs="Times New Roman"/>
        </w:rPr>
        <w:fldChar w:fldCharType="separate"/>
      </w:r>
      <w:r>
        <w:rPr>
          <w:rStyle w:val="27"/>
          <w:rFonts w:hint="default" w:ascii="Times New Roman" w:hAnsi="Times New Roman" w:cs="Times New Roman"/>
        </w:rPr>
        <w:t>http://dx.doi.org/10.24252/Eternal.V32.2017.A9</w:t>
      </w:r>
      <w:r>
        <w:rPr>
          <w:rStyle w:val="27"/>
          <w:rFonts w:hint="default" w:ascii="Times New Roman" w:hAnsi="Times New Roman" w:cs="Times New Roman"/>
        </w:rPr>
        <w:fldChar w:fldCharType="end"/>
      </w:r>
    </w:p>
    <w:p w14:paraId="3F9C53F0">
      <w:pPr>
        <w:pStyle w:val="28"/>
        <w:spacing w:before="0" w:beforeAutospacing="0" w:after="0" w:afterAutospacing="0"/>
        <w:ind w:left="567" w:hanging="567"/>
        <w:jc w:val="both"/>
        <w:rPr>
          <w:rFonts w:hint="default" w:ascii="Times New Roman" w:hAnsi="Times New Roman" w:cs="Times New Roman"/>
        </w:rPr>
      </w:pPr>
      <w:r>
        <w:rPr>
          <w:rFonts w:hint="default" w:ascii="Times New Roman" w:hAnsi="Times New Roman" w:cs="Times New Roman"/>
        </w:rPr>
        <w:t xml:space="preserve">Darweesh, A. D. (2014). The importance of teaching listening comprehension at the university level. </w:t>
      </w:r>
      <w:r>
        <w:rPr>
          <w:rStyle w:val="23"/>
          <w:rFonts w:hint="default" w:ascii="Times New Roman" w:hAnsi="Times New Roman" w:eastAsia="Consolas" w:cs="Times New Roman"/>
        </w:rPr>
        <w:t>Acme Intellects International Journal of Research in Management, Social Sciences &amp; Technology, 8</w:t>
      </w:r>
      <w:r>
        <w:rPr>
          <w:rFonts w:hint="default" w:ascii="Times New Roman" w:hAnsi="Times New Roman" w:cs="Times New Roman"/>
        </w:rPr>
        <w:t>(8), 2320–2793.</w:t>
      </w:r>
    </w:p>
    <w:p w14:paraId="7DAA3DA0">
      <w:pPr>
        <w:pStyle w:val="28"/>
        <w:spacing w:before="0" w:beforeAutospacing="0" w:after="0" w:afterAutospacing="0"/>
        <w:ind w:left="567" w:hanging="567"/>
        <w:jc w:val="both"/>
        <w:rPr>
          <w:rFonts w:hint="default" w:ascii="Times New Roman" w:hAnsi="Times New Roman" w:cs="Times New Roman"/>
        </w:rPr>
      </w:pPr>
      <w:r>
        <w:rPr>
          <w:rFonts w:hint="default" w:ascii="Times New Roman" w:hAnsi="Times New Roman" w:cs="Times New Roman"/>
        </w:rPr>
        <w:t xml:space="preserve">Ebadi, F., &amp; Oroji, M. R. (2016). The relationship between intermediate EFL learners’ L2 listening performance and their metacognitive awareness strategies. </w:t>
      </w:r>
      <w:r>
        <w:rPr>
          <w:rStyle w:val="23"/>
          <w:rFonts w:hint="default" w:ascii="Times New Roman" w:hAnsi="Times New Roman" w:eastAsia="Consolas" w:cs="Times New Roman"/>
        </w:rPr>
        <w:t>Journal of Applied Linguistics and Language Research, 3</w:t>
      </w:r>
      <w:r>
        <w:rPr>
          <w:rFonts w:hint="default" w:ascii="Times New Roman" w:hAnsi="Times New Roman" w:cs="Times New Roman"/>
        </w:rPr>
        <w:t>(4), 111–120.</w:t>
      </w:r>
    </w:p>
    <w:p w14:paraId="332E8AAB">
      <w:pPr>
        <w:pStyle w:val="28"/>
        <w:spacing w:before="0" w:beforeAutospacing="0" w:after="0" w:afterAutospacing="0"/>
        <w:ind w:left="567" w:hanging="567"/>
        <w:jc w:val="both"/>
        <w:rPr>
          <w:rFonts w:hint="default" w:ascii="Times New Roman" w:hAnsi="Times New Roman" w:cs="Times New Roman"/>
        </w:rPr>
      </w:pPr>
      <w:r>
        <w:rPr>
          <w:rFonts w:hint="default" w:ascii="Times New Roman" w:hAnsi="Times New Roman" w:cs="Times New Roman"/>
        </w:rPr>
        <w:t xml:space="preserve">Gilakjani, A. P., &amp; Sabouri, N. B. (2016). Learners’ listening comprehension difficulties in English: Language learning – A literature review. </w:t>
      </w:r>
      <w:r>
        <w:rPr>
          <w:rStyle w:val="23"/>
          <w:rFonts w:hint="default" w:ascii="Times New Roman" w:hAnsi="Times New Roman" w:eastAsia="Consolas" w:cs="Times New Roman"/>
        </w:rPr>
        <w:t>English Language Teaching, 9</w:t>
      </w:r>
      <w:r>
        <w:rPr>
          <w:rFonts w:hint="default" w:ascii="Times New Roman" w:hAnsi="Times New Roman" w:cs="Times New Roman"/>
        </w:rPr>
        <w:t>(6), 123–133.</w:t>
      </w:r>
    </w:p>
    <w:p w14:paraId="6D755570">
      <w:pPr>
        <w:pStyle w:val="28"/>
        <w:spacing w:before="0" w:beforeAutospacing="0" w:after="0" w:afterAutospacing="0"/>
        <w:ind w:left="567" w:hanging="567"/>
        <w:jc w:val="both"/>
        <w:rPr>
          <w:rFonts w:hint="default" w:ascii="Times New Roman" w:hAnsi="Times New Roman" w:cs="Times New Roman"/>
        </w:rPr>
      </w:pPr>
      <w:r>
        <w:rPr>
          <w:rFonts w:hint="default" w:ascii="Times New Roman" w:hAnsi="Times New Roman" w:cs="Times New Roman"/>
        </w:rPr>
        <w:t xml:space="preserve">Goh, C. C. M. (2000). A cognitive perspective on language learners’ listening comprehension problems. </w:t>
      </w:r>
      <w:r>
        <w:rPr>
          <w:rStyle w:val="23"/>
          <w:rFonts w:hint="default" w:ascii="Times New Roman" w:hAnsi="Times New Roman" w:eastAsia="Consolas" w:cs="Times New Roman"/>
        </w:rPr>
        <w:t>System, 28</w:t>
      </w:r>
      <w:r>
        <w:rPr>
          <w:rFonts w:hint="default" w:ascii="Times New Roman" w:hAnsi="Times New Roman" w:cs="Times New Roman"/>
        </w:rPr>
        <w:t>(1), 55–75.</w:t>
      </w:r>
    </w:p>
    <w:p w14:paraId="36BA3268">
      <w:pPr>
        <w:pStyle w:val="28"/>
        <w:spacing w:before="0" w:beforeAutospacing="0" w:after="0" w:afterAutospacing="0"/>
        <w:ind w:left="567" w:hanging="567"/>
        <w:jc w:val="both"/>
        <w:rPr>
          <w:rFonts w:hint="default" w:ascii="Times New Roman" w:hAnsi="Times New Roman" w:cs="Times New Roman"/>
        </w:rPr>
      </w:pPr>
      <w:r>
        <w:rPr>
          <w:rFonts w:hint="default" w:ascii="Times New Roman" w:hAnsi="Times New Roman" w:cs="Times New Roman"/>
        </w:rPr>
        <w:t xml:space="preserve">Maria, A. D. (2018). The relationship between listening strategies and students’ achievement at 2nd semester students of Accounting Program Politeknik Sekayu. </w:t>
      </w:r>
      <w:r>
        <w:rPr>
          <w:rStyle w:val="23"/>
          <w:rFonts w:hint="default" w:ascii="Times New Roman" w:hAnsi="Times New Roman" w:eastAsia="Consolas" w:cs="Times New Roman"/>
        </w:rPr>
        <w:t>Esteem Journal of English Education Study Programme, 1</w:t>
      </w:r>
      <w:r>
        <w:rPr>
          <w:rFonts w:hint="default" w:ascii="Times New Roman" w:hAnsi="Times New Roman" w:cs="Times New Roman"/>
        </w:rPr>
        <w:t>(1).</w:t>
      </w:r>
    </w:p>
    <w:p w14:paraId="60AEE387">
      <w:pPr>
        <w:pStyle w:val="28"/>
        <w:spacing w:before="0" w:beforeAutospacing="0" w:after="0" w:afterAutospacing="0"/>
        <w:ind w:left="567" w:hanging="567"/>
        <w:jc w:val="both"/>
        <w:rPr>
          <w:rFonts w:hint="default" w:ascii="Times New Roman" w:hAnsi="Times New Roman" w:cs="Times New Roman"/>
        </w:rPr>
      </w:pPr>
      <w:r>
        <w:rPr>
          <w:rFonts w:hint="default" w:ascii="Times New Roman" w:hAnsi="Times New Roman" w:cs="Times New Roman"/>
        </w:rPr>
        <w:t xml:space="preserve">O’Malley, J. M., &amp; Chamot, A. U. (1990). </w:t>
      </w:r>
      <w:r>
        <w:rPr>
          <w:rStyle w:val="23"/>
          <w:rFonts w:hint="default" w:ascii="Times New Roman" w:hAnsi="Times New Roman" w:eastAsia="Consolas" w:cs="Times New Roman"/>
        </w:rPr>
        <w:t>Learning strategies in second language acquisition</w:t>
      </w:r>
      <w:r>
        <w:rPr>
          <w:rFonts w:hint="default" w:ascii="Times New Roman" w:hAnsi="Times New Roman" w:cs="Times New Roman"/>
        </w:rPr>
        <w:t>. Cambridge University Press.</w:t>
      </w:r>
    </w:p>
    <w:p w14:paraId="5A15FF71">
      <w:pPr>
        <w:pStyle w:val="28"/>
        <w:spacing w:before="0" w:beforeAutospacing="0" w:after="0" w:afterAutospacing="0"/>
        <w:ind w:left="567" w:hanging="567"/>
        <w:jc w:val="both"/>
        <w:rPr>
          <w:rFonts w:hint="default" w:ascii="Times New Roman" w:hAnsi="Times New Roman" w:cs="Times New Roman"/>
        </w:rPr>
      </w:pPr>
      <w:r>
        <w:rPr>
          <w:rFonts w:hint="default" w:ascii="Times New Roman" w:hAnsi="Times New Roman" w:cs="Times New Roman"/>
        </w:rPr>
        <w:t xml:space="preserve">Pertiwi, S. (2017). The influence of learning independence on student achievement in the Information and Communication Technology subject for grade VII at SMP Pertiwi I Padang. </w:t>
      </w:r>
      <w:r>
        <w:rPr>
          <w:rStyle w:val="23"/>
          <w:rFonts w:hint="default" w:ascii="Times New Roman" w:hAnsi="Times New Roman" w:eastAsia="Consolas" w:cs="Times New Roman"/>
        </w:rPr>
        <w:t>Journal of the Faculty of Teacher Training and Education, 4</w:t>
      </w:r>
      <w:r>
        <w:rPr>
          <w:rFonts w:hint="default" w:ascii="Times New Roman" w:hAnsi="Times New Roman" w:cs="Times New Roman"/>
        </w:rPr>
        <w:t xml:space="preserve">(1), 1–10. </w:t>
      </w:r>
      <w:r>
        <w:rPr>
          <w:rFonts w:hint="default" w:ascii="Times New Roman" w:hAnsi="Times New Roman" w:cs="Times New Roman"/>
        </w:rPr>
        <w:fldChar w:fldCharType="begin"/>
      </w:r>
      <w:r>
        <w:rPr>
          <w:rFonts w:hint="default" w:ascii="Times New Roman" w:hAnsi="Times New Roman" w:cs="Times New Roman"/>
        </w:rPr>
        <w:instrText xml:space="preserve"> HYPERLINK "https://ejurnal.bunghatta.ac.id/index.php/JFKIP/article/view/7901" </w:instrText>
      </w:r>
      <w:r>
        <w:rPr>
          <w:rFonts w:hint="default" w:ascii="Times New Roman" w:hAnsi="Times New Roman" w:cs="Times New Roman"/>
        </w:rPr>
        <w:fldChar w:fldCharType="separate"/>
      </w:r>
      <w:r>
        <w:rPr>
          <w:rStyle w:val="27"/>
          <w:rFonts w:hint="default" w:ascii="Times New Roman" w:hAnsi="Times New Roman" w:cs="Times New Roman"/>
        </w:rPr>
        <w:t>https://ejurnal.bunghatta.ac.id/index.php/JFKIP/article/view/7901</w:t>
      </w:r>
      <w:r>
        <w:rPr>
          <w:rStyle w:val="27"/>
          <w:rFonts w:hint="default" w:ascii="Times New Roman" w:hAnsi="Times New Roman" w:cs="Times New Roman"/>
        </w:rPr>
        <w:fldChar w:fldCharType="end"/>
      </w:r>
    </w:p>
    <w:p w14:paraId="4961AAE6">
      <w:pPr>
        <w:pStyle w:val="28"/>
        <w:spacing w:before="0" w:beforeAutospacing="0" w:after="0" w:afterAutospacing="0"/>
        <w:ind w:left="567" w:hanging="567"/>
        <w:jc w:val="both"/>
        <w:rPr>
          <w:rFonts w:hint="default" w:ascii="Times New Roman" w:hAnsi="Times New Roman" w:cs="Times New Roman"/>
        </w:rPr>
      </w:pPr>
      <w:r>
        <w:rPr>
          <w:rFonts w:hint="default" w:ascii="Times New Roman" w:hAnsi="Times New Roman" w:cs="Times New Roman"/>
        </w:rPr>
        <w:t xml:space="preserve">Pratiwi, K., &amp; Andriyanti, E. (2019). External factors causing students’ difficulties in listening. </w:t>
      </w:r>
      <w:r>
        <w:rPr>
          <w:rStyle w:val="23"/>
          <w:rFonts w:hint="default" w:ascii="Times New Roman" w:hAnsi="Times New Roman" w:eastAsia="Consolas" w:cs="Times New Roman"/>
        </w:rPr>
        <w:t>Journal of English Language Teaching and Linguistics, 4</w:t>
      </w:r>
      <w:r>
        <w:rPr>
          <w:rFonts w:hint="default" w:ascii="Times New Roman" w:hAnsi="Times New Roman" w:cs="Times New Roman"/>
        </w:rPr>
        <w:t xml:space="preserve">(2), 227. </w:t>
      </w:r>
      <w:r>
        <w:rPr>
          <w:rFonts w:hint="default" w:ascii="Times New Roman" w:hAnsi="Times New Roman" w:cs="Times New Roman"/>
        </w:rPr>
        <w:fldChar w:fldCharType="begin"/>
      </w:r>
      <w:r>
        <w:rPr>
          <w:rFonts w:hint="default" w:ascii="Times New Roman" w:hAnsi="Times New Roman" w:cs="Times New Roman"/>
        </w:rPr>
        <w:instrText xml:space="preserve"> HYPERLINK "http://dx.doi.org/10.21462/jeltl.v4i2.282" </w:instrText>
      </w:r>
      <w:r>
        <w:rPr>
          <w:rFonts w:hint="default" w:ascii="Times New Roman" w:hAnsi="Times New Roman" w:cs="Times New Roman"/>
        </w:rPr>
        <w:fldChar w:fldCharType="separate"/>
      </w:r>
      <w:r>
        <w:rPr>
          <w:rStyle w:val="27"/>
          <w:rFonts w:hint="default" w:ascii="Times New Roman" w:hAnsi="Times New Roman" w:cs="Times New Roman"/>
        </w:rPr>
        <w:t>http://dx.doi.org/10.21462/jeltl.v4i2.282</w:t>
      </w:r>
      <w:r>
        <w:rPr>
          <w:rStyle w:val="27"/>
          <w:rFonts w:hint="default" w:ascii="Times New Roman" w:hAnsi="Times New Roman" w:cs="Times New Roman"/>
        </w:rPr>
        <w:fldChar w:fldCharType="end"/>
      </w:r>
    </w:p>
    <w:p w14:paraId="69BFF96D">
      <w:pPr>
        <w:pStyle w:val="28"/>
        <w:spacing w:before="0" w:beforeAutospacing="0" w:after="0" w:afterAutospacing="0"/>
        <w:ind w:left="567" w:hanging="567"/>
        <w:jc w:val="both"/>
        <w:rPr>
          <w:rFonts w:hint="default" w:ascii="Times New Roman" w:hAnsi="Times New Roman" w:cs="Times New Roman"/>
        </w:rPr>
      </w:pPr>
      <w:r>
        <w:rPr>
          <w:rFonts w:hint="default" w:ascii="Times New Roman" w:hAnsi="Times New Roman" w:cs="Times New Roman"/>
        </w:rPr>
        <w:t xml:space="preserve">Rizky, M., &amp; Angraini, S. (2022). The effectiveness of differentiated learning strategies on students' science learning outcomes in the independent curriculum at an elementary school in Palembang. </w:t>
      </w:r>
      <w:r>
        <w:rPr>
          <w:rStyle w:val="23"/>
          <w:rFonts w:hint="default" w:ascii="Times New Roman" w:hAnsi="Times New Roman" w:eastAsia="Consolas" w:cs="Times New Roman"/>
        </w:rPr>
        <w:t>Terampil: Journal of Elementary Education and Learning, 6</w:t>
      </w:r>
      <w:r>
        <w:rPr>
          <w:rFonts w:hint="default" w:ascii="Times New Roman" w:hAnsi="Times New Roman" w:cs="Times New Roman"/>
        </w:rPr>
        <w:t xml:space="preserve">(2), 123–134. </w:t>
      </w:r>
      <w:r>
        <w:rPr>
          <w:rFonts w:hint="default" w:ascii="Times New Roman" w:hAnsi="Times New Roman" w:cs="Times New Roman"/>
        </w:rPr>
        <w:fldChar w:fldCharType="begin"/>
      </w:r>
      <w:r>
        <w:rPr>
          <w:rFonts w:hint="default" w:ascii="Times New Roman" w:hAnsi="Times New Roman" w:cs="Times New Roman"/>
        </w:rPr>
        <w:instrText xml:space="preserve"> HYPERLINK "https://ejournal.radenintan.ac.id/index.php/terampil/article/view/18805" </w:instrText>
      </w:r>
      <w:r>
        <w:rPr>
          <w:rFonts w:hint="default" w:ascii="Times New Roman" w:hAnsi="Times New Roman" w:cs="Times New Roman"/>
        </w:rPr>
        <w:fldChar w:fldCharType="separate"/>
      </w:r>
      <w:r>
        <w:rPr>
          <w:rStyle w:val="27"/>
          <w:rFonts w:hint="default" w:ascii="Times New Roman" w:hAnsi="Times New Roman" w:cs="Times New Roman"/>
        </w:rPr>
        <w:t>https://ejournal.radenintan.ac.id/index.php/terampil/article/view/18805</w:t>
      </w:r>
      <w:r>
        <w:rPr>
          <w:rStyle w:val="27"/>
          <w:rFonts w:hint="default" w:ascii="Times New Roman" w:hAnsi="Times New Roman" w:cs="Times New Roman"/>
        </w:rPr>
        <w:fldChar w:fldCharType="end"/>
      </w:r>
    </w:p>
    <w:p w14:paraId="52C9AB56">
      <w:pPr>
        <w:pStyle w:val="28"/>
        <w:spacing w:before="0" w:beforeAutospacing="0" w:after="0" w:afterAutospacing="0"/>
        <w:ind w:left="567" w:hanging="567"/>
        <w:jc w:val="both"/>
        <w:rPr>
          <w:rFonts w:hint="default" w:ascii="Times New Roman" w:hAnsi="Times New Roman" w:cs="Times New Roman"/>
        </w:rPr>
      </w:pPr>
      <w:r>
        <w:rPr>
          <w:rFonts w:hint="default" w:ascii="Times New Roman" w:hAnsi="Times New Roman" w:cs="Times New Roman"/>
        </w:rPr>
        <w:t xml:space="preserve">Sari, N., &amp; Fithriyana, R. (2019). Exploring EFL students’ problems in listening comprehension. </w:t>
      </w:r>
      <w:r>
        <w:rPr>
          <w:rStyle w:val="23"/>
          <w:rFonts w:hint="default" w:ascii="Times New Roman" w:hAnsi="Times New Roman" w:eastAsia="Consolas" w:cs="Times New Roman"/>
        </w:rPr>
        <w:t>JEES (Journal of English Educators Society), 4</w:t>
      </w:r>
      <w:r>
        <w:rPr>
          <w:rFonts w:hint="default" w:ascii="Times New Roman" w:hAnsi="Times New Roman" w:cs="Times New Roman"/>
        </w:rPr>
        <w:t xml:space="preserve">(1), 47–52. </w:t>
      </w:r>
      <w:r>
        <w:rPr>
          <w:rFonts w:hint="default" w:ascii="Times New Roman" w:hAnsi="Times New Roman" w:cs="Times New Roman"/>
        </w:rPr>
        <w:fldChar w:fldCharType="begin"/>
      </w:r>
      <w:r>
        <w:rPr>
          <w:rFonts w:hint="default" w:ascii="Times New Roman" w:hAnsi="Times New Roman" w:cs="Times New Roman"/>
        </w:rPr>
        <w:instrText xml:space="preserve"> HYPERLINK "https://doi.org/10.21070/jees.v4i1.1722" \t "_new" </w:instrText>
      </w:r>
      <w:r>
        <w:rPr>
          <w:rFonts w:hint="default" w:ascii="Times New Roman" w:hAnsi="Times New Roman" w:cs="Times New Roman"/>
        </w:rPr>
        <w:fldChar w:fldCharType="separate"/>
      </w:r>
      <w:r>
        <w:rPr>
          <w:rStyle w:val="27"/>
          <w:rFonts w:hint="default" w:ascii="Times New Roman" w:hAnsi="Times New Roman" w:cs="Times New Roman"/>
        </w:rPr>
        <w:t>https://doi.org/10.21070/jees.v4i1.1722</w:t>
      </w:r>
      <w:r>
        <w:rPr>
          <w:rStyle w:val="27"/>
          <w:rFonts w:hint="default" w:ascii="Times New Roman" w:hAnsi="Times New Roman" w:cs="Times New Roman"/>
        </w:rPr>
        <w:fldChar w:fldCharType="end"/>
      </w:r>
    </w:p>
    <w:p w14:paraId="34289B18">
      <w:pPr>
        <w:pStyle w:val="28"/>
        <w:spacing w:before="0" w:beforeAutospacing="0" w:after="0" w:afterAutospacing="0"/>
        <w:ind w:left="567" w:hanging="567"/>
        <w:jc w:val="both"/>
        <w:rPr>
          <w:rFonts w:hint="default" w:ascii="Times New Roman" w:hAnsi="Times New Roman" w:cs="Times New Roman"/>
        </w:rPr>
      </w:pPr>
      <w:r>
        <w:rPr>
          <w:rFonts w:hint="default" w:ascii="Times New Roman" w:hAnsi="Times New Roman" w:cs="Times New Roman"/>
        </w:rPr>
        <w:t xml:space="preserve">Vandergrift, L. (1997). The strategies of second language (French) listeners: A descriptive study. </w:t>
      </w:r>
      <w:r>
        <w:rPr>
          <w:rStyle w:val="23"/>
          <w:rFonts w:hint="default" w:ascii="Times New Roman" w:hAnsi="Times New Roman" w:eastAsia="Consolas" w:cs="Times New Roman"/>
        </w:rPr>
        <w:t>Foreign Language Annals, 30</w:t>
      </w:r>
      <w:r>
        <w:rPr>
          <w:rFonts w:hint="default" w:ascii="Times New Roman" w:hAnsi="Times New Roman" w:cs="Times New Roman"/>
        </w:rPr>
        <w:t>(3).</w:t>
      </w:r>
    </w:p>
    <w:p w14:paraId="7EC25EC6">
      <w:pPr>
        <w:pStyle w:val="28"/>
        <w:spacing w:before="0" w:beforeAutospacing="0" w:after="0" w:afterAutospacing="0"/>
        <w:ind w:left="567" w:hanging="567"/>
        <w:jc w:val="both"/>
        <w:rPr>
          <w:rFonts w:hint="default" w:ascii="Times New Roman" w:hAnsi="Times New Roman" w:cs="Times New Roman"/>
        </w:rPr>
      </w:pPr>
      <w:r>
        <w:rPr>
          <w:rFonts w:hint="default" w:ascii="Times New Roman" w:hAnsi="Times New Roman" w:cs="Times New Roman"/>
        </w:rPr>
        <w:t xml:space="preserve">Wahyuni, F. (2019). An analysis of students’ listening comprehension through English song of eleventh grade students at Senior High School IT Azzuhra Pekanbaru (Unpublished undergraduate thesis). Universitas Islam Negeri Sultan Syarif Kasim Riau. </w:t>
      </w:r>
      <w:r>
        <w:rPr>
          <w:rFonts w:hint="default" w:ascii="Times New Roman" w:hAnsi="Times New Roman" w:cs="Times New Roman"/>
        </w:rPr>
        <w:fldChar w:fldCharType="begin"/>
      </w:r>
      <w:r>
        <w:rPr>
          <w:rFonts w:hint="default" w:ascii="Times New Roman" w:hAnsi="Times New Roman" w:cs="Times New Roman"/>
        </w:rPr>
        <w:instrText xml:space="preserve"> HYPERLINK "http://repository.uin-suska.ac.id" </w:instrText>
      </w:r>
      <w:r>
        <w:rPr>
          <w:rFonts w:hint="default" w:ascii="Times New Roman" w:hAnsi="Times New Roman" w:cs="Times New Roman"/>
        </w:rPr>
        <w:fldChar w:fldCharType="separate"/>
      </w:r>
      <w:r>
        <w:rPr>
          <w:rStyle w:val="27"/>
          <w:rFonts w:hint="default" w:ascii="Times New Roman" w:hAnsi="Times New Roman" w:cs="Times New Roman"/>
        </w:rPr>
        <w:t>http://repository.uin-suska.ac.id</w:t>
      </w:r>
      <w:r>
        <w:rPr>
          <w:rStyle w:val="27"/>
          <w:rFonts w:hint="default" w:ascii="Times New Roman" w:hAnsi="Times New Roman" w:cs="Times New Roman"/>
        </w:rPr>
        <w:fldChar w:fldCharType="end"/>
      </w:r>
    </w:p>
    <w:p w14:paraId="47CD1FAA">
      <w:pPr>
        <w:pStyle w:val="28"/>
        <w:spacing w:before="0" w:beforeAutospacing="0" w:after="0" w:afterAutospacing="0"/>
        <w:ind w:left="567" w:hanging="567"/>
        <w:jc w:val="both"/>
        <w:rPr>
          <w:rFonts w:hint="default" w:ascii="Times New Roman" w:hAnsi="Times New Roman" w:cs="Times New Roman"/>
        </w:rPr>
      </w:pPr>
      <w:r>
        <w:rPr>
          <w:rFonts w:hint="default" w:ascii="Times New Roman" w:hAnsi="Times New Roman" w:cs="Times New Roman"/>
        </w:rPr>
        <w:t xml:space="preserve">Yanti, S. (2016). The influence of self-concept and interpersonal communication skills on mathematical critical thinking ability. </w:t>
      </w:r>
      <w:r>
        <w:rPr>
          <w:rStyle w:val="23"/>
          <w:rFonts w:hint="default" w:ascii="Times New Roman" w:hAnsi="Times New Roman" w:eastAsia="Consolas" w:cs="Times New Roman"/>
        </w:rPr>
        <w:t>Formatif: Journal of Mathematics and Science Education, 5</w:t>
      </w:r>
      <w:r>
        <w:rPr>
          <w:rFonts w:hint="default" w:ascii="Times New Roman" w:hAnsi="Times New Roman" w:cs="Times New Roman"/>
        </w:rPr>
        <w:t xml:space="preserve">(3), 137–146. </w:t>
      </w:r>
      <w:r>
        <w:rPr>
          <w:rFonts w:hint="default" w:ascii="Times New Roman" w:hAnsi="Times New Roman" w:cs="Times New Roman"/>
        </w:rPr>
        <w:fldChar w:fldCharType="begin"/>
      </w:r>
      <w:r>
        <w:rPr>
          <w:rFonts w:hint="default" w:ascii="Times New Roman" w:hAnsi="Times New Roman" w:cs="Times New Roman"/>
        </w:rPr>
        <w:instrText xml:space="preserve"> HYPERLINK "https://doi.org/10.30998/formatif.v5i3.645" \t "_new" </w:instrText>
      </w:r>
      <w:r>
        <w:rPr>
          <w:rFonts w:hint="default" w:ascii="Times New Roman" w:hAnsi="Times New Roman" w:cs="Times New Roman"/>
        </w:rPr>
        <w:fldChar w:fldCharType="separate"/>
      </w:r>
      <w:r>
        <w:rPr>
          <w:rStyle w:val="27"/>
          <w:rFonts w:hint="default" w:ascii="Times New Roman" w:hAnsi="Times New Roman" w:cs="Times New Roman"/>
        </w:rPr>
        <w:t>https://doi.org/10.30998/formatif.v5i3.645</w:t>
      </w:r>
      <w:r>
        <w:rPr>
          <w:rStyle w:val="27"/>
          <w:rFonts w:hint="default" w:ascii="Times New Roman" w:hAnsi="Times New Roman" w:cs="Times New Roman"/>
        </w:rPr>
        <w:fldChar w:fldCharType="end"/>
      </w:r>
    </w:p>
    <w:p w14:paraId="0A244155">
      <w:pPr>
        <w:pStyle w:val="28"/>
        <w:spacing w:before="0" w:beforeAutospacing="0" w:after="0" w:afterAutospacing="0"/>
        <w:ind w:left="567" w:hanging="567"/>
        <w:jc w:val="both"/>
        <w:rPr>
          <w:rFonts w:hint="default" w:ascii="Times New Roman" w:hAnsi="Times New Roman" w:cs="Times New Roman"/>
        </w:rPr>
      </w:pPr>
      <w:r>
        <w:rPr>
          <w:rFonts w:hint="default" w:ascii="Times New Roman" w:hAnsi="Times New Roman" w:cs="Times New Roman"/>
        </w:rPr>
        <w:t xml:space="preserve">Yulisa, D. (2017). The correlation between listening strategies and listening comprehension of the eleventh grade of SMA Babussalam Payaraman (Unpublished undergraduate thesis). UIN Raden Fatah Palembang. </w:t>
      </w:r>
      <w:r>
        <w:rPr>
          <w:rFonts w:hint="default" w:ascii="Times New Roman" w:hAnsi="Times New Roman" w:cs="Times New Roman"/>
        </w:rPr>
        <w:fldChar w:fldCharType="begin"/>
      </w:r>
      <w:r>
        <w:rPr>
          <w:rFonts w:hint="default" w:ascii="Times New Roman" w:hAnsi="Times New Roman" w:cs="Times New Roman"/>
        </w:rPr>
        <w:instrText xml:space="preserve"> HYPERLINK "https://doi.org/10.19109/ejpp.v5i1.2046" \t "_new" </w:instrText>
      </w:r>
      <w:r>
        <w:rPr>
          <w:rFonts w:hint="default" w:ascii="Times New Roman" w:hAnsi="Times New Roman" w:cs="Times New Roman"/>
        </w:rPr>
        <w:fldChar w:fldCharType="separate"/>
      </w:r>
      <w:r>
        <w:rPr>
          <w:rStyle w:val="27"/>
          <w:rFonts w:hint="default" w:ascii="Times New Roman" w:hAnsi="Times New Roman" w:cs="Times New Roman"/>
        </w:rPr>
        <w:t>https://doi.org/10.19109/ejpp.v5i1.2046</w:t>
      </w:r>
      <w:r>
        <w:rPr>
          <w:rStyle w:val="27"/>
          <w:rFonts w:hint="default" w:ascii="Times New Roman" w:hAnsi="Times New Roman" w:cs="Times New Roman"/>
        </w:rPr>
        <w:fldChar w:fldCharType="end"/>
      </w:r>
    </w:p>
    <w:p w14:paraId="3CA0412A">
      <w:pPr>
        <w:pStyle w:val="70"/>
        <w:spacing w:before="0" w:after="0"/>
        <w:contextualSpacing/>
        <w:jc w:val="both"/>
        <w:rPr>
          <w:rFonts w:hint="default" w:ascii="Times New Roman" w:hAnsi="Times New Roman" w:cs="Times New Roman"/>
          <w:sz w:val="24"/>
          <w:szCs w:val="24"/>
          <w:lang w:val="id-ID"/>
        </w:rPr>
      </w:pPr>
    </w:p>
    <w:sectPr>
      <w:headerReference r:id="rId5" w:type="default"/>
      <w:headerReference r:id="rId6" w:type="even"/>
      <w:type w:val="nextColumn"/>
      <w:pgSz w:w="11906" w:h="16838"/>
      <w:pgMar w:top="1701" w:right="1701" w:bottom="1701" w:left="1701" w:header="1134" w:footer="709" w:gutter="0"/>
      <w:cols w:space="567"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Cambria">
    <w:panose1 w:val="02040503050406030204"/>
    <w:charset w:val="00"/>
    <w:family w:val="roman"/>
    <w:pitch w:val="default"/>
    <w:sig w:usb0="E00006FF" w:usb1="420024FF" w:usb2="02000000" w:usb3="00000000" w:csb0="2000019F" w:csb1="00000000"/>
  </w:font>
  <w:font w:name="Calibri Light">
    <w:panose1 w:val="020F0302020204030204"/>
    <w:charset w:val="00"/>
    <w:family w:val="swiss"/>
    <w:pitch w:val="default"/>
    <w:sig w:usb0="E4002EFF" w:usb1="C000247B" w:usb2="00000009" w:usb3="00000000" w:csb0="200001FF" w:csb1="00000000"/>
  </w:font>
  <w:font w:name="Garamond">
    <w:panose1 w:val="02020404030301010803"/>
    <w:charset w:val="00"/>
    <w:family w:val="roman"/>
    <w:pitch w:val="default"/>
    <w:sig w:usb0="00000287" w:usb1="00000000" w:usb2="00000000" w:usb3="00000000" w:csb0="0000009F" w:csb1="DFD70000"/>
  </w:font>
  <w:font w:name="Calibri">
    <w:panose1 w:val="020F0502020204030204"/>
    <w:charset w:val="00"/>
    <w:family w:val="auto"/>
    <w:pitch w:val="default"/>
    <w:sig w:usb0="E4002EFF" w:usb1="C000247B" w:usb2="00000009" w:usb3="00000000" w:csb0="200001FF" w:csb1="00000000"/>
  </w:font>
  <w:font w:name="Arial Unicode MS">
    <w:panose1 w:val="020B0604020202020204"/>
    <w:charset w:val="86"/>
    <w:family w:val="auto"/>
    <w:pitch w:val="default"/>
    <w:sig w:usb0="FFFFFFFF" w:usb1="E9FFFFFF" w:usb2="0000003F" w:usb3="00000000" w:csb0="603F01FF" w:csb1="FFFF0000"/>
  </w:font>
  <w:font w:name="Adobe Caslon Pro Bold">
    <w:panose1 w:val="0205070206050A020403"/>
    <w:charset w:val="00"/>
    <w:family w:val="auto"/>
    <w:pitch w:val="default"/>
    <w:sig w:usb0="800000AF" w:usb1="5000205B" w:usb2="00000000" w:usb3="00000000" w:csb0="0000009B" w:csb1="00000000"/>
  </w:font>
  <w:font w:name="Agency FB">
    <w:panose1 w:val="020B0503020202020204"/>
    <w:charset w:val="00"/>
    <w:family w:val="auto"/>
    <w:pitch w:val="default"/>
    <w:sig w:usb0="00000003" w:usb1="00000000" w:usb2="00000000" w:usb3="00000000" w:csb0="20000001" w:csb1="00000000"/>
  </w:font>
  <w:font w:name="Adobe Caslon Pro">
    <w:panose1 w:val="0205050205050A020403"/>
    <w:charset w:val="00"/>
    <w:family w:val="auto"/>
    <w:pitch w:val="default"/>
    <w:sig w:usb0="800000AF" w:usb1="5000205B" w:usb2="00000000" w:usb3="00000000" w:csb0="0000009B" w:csb1="00000000"/>
  </w:font>
  <w:font w:name="Niagara Engraved">
    <w:panose1 w:val="04020502070703030202"/>
    <w:charset w:val="00"/>
    <w:family w:val="auto"/>
    <w:pitch w:val="default"/>
    <w:sig w:usb0="00000003" w:usb1="00000000" w:usb2="00000000" w:usb3="00000000" w:csb0="20000001" w:csb1="00000000"/>
  </w:font>
  <w:font w:name="NSimSun">
    <w:panose1 w:val="02010609030101010101"/>
    <w:charset w:val="86"/>
    <w:family w:val="auto"/>
    <w:pitch w:val="default"/>
    <w:sig w:usb0="00000283" w:usb1="288F0000" w:usb2="00000006" w:usb3="00000000" w:csb0="00040001" w:csb1="00000000"/>
  </w:font>
  <w:font w:name="Nueva Std Cond">
    <w:panose1 w:val="00000506000000000000"/>
    <w:charset w:val="00"/>
    <w:family w:val="auto"/>
    <w:pitch w:val="default"/>
    <w:sig w:usb0="800000AF" w:usb1="4000204A" w:usb2="00000000" w:usb3="00000000" w:csb0="00000001" w:csb1="00000000"/>
  </w:font>
  <w:font w:name="Trebuchet MS">
    <w:panose1 w:val="020B0603020202020204"/>
    <w:charset w:val="00"/>
    <w:family w:val="auto"/>
    <w:pitch w:val="default"/>
    <w:sig w:usb0="00000687" w:usb1="00000000" w:usb2="00000000" w:usb3="00000000" w:csb0="2000009F" w:csb1="00000000"/>
  </w:font>
  <w:font w:name="Trajan Pro">
    <w:panose1 w:val="02020502050506020301"/>
    <w:charset w:val="00"/>
    <w:family w:val="auto"/>
    <w:pitch w:val="default"/>
    <w:sig w:usb0="800000AF" w:usb1="5000204B" w:usb2="00000000" w:usb3="00000000" w:csb0="0000009B" w:csb1="00000000"/>
  </w:font>
  <w:font w:name="Consolas">
    <w:panose1 w:val="020B0609020204030204"/>
    <w:charset w:val="00"/>
    <w:family w:val="modern"/>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62212362"/>
      <w:docPartObj>
        <w:docPartGallery w:val="AutoText"/>
      </w:docPartObj>
    </w:sdtPr>
    <w:sdtContent>
      <w:p w14:paraId="254375B5">
        <w:pPr>
          <w:pStyle w:val="25"/>
          <w:jc w:val="right"/>
        </w:pPr>
        <w:r>
          <w:fldChar w:fldCharType="begin"/>
        </w:r>
        <w:r>
          <w:instrText xml:space="preserve"> PAGE   \* MERGEFORMAT </w:instrText>
        </w:r>
        <w:r>
          <w:fldChar w:fldCharType="separate"/>
        </w:r>
        <w:r>
          <w:t>3</w:t>
        </w:r>
        <w:r>
          <w:fldChar w:fldCharType="end"/>
        </w:r>
      </w:p>
    </w:sdtContent>
  </w:sdt>
  <w:p w14:paraId="28076E4E">
    <w:pPr>
      <w:pStyle w:val="25"/>
      <w:jc w:val="right"/>
      <w:rPr>
        <w:rFonts w:asciiTheme="minorHAnsi" w:hAnsiTheme="minorHAnsi" w:cstheme="minorHAnsi"/>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DCCCE0">
    <w:pPr>
      <w:pStyle w:val="26"/>
      <w:tabs>
        <w:tab w:val="right" w:pos="8505"/>
      </w:tabs>
      <w:rPr>
        <w:rFonts w:ascii="Calibri" w:hAnsi="Calibri" w:cs="Calibri"/>
        <w:lang w:val="id-ID"/>
      </w:rPr>
    </w:pPr>
    <w:r>
      <w:rPr>
        <w:rFonts w:ascii="Garamond" w:hAnsi="Garamond"/>
        <w:b/>
        <w:sz w:val="24"/>
        <w:szCs w:val="24"/>
        <w:lang w:val="id-ID"/>
      </w:rPr>
      <w:t>DIDASCEIN: Journal of English Education</w:t>
    </w:r>
    <w:r>
      <w:rPr>
        <w:rFonts w:ascii="Garamond" w:hAnsi="Garamond"/>
        <w:sz w:val="24"/>
        <w:szCs w:val="24"/>
        <w:lang w:val="id-ID"/>
      </w:rPr>
      <w:tab/>
    </w:r>
    <w:r>
      <w:rPr>
        <w:rFonts w:ascii="Garamond" w:hAnsi="Garamond"/>
        <w:sz w:val="24"/>
        <w:szCs w:val="24"/>
        <w:lang w:val="id-ID"/>
      </w:rPr>
      <w:t>January 2020, Vol.1 No.</w:t>
    </w:r>
    <w:r>
      <w:rPr>
        <w:rFonts w:ascii="Garamond" w:hAnsi="Garamond"/>
        <w:sz w:val="24"/>
        <w:szCs w:val="24"/>
      </w:rPr>
      <w:t>1</w:t>
    </w:r>
  </w:p>
  <w:p w14:paraId="27326F85">
    <w:pPr>
      <w:pStyle w:val="26"/>
      <w:tabs>
        <w:tab w:val="right" w:pos="8505"/>
      </w:tabs>
      <w:rPr>
        <w:rFonts w:ascii="Calibri" w:hAnsi="Calibri" w:cs="Calibri"/>
      </w:rPr>
    </w:pPr>
    <w:r>
      <w:rPr>
        <w:lang w:val="id-ID" w:eastAsia="id-ID"/>
      </w:rPr>
      <mc:AlternateContent>
        <mc:Choice Requires="wps">
          <w:drawing>
            <wp:anchor distT="0" distB="0" distL="114300" distR="114300" simplePos="0" relativeHeight="251660288" behindDoc="0" locked="0" layoutInCell="1" allowOverlap="1">
              <wp:simplePos x="0" y="0"/>
              <wp:positionH relativeFrom="column">
                <wp:posOffset>36195</wp:posOffset>
              </wp:positionH>
              <wp:positionV relativeFrom="paragraph">
                <wp:posOffset>39370</wp:posOffset>
              </wp:positionV>
              <wp:extent cx="5380990" cy="0"/>
              <wp:effectExtent l="0" t="0" r="10160" b="19050"/>
              <wp:wrapNone/>
              <wp:docPr id="3" name="AutoShape 1"/>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ln>
                    </wps:spPr>
                    <wps:bodyPr/>
                  </wps:wsp>
                </a:graphicData>
              </a:graphic>
            </wp:anchor>
          </w:drawing>
        </mc:Choice>
        <mc:Fallback>
          <w:pict>
            <v:shape id="AutoShape 1" o:spid="_x0000_s1026" o:spt="32" type="#_x0000_t32" style="position:absolute;left:0pt;margin-left:2.85pt;margin-top:3.1pt;height:0pt;width:423.7pt;z-index:251660288;mso-width-relative:page;mso-height-relative:page;" filled="f" stroked="t" coordsize="21600,21600" o:gfxdata="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EShnizRAAAABQEAAA8AAAAAAAAAAQAgAAAAIgAAAGRy&#10;cy9kb3ducmV2LnhtbFBLAQIUABQAAAAIAIdO4kCr0Wkl0wEAALMDAAAOAAAAAAAAAAEAIAAAACAB&#10;AABkcnMvZTJvRG9jLnhtbFBLBQYAAAAABgAGAFkBAABlBQAAAAA=&#10;">
              <v:fill on="f" focussize="0,0"/>
              <v:stroke weight="1.5pt" color="#000000" joinstyle="round"/>
              <v:imagedata o:title=""/>
              <o:lock v:ext="edit" aspectratio="f"/>
            </v:shape>
          </w:pict>
        </mc:Fallback>
      </mc:AlternateContent>
    </w:r>
    <w: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58E532">
    <w:pPr>
      <w:pStyle w:val="26"/>
      <w:tabs>
        <w:tab w:val="right" w:pos="8505"/>
      </w:tabs>
      <w:rPr>
        <w:rFonts w:ascii="Times New Roman" w:hAnsi="Times New Roman"/>
        <w:lang w:val="id-ID"/>
      </w:rPr>
    </w:pPr>
    <w:r>
      <w:rPr>
        <w:rFonts w:ascii="Garamond" w:hAnsi="Garamond"/>
        <w:b/>
        <w:sz w:val="24"/>
        <w:szCs w:val="24"/>
        <w:lang w:val="id-ID"/>
      </w:rPr>
      <w:t>DIDASCEIN: Journal of English Education</w:t>
    </w:r>
    <w:r>
      <w:rPr>
        <w:rFonts w:ascii="Garamond" w:hAnsi="Garamond"/>
        <w:sz w:val="24"/>
        <w:szCs w:val="24"/>
        <w:lang w:val="id-ID"/>
      </w:rPr>
      <w:tab/>
    </w:r>
    <w:r>
      <w:rPr>
        <w:rFonts w:ascii="Garamond" w:hAnsi="Garamond"/>
        <w:sz w:val="24"/>
        <w:szCs w:val="24"/>
        <w:lang w:val="id-ID"/>
      </w:rPr>
      <w:t>January 2020, Vol.1 No.</w:t>
    </w:r>
    <w:r>
      <w:rPr>
        <w:rFonts w:ascii="Garamond" w:hAnsi="Garamond"/>
        <w:sz w:val="24"/>
        <w:szCs w:val="24"/>
      </w:rPr>
      <w:t>1</w:t>
    </w:r>
    <w:r>
      <w:rPr>
        <w:rFonts w:ascii="Times New Roman" w:hAnsi="Times New Roman"/>
        <w:lang w:val="id-ID"/>
      </w:rPr>
      <w:tab/>
    </w:r>
  </w:p>
  <w:p w14:paraId="324BFECE">
    <w:pPr>
      <w:pStyle w:val="26"/>
      <w:tabs>
        <w:tab w:val="right" w:pos="8505"/>
      </w:tabs>
      <w:rPr>
        <w:rFonts w:ascii="Calibri" w:hAnsi="Calibri" w:cs="Calibri"/>
        <w:lang w:val="id-ID"/>
      </w:rPr>
    </w:pPr>
    <w:r>
      <w:rPr>
        <w:lang w:val="id-ID" w:eastAsia="id-ID"/>
      </w:rPr>
      <mc:AlternateContent>
        <mc:Choice Requires="wps">
          <w:drawing>
            <wp:anchor distT="0" distB="0" distL="114300" distR="114300" simplePos="0" relativeHeight="251661312" behindDoc="0" locked="0" layoutInCell="1" allowOverlap="1">
              <wp:simplePos x="0" y="0"/>
              <wp:positionH relativeFrom="column">
                <wp:posOffset>36195</wp:posOffset>
              </wp:positionH>
              <wp:positionV relativeFrom="paragraph">
                <wp:posOffset>39370</wp:posOffset>
              </wp:positionV>
              <wp:extent cx="5380990" cy="0"/>
              <wp:effectExtent l="0" t="0" r="10160" b="19050"/>
              <wp:wrapNone/>
              <wp:docPr id="16" name="AutoShape 1"/>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ln>
                    </wps:spPr>
                    <wps:bodyPr/>
                  </wps:wsp>
                </a:graphicData>
              </a:graphic>
            </wp:anchor>
          </w:drawing>
        </mc:Choice>
        <mc:Fallback>
          <w:pict>
            <v:shape id="AutoShape 1" o:spid="_x0000_s1026" o:spt="32" type="#_x0000_t32" style="position:absolute;left:0pt;margin-left:2.85pt;margin-top:3.1pt;height:0pt;width:423.7pt;z-index:251661312;mso-width-relative:page;mso-height-relative:page;" filled="f" stroked="t" coordsize="21600,21600" o:gfxdata="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BEoZ4s0QAAAAUBAAAPAAAAAAAAAAEAIAAAACIAAABk&#10;cnMvZG93bnJldi54bWxQSwECFAAUAAAACACHTuJAZf042dQBAAC0AwAADgAAAAAAAAABACAAAAAg&#10;AQAAZHJzL2Uyb0RvYy54bWxQSwUGAAAAAAYABgBZAQAAZgUAAAAA&#10;">
              <v:fill on="f" focussize="0,0"/>
              <v:stroke weight="1.5pt" color="#000000" joinstyle="round"/>
              <v:imagedata o:title=""/>
              <o:lock v:ext="edit" aspectratio="f"/>
            </v:shape>
          </w:pict>
        </mc:Fallback>
      </mc:AlternateContent>
    </w:r>
    <w:r>
      <w:tab/>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C56CCD">
    <w:pPr>
      <w:pStyle w:val="26"/>
      <w:rPr>
        <w:rFonts w:ascii="Times New Roman" w:hAnsi="Times New Roman"/>
        <w:i/>
        <w:color w:val="FF0000"/>
        <w:sz w:val="20"/>
        <w:lang w:val="fi-FI"/>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02A632E"/>
    <w:multiLevelType w:val="multilevel"/>
    <w:tmpl w:val="602A632E"/>
    <w:lvl w:ilvl="0" w:tentative="0">
      <w:start w:val="1"/>
      <w:numFmt w:val="decimal"/>
      <w:lvlText w:val="%1."/>
      <w:lvlJc w:val="left"/>
      <w:pPr>
        <w:ind w:left="1069" w:hanging="360"/>
      </w:pPr>
    </w:lvl>
    <w:lvl w:ilvl="1" w:tentative="0">
      <w:start w:val="1"/>
      <w:numFmt w:val="lowerLetter"/>
      <w:lvlText w:val="%2."/>
      <w:lvlJc w:val="left"/>
      <w:pPr>
        <w:ind w:left="1789" w:hanging="360"/>
      </w:pPr>
    </w:lvl>
    <w:lvl w:ilvl="2" w:tentative="0">
      <w:start w:val="1"/>
      <w:numFmt w:val="lowerRoman"/>
      <w:lvlText w:val="%3."/>
      <w:lvlJc w:val="right"/>
      <w:pPr>
        <w:ind w:left="2509" w:hanging="180"/>
      </w:pPr>
    </w:lvl>
    <w:lvl w:ilvl="3" w:tentative="0">
      <w:start w:val="1"/>
      <w:numFmt w:val="decimal"/>
      <w:lvlText w:val="%4."/>
      <w:lvlJc w:val="left"/>
      <w:pPr>
        <w:ind w:left="3229" w:hanging="360"/>
      </w:pPr>
    </w:lvl>
    <w:lvl w:ilvl="4" w:tentative="0">
      <w:start w:val="1"/>
      <w:numFmt w:val="lowerLetter"/>
      <w:lvlText w:val="%5."/>
      <w:lvlJc w:val="left"/>
      <w:pPr>
        <w:ind w:left="3949" w:hanging="360"/>
      </w:pPr>
    </w:lvl>
    <w:lvl w:ilvl="5" w:tentative="0">
      <w:start w:val="1"/>
      <w:numFmt w:val="lowerRoman"/>
      <w:lvlText w:val="%6."/>
      <w:lvlJc w:val="right"/>
      <w:pPr>
        <w:ind w:left="4669" w:hanging="180"/>
      </w:pPr>
    </w:lvl>
    <w:lvl w:ilvl="6" w:tentative="0">
      <w:start w:val="1"/>
      <w:numFmt w:val="decimal"/>
      <w:lvlText w:val="%7."/>
      <w:lvlJc w:val="left"/>
      <w:pPr>
        <w:ind w:left="5389" w:hanging="360"/>
      </w:pPr>
    </w:lvl>
    <w:lvl w:ilvl="7" w:tentative="0">
      <w:start w:val="1"/>
      <w:numFmt w:val="lowerLetter"/>
      <w:lvlText w:val="%8."/>
      <w:lvlJc w:val="left"/>
      <w:pPr>
        <w:ind w:left="6109" w:hanging="360"/>
      </w:pPr>
    </w:lvl>
    <w:lvl w:ilvl="8" w:tentative="0">
      <w:start w:val="1"/>
      <w:numFmt w:val="lowerRoman"/>
      <w:lvlText w:val="%9."/>
      <w:lvlJc w:val="right"/>
      <w:pPr>
        <w:ind w:left="6829"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9"/>
  <w:documentProtection w:enforcement="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23CC4"/>
    <w:rsid w:val="00055654"/>
    <w:rsid w:val="000D7C53"/>
    <w:rsid w:val="000F3E94"/>
    <w:rsid w:val="001174A6"/>
    <w:rsid w:val="001337AC"/>
    <w:rsid w:val="00146FDE"/>
    <w:rsid w:val="00161925"/>
    <w:rsid w:val="001F49FA"/>
    <w:rsid w:val="00214FF2"/>
    <w:rsid w:val="002476E3"/>
    <w:rsid w:val="00362B06"/>
    <w:rsid w:val="00397A52"/>
    <w:rsid w:val="003F7A9E"/>
    <w:rsid w:val="00462988"/>
    <w:rsid w:val="00475E20"/>
    <w:rsid w:val="004A0A1D"/>
    <w:rsid w:val="004B50F8"/>
    <w:rsid w:val="004E24DE"/>
    <w:rsid w:val="00502F05"/>
    <w:rsid w:val="00585E73"/>
    <w:rsid w:val="00594560"/>
    <w:rsid w:val="005E1B2B"/>
    <w:rsid w:val="006251A3"/>
    <w:rsid w:val="00673E74"/>
    <w:rsid w:val="0070516B"/>
    <w:rsid w:val="007077DF"/>
    <w:rsid w:val="007473B2"/>
    <w:rsid w:val="007526CD"/>
    <w:rsid w:val="00763467"/>
    <w:rsid w:val="007A092F"/>
    <w:rsid w:val="007A3AFF"/>
    <w:rsid w:val="008042D6"/>
    <w:rsid w:val="00821842"/>
    <w:rsid w:val="00885B4C"/>
    <w:rsid w:val="008E1F35"/>
    <w:rsid w:val="00905905"/>
    <w:rsid w:val="009309B8"/>
    <w:rsid w:val="009A2257"/>
    <w:rsid w:val="009E6F2A"/>
    <w:rsid w:val="00A0331E"/>
    <w:rsid w:val="00A21B66"/>
    <w:rsid w:val="00AF0FC7"/>
    <w:rsid w:val="00B8659F"/>
    <w:rsid w:val="00B943B7"/>
    <w:rsid w:val="00BF3A04"/>
    <w:rsid w:val="00CE64D6"/>
    <w:rsid w:val="00CF76AC"/>
    <w:rsid w:val="00D003BB"/>
    <w:rsid w:val="00D02066"/>
    <w:rsid w:val="00DA11C1"/>
    <w:rsid w:val="00DD1135"/>
    <w:rsid w:val="00DF4413"/>
    <w:rsid w:val="00E101D2"/>
    <w:rsid w:val="00E23CC4"/>
    <w:rsid w:val="00E351FF"/>
    <w:rsid w:val="00E43E26"/>
    <w:rsid w:val="00F367FE"/>
    <w:rsid w:val="00F54814"/>
    <w:rsid w:val="00F658B4"/>
    <w:rsid w:val="00FB47D6"/>
    <w:rsid w:val="0D8B07EA"/>
    <w:rsid w:val="794E79E6"/>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Theme="minorHAnsi"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0"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nhideWhenUsed="0" w:uiPriority="99" w:semiHidden="0" w:name="annotation text"/>
    <w:lsdException w:qFormat="1" w:unhideWhenUsed="0" w:uiPriority="99"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nhideWhenUsed="0" w:uiPriority="99" w:semiHidden="0" w:name="annotation reference"/>
    <w:lsdException w:uiPriority="99" w:name="line number"/>
    <w:lsdException w:qFormat="1" w:unhideWhenUsed="0" w:uiPriority="99"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uiPriority="99" w:name="Block Text"/>
    <w:lsdException w:qFormat="1" w:unhideWhenUsed="0"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0" w:semiHidden="0"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cs="Times New Roman" w:eastAsiaTheme="minorHAnsi"/>
      <w:sz w:val="22"/>
      <w:szCs w:val="22"/>
      <w:lang w:val="id-ID" w:eastAsia="en-US" w:bidi="ar-SA"/>
    </w:rPr>
  </w:style>
  <w:style w:type="paragraph" w:styleId="2">
    <w:name w:val="heading 1"/>
    <w:basedOn w:val="1"/>
    <w:link w:val="40"/>
    <w:qFormat/>
    <w:uiPriority w:val="0"/>
    <w:pPr>
      <w:keepNext/>
      <w:ind w:left="1800" w:hanging="1800"/>
      <w:jc w:val="both"/>
      <w:outlineLvl w:val="0"/>
    </w:pPr>
    <w:rPr>
      <w:rFonts w:ascii="Tahoma" w:hAnsi="Tahoma" w:eastAsia="Times New Roman"/>
      <w:b/>
      <w:sz w:val="24"/>
      <w:szCs w:val="24"/>
      <w:lang w:val="sv-SE"/>
    </w:rPr>
  </w:style>
  <w:style w:type="paragraph" w:styleId="3">
    <w:name w:val="heading 2"/>
    <w:basedOn w:val="1"/>
    <w:next w:val="1"/>
    <w:link w:val="41"/>
    <w:qFormat/>
    <w:uiPriority w:val="0"/>
    <w:pPr>
      <w:keepNext/>
      <w:spacing w:line="360" w:lineRule="auto"/>
      <w:ind w:left="810"/>
      <w:jc w:val="both"/>
      <w:outlineLvl w:val="1"/>
    </w:pPr>
    <w:rPr>
      <w:rFonts w:eastAsia="Times New Roman"/>
      <w:sz w:val="24"/>
      <w:szCs w:val="20"/>
      <w:lang w:val="en-US"/>
    </w:rPr>
  </w:style>
  <w:style w:type="paragraph" w:styleId="4">
    <w:name w:val="heading 3"/>
    <w:basedOn w:val="1"/>
    <w:next w:val="1"/>
    <w:link w:val="42"/>
    <w:qFormat/>
    <w:uiPriority w:val="0"/>
    <w:pPr>
      <w:keepNext/>
      <w:jc w:val="center"/>
      <w:outlineLvl w:val="2"/>
    </w:pPr>
    <w:rPr>
      <w:rFonts w:eastAsia="Times New Roman"/>
      <w:b/>
      <w:sz w:val="24"/>
      <w:szCs w:val="20"/>
      <w:lang w:val="en-US"/>
    </w:rPr>
  </w:style>
  <w:style w:type="paragraph" w:styleId="5">
    <w:name w:val="heading 4"/>
    <w:basedOn w:val="1"/>
    <w:next w:val="1"/>
    <w:link w:val="43"/>
    <w:qFormat/>
    <w:uiPriority w:val="0"/>
    <w:pPr>
      <w:keepNext/>
      <w:spacing w:line="360" w:lineRule="auto"/>
      <w:ind w:firstLine="540"/>
      <w:jc w:val="both"/>
      <w:outlineLvl w:val="3"/>
    </w:pPr>
    <w:rPr>
      <w:rFonts w:eastAsia="Times New Roman"/>
      <w:sz w:val="24"/>
      <w:szCs w:val="20"/>
      <w:lang w:val="en-US"/>
    </w:rPr>
  </w:style>
  <w:style w:type="paragraph" w:styleId="6">
    <w:name w:val="heading 5"/>
    <w:basedOn w:val="1"/>
    <w:next w:val="1"/>
    <w:link w:val="44"/>
    <w:qFormat/>
    <w:uiPriority w:val="0"/>
    <w:pPr>
      <w:keepNext/>
      <w:jc w:val="both"/>
      <w:outlineLvl w:val="4"/>
    </w:pPr>
    <w:rPr>
      <w:rFonts w:ascii="Tahoma" w:hAnsi="Tahoma" w:eastAsia="Times New Roman"/>
      <w:b/>
      <w:sz w:val="28"/>
      <w:szCs w:val="20"/>
      <w:lang w:val="en-US"/>
    </w:rPr>
  </w:style>
  <w:style w:type="paragraph" w:styleId="7">
    <w:name w:val="heading 6"/>
    <w:basedOn w:val="1"/>
    <w:next w:val="1"/>
    <w:link w:val="45"/>
    <w:qFormat/>
    <w:uiPriority w:val="0"/>
    <w:pPr>
      <w:keepNext/>
      <w:spacing w:line="360" w:lineRule="auto"/>
      <w:jc w:val="center"/>
      <w:outlineLvl w:val="5"/>
    </w:pPr>
    <w:rPr>
      <w:rFonts w:eastAsia="Times New Roman"/>
      <w:sz w:val="24"/>
      <w:szCs w:val="20"/>
      <w:lang w:val="en-US"/>
    </w:rPr>
  </w:style>
  <w:style w:type="paragraph" w:styleId="8">
    <w:name w:val="heading 7"/>
    <w:basedOn w:val="1"/>
    <w:next w:val="1"/>
    <w:link w:val="46"/>
    <w:qFormat/>
    <w:uiPriority w:val="0"/>
    <w:pPr>
      <w:keepNext/>
      <w:ind w:right="39" w:hanging="18"/>
      <w:jc w:val="center"/>
      <w:outlineLvl w:val="6"/>
    </w:pPr>
    <w:rPr>
      <w:rFonts w:eastAsia="Times New Roman"/>
      <w:sz w:val="24"/>
      <w:szCs w:val="20"/>
      <w:lang w:val="en-US"/>
    </w:rPr>
  </w:style>
  <w:style w:type="paragraph" w:styleId="9">
    <w:name w:val="heading 8"/>
    <w:basedOn w:val="1"/>
    <w:next w:val="1"/>
    <w:link w:val="47"/>
    <w:qFormat/>
    <w:uiPriority w:val="0"/>
    <w:pPr>
      <w:keepNext/>
      <w:spacing w:line="360" w:lineRule="auto"/>
      <w:jc w:val="center"/>
      <w:outlineLvl w:val="7"/>
    </w:pPr>
    <w:rPr>
      <w:rFonts w:eastAsia="Times New Roman"/>
      <w:b/>
      <w:sz w:val="24"/>
      <w:szCs w:val="20"/>
      <w:u w:val="single"/>
      <w:lang w:val="en-US"/>
    </w:rPr>
  </w:style>
  <w:style w:type="paragraph" w:styleId="10">
    <w:name w:val="heading 9"/>
    <w:basedOn w:val="1"/>
    <w:next w:val="1"/>
    <w:link w:val="48"/>
    <w:qFormat/>
    <w:uiPriority w:val="0"/>
    <w:pPr>
      <w:keepNext/>
      <w:spacing w:line="360" w:lineRule="auto"/>
      <w:ind w:left="360" w:hanging="360"/>
      <w:jc w:val="both"/>
      <w:outlineLvl w:val="8"/>
    </w:pPr>
    <w:rPr>
      <w:rFonts w:eastAsia="Times New Roman"/>
      <w:b/>
      <w:bCs/>
      <w:sz w:val="24"/>
      <w:szCs w:val="20"/>
      <w:lang w:val="en-US"/>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59"/>
    <w:unhideWhenUsed/>
    <w:qFormat/>
    <w:uiPriority w:val="0"/>
    <w:rPr>
      <w:rFonts w:ascii="Tahoma" w:hAnsi="Tahoma" w:cs="Tahoma"/>
      <w:sz w:val="16"/>
      <w:szCs w:val="16"/>
    </w:rPr>
  </w:style>
  <w:style w:type="paragraph" w:styleId="14">
    <w:name w:val="Body Text"/>
    <w:basedOn w:val="1"/>
    <w:link w:val="52"/>
    <w:qFormat/>
    <w:uiPriority w:val="0"/>
    <w:pPr>
      <w:spacing w:line="360" w:lineRule="auto"/>
      <w:jc w:val="both"/>
    </w:pPr>
    <w:rPr>
      <w:rFonts w:eastAsia="Times New Roman"/>
      <w:sz w:val="24"/>
      <w:szCs w:val="20"/>
      <w:lang w:val="en-US"/>
    </w:rPr>
  </w:style>
  <w:style w:type="paragraph" w:styleId="15">
    <w:name w:val="Body Text 2"/>
    <w:basedOn w:val="1"/>
    <w:link w:val="55"/>
    <w:qFormat/>
    <w:uiPriority w:val="0"/>
    <w:pPr>
      <w:spacing w:line="360" w:lineRule="auto"/>
      <w:ind w:left="540" w:hanging="540"/>
      <w:jc w:val="both"/>
    </w:pPr>
    <w:rPr>
      <w:rFonts w:eastAsia="Times New Roman"/>
      <w:sz w:val="24"/>
      <w:szCs w:val="20"/>
      <w:lang w:val="en-US"/>
    </w:rPr>
  </w:style>
  <w:style w:type="paragraph" w:styleId="16">
    <w:name w:val="Body Text 3"/>
    <w:basedOn w:val="1"/>
    <w:link w:val="56"/>
    <w:qFormat/>
    <w:uiPriority w:val="0"/>
    <w:pPr>
      <w:spacing w:line="360" w:lineRule="auto"/>
      <w:jc w:val="both"/>
    </w:pPr>
    <w:rPr>
      <w:rFonts w:eastAsia="Times New Roman"/>
      <w:sz w:val="24"/>
      <w:szCs w:val="20"/>
      <w:lang w:val="en-US"/>
    </w:rPr>
  </w:style>
  <w:style w:type="paragraph" w:styleId="17">
    <w:name w:val="Body Text Indent"/>
    <w:basedOn w:val="1"/>
    <w:link w:val="53"/>
    <w:qFormat/>
    <w:uiPriority w:val="0"/>
    <w:pPr>
      <w:spacing w:line="360" w:lineRule="auto"/>
      <w:ind w:left="810"/>
      <w:jc w:val="both"/>
    </w:pPr>
    <w:rPr>
      <w:rFonts w:eastAsia="Times New Roman"/>
      <w:sz w:val="24"/>
      <w:szCs w:val="20"/>
      <w:lang w:val="en-US"/>
    </w:rPr>
  </w:style>
  <w:style w:type="paragraph" w:styleId="18">
    <w:name w:val="Body Text Indent 2"/>
    <w:basedOn w:val="1"/>
    <w:link w:val="57"/>
    <w:qFormat/>
    <w:uiPriority w:val="0"/>
    <w:pPr>
      <w:spacing w:line="360" w:lineRule="auto"/>
      <w:ind w:left="720"/>
      <w:jc w:val="both"/>
    </w:pPr>
    <w:rPr>
      <w:rFonts w:eastAsia="Times New Roman"/>
      <w:sz w:val="24"/>
      <w:szCs w:val="20"/>
      <w:lang w:val="en-US"/>
    </w:rPr>
  </w:style>
  <w:style w:type="paragraph" w:styleId="19">
    <w:name w:val="Body Text Indent 3"/>
    <w:basedOn w:val="1"/>
    <w:link w:val="58"/>
    <w:qFormat/>
    <w:uiPriority w:val="0"/>
    <w:pPr>
      <w:spacing w:line="360" w:lineRule="auto"/>
      <w:ind w:left="450" w:hanging="450"/>
      <w:jc w:val="both"/>
    </w:pPr>
    <w:rPr>
      <w:rFonts w:eastAsia="Times New Roman"/>
      <w:sz w:val="24"/>
      <w:szCs w:val="20"/>
      <w:lang w:val="en-US"/>
    </w:rPr>
  </w:style>
  <w:style w:type="character" w:styleId="20">
    <w:name w:val="annotation reference"/>
    <w:basedOn w:val="11"/>
    <w:qFormat/>
    <w:uiPriority w:val="99"/>
    <w:rPr>
      <w:rFonts w:cs="Times New Roman"/>
      <w:sz w:val="16"/>
      <w:szCs w:val="16"/>
    </w:rPr>
  </w:style>
  <w:style w:type="paragraph" w:styleId="21">
    <w:name w:val="annotation text"/>
    <w:basedOn w:val="1"/>
    <w:link w:val="80"/>
    <w:qFormat/>
    <w:uiPriority w:val="99"/>
    <w:rPr>
      <w:rFonts w:ascii="Times New Roman" w:hAnsi="Times New Roman" w:eastAsia="Times New Roman"/>
      <w:sz w:val="20"/>
      <w:szCs w:val="20"/>
      <w:lang w:val="en-US"/>
    </w:rPr>
  </w:style>
  <w:style w:type="paragraph" w:styleId="22">
    <w:name w:val="annotation subject"/>
    <w:basedOn w:val="21"/>
    <w:next w:val="21"/>
    <w:link w:val="82"/>
    <w:semiHidden/>
    <w:unhideWhenUsed/>
    <w:uiPriority w:val="99"/>
    <w:rPr>
      <w:rFonts w:ascii="Arial" w:hAnsi="Arial" w:eastAsiaTheme="minorHAnsi"/>
      <w:b/>
      <w:bCs/>
      <w:lang w:val="id-ID"/>
    </w:rPr>
  </w:style>
  <w:style w:type="character" w:styleId="23">
    <w:name w:val="Emphasis"/>
    <w:qFormat/>
    <w:uiPriority w:val="20"/>
    <w:rPr>
      <w:i/>
      <w:iCs/>
    </w:rPr>
  </w:style>
  <w:style w:type="character" w:styleId="24">
    <w:name w:val="FollowedHyperlink"/>
    <w:basedOn w:val="11"/>
    <w:semiHidden/>
    <w:unhideWhenUsed/>
    <w:qFormat/>
    <w:uiPriority w:val="99"/>
    <w:rPr>
      <w:color w:val="954F72" w:themeColor="followedHyperlink"/>
      <w:u w:val="single"/>
      <w14:textFill>
        <w14:solidFill>
          <w14:schemeClr w14:val="folHlink"/>
        </w14:solidFill>
      </w14:textFill>
    </w:rPr>
  </w:style>
  <w:style w:type="paragraph" w:styleId="25">
    <w:name w:val="footer"/>
    <w:basedOn w:val="1"/>
    <w:link w:val="50"/>
    <w:qFormat/>
    <w:uiPriority w:val="99"/>
    <w:pPr>
      <w:tabs>
        <w:tab w:val="center" w:pos="4320"/>
        <w:tab w:val="right" w:pos="8640"/>
      </w:tabs>
      <w:jc w:val="both"/>
    </w:pPr>
    <w:rPr>
      <w:rFonts w:eastAsia="Times New Roman"/>
      <w:szCs w:val="20"/>
      <w:lang w:val="en-US"/>
    </w:rPr>
  </w:style>
  <w:style w:type="paragraph" w:styleId="26">
    <w:name w:val="header"/>
    <w:basedOn w:val="1"/>
    <w:link w:val="49"/>
    <w:qFormat/>
    <w:uiPriority w:val="99"/>
    <w:pPr>
      <w:tabs>
        <w:tab w:val="center" w:pos="4320"/>
        <w:tab w:val="right" w:pos="8640"/>
      </w:tabs>
      <w:jc w:val="both"/>
    </w:pPr>
    <w:rPr>
      <w:rFonts w:eastAsia="Times New Roman"/>
      <w:szCs w:val="20"/>
      <w:lang w:val="en-US"/>
    </w:rPr>
  </w:style>
  <w:style w:type="character" w:styleId="27">
    <w:name w:val="Hyperlink"/>
    <w:qFormat/>
    <w:uiPriority w:val="99"/>
    <w:rPr>
      <w:color w:val="0000FF"/>
      <w:u w:val="single"/>
    </w:rPr>
  </w:style>
  <w:style w:type="paragraph" w:styleId="28">
    <w:name w:val="Normal (Web)"/>
    <w:basedOn w:val="1"/>
    <w:semiHidden/>
    <w:unhideWhenUsed/>
    <w:qFormat/>
    <w:uiPriority w:val="99"/>
    <w:pPr>
      <w:spacing w:before="100" w:beforeAutospacing="1" w:after="100" w:afterAutospacing="1"/>
    </w:pPr>
    <w:rPr>
      <w:rFonts w:ascii="Times New Roman" w:hAnsi="Times New Roman" w:eastAsiaTheme="minorEastAsia"/>
      <w:sz w:val="24"/>
      <w:szCs w:val="24"/>
      <w:lang w:eastAsia="id-ID"/>
    </w:rPr>
  </w:style>
  <w:style w:type="character" w:styleId="29">
    <w:name w:val="page number"/>
    <w:basedOn w:val="11"/>
    <w:qFormat/>
    <w:uiPriority w:val="99"/>
  </w:style>
  <w:style w:type="character" w:styleId="30">
    <w:name w:val="Strong"/>
    <w:basedOn w:val="11"/>
    <w:qFormat/>
    <w:uiPriority w:val="22"/>
    <w:rPr>
      <w:b/>
      <w:bCs/>
    </w:rPr>
  </w:style>
  <w:style w:type="paragraph" w:styleId="31">
    <w:name w:val="Subtitle"/>
    <w:basedOn w:val="1"/>
    <w:next w:val="1"/>
    <w:link w:val="54"/>
    <w:qFormat/>
    <w:uiPriority w:val="11"/>
    <w:pPr>
      <w:spacing w:after="200" w:line="276" w:lineRule="auto"/>
    </w:pPr>
    <w:rPr>
      <w:rFonts w:ascii="Cambria" w:hAnsi="Cambria" w:eastAsia="Times New Roman"/>
      <w:i/>
      <w:iCs/>
      <w:color w:val="4F81BD"/>
      <w:spacing w:val="15"/>
      <w:sz w:val="24"/>
      <w:szCs w:val="24"/>
      <w:lang w:val="en-US" w:eastAsia="ja-JP"/>
    </w:rPr>
  </w:style>
  <w:style w:type="table" w:styleId="32">
    <w:name w:val="Table Grid"/>
    <w:basedOn w:val="12"/>
    <w:qFormat/>
    <w:uiPriority w:val="59"/>
    <w:rPr>
      <w:rFonts w:ascii="Calibri" w:hAnsi="Calibri" w:eastAsia="Calibri"/>
      <w:sz w:val="20"/>
      <w:szCs w:val="20"/>
      <w:lang w:eastAsia="id-ID"/>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paragraph" w:styleId="33">
    <w:name w:val="Title"/>
    <w:basedOn w:val="1"/>
    <w:link w:val="51"/>
    <w:qFormat/>
    <w:uiPriority w:val="10"/>
    <w:pPr>
      <w:jc w:val="center"/>
    </w:pPr>
    <w:rPr>
      <w:rFonts w:eastAsia="Times New Roman"/>
      <w:b/>
      <w:sz w:val="26"/>
      <w:szCs w:val="20"/>
      <w:lang w:val="en-US"/>
    </w:rPr>
  </w:style>
  <w:style w:type="paragraph" w:styleId="34">
    <w:name w:val="toc 1"/>
    <w:basedOn w:val="1"/>
    <w:next w:val="1"/>
    <w:qFormat/>
    <w:uiPriority w:val="39"/>
    <w:pPr>
      <w:tabs>
        <w:tab w:val="right" w:leader="underscore" w:pos="13944"/>
      </w:tabs>
      <w:spacing w:before="120"/>
    </w:pPr>
    <w:rPr>
      <w:rFonts w:eastAsia="Times New Roman"/>
      <w:bCs/>
      <w:iCs/>
      <w:sz w:val="24"/>
      <w:szCs w:val="28"/>
      <w:lang w:val="en-US"/>
    </w:rPr>
  </w:style>
  <w:style w:type="paragraph" w:styleId="35">
    <w:name w:val="toc 2"/>
    <w:basedOn w:val="1"/>
    <w:next w:val="1"/>
    <w:autoRedefine/>
    <w:qFormat/>
    <w:uiPriority w:val="0"/>
    <w:pPr>
      <w:tabs>
        <w:tab w:val="right" w:leader="underscore" w:pos="13944"/>
      </w:tabs>
      <w:spacing w:before="120"/>
      <w:ind w:left="200"/>
    </w:pPr>
    <w:rPr>
      <w:rFonts w:eastAsia="Times New Roman" w:cs="Arial"/>
      <w:b/>
      <w:sz w:val="20"/>
      <w:szCs w:val="26"/>
      <w:lang w:val="en-US"/>
    </w:rPr>
  </w:style>
  <w:style w:type="table" w:styleId="36">
    <w:name w:val="Light Shading"/>
    <w:basedOn w:val="12"/>
    <w:uiPriority w:val="60"/>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paragraph" w:customStyle="1" w:styleId="37">
    <w:name w:val="Default"/>
    <w:qFormat/>
    <w:uiPriority w:val="0"/>
    <w:pPr>
      <w:autoSpaceDE w:val="0"/>
      <w:autoSpaceDN w:val="0"/>
      <w:adjustRightInd w:val="0"/>
    </w:pPr>
    <w:rPr>
      <w:rFonts w:ascii="Arial" w:hAnsi="Arial" w:eastAsia="Calibri" w:cs="Arial"/>
      <w:color w:val="000000"/>
      <w:sz w:val="24"/>
      <w:szCs w:val="24"/>
      <w:lang w:val="id-ID" w:eastAsia="en-US" w:bidi="ar-SA"/>
    </w:rPr>
  </w:style>
  <w:style w:type="paragraph" w:customStyle="1" w:styleId="38">
    <w:name w:val="yiv1632080103msonormal"/>
    <w:basedOn w:val="1"/>
    <w:uiPriority w:val="0"/>
    <w:pPr>
      <w:spacing w:before="100" w:beforeAutospacing="1" w:after="100" w:afterAutospacing="1"/>
    </w:pPr>
    <w:rPr>
      <w:rFonts w:ascii="Times New Roman" w:hAnsi="Times New Roman" w:eastAsia="Times New Roman"/>
      <w:sz w:val="24"/>
      <w:szCs w:val="24"/>
      <w:lang w:val="en-US"/>
    </w:rPr>
  </w:style>
  <w:style w:type="character" w:customStyle="1" w:styleId="39">
    <w:name w:val="st"/>
    <w:basedOn w:val="11"/>
    <w:qFormat/>
    <w:uiPriority w:val="0"/>
  </w:style>
  <w:style w:type="character" w:customStyle="1" w:styleId="40">
    <w:name w:val="Heading 1 Char"/>
    <w:link w:val="2"/>
    <w:uiPriority w:val="0"/>
    <w:rPr>
      <w:rFonts w:ascii="Tahoma" w:hAnsi="Tahoma" w:eastAsia="Times New Roman" w:cs="Times New Roman"/>
      <w:b/>
      <w:sz w:val="24"/>
      <w:szCs w:val="24"/>
      <w:lang w:val="sv-SE"/>
    </w:rPr>
  </w:style>
  <w:style w:type="character" w:customStyle="1" w:styleId="41">
    <w:name w:val="Heading 2 Char"/>
    <w:link w:val="3"/>
    <w:qFormat/>
    <w:uiPriority w:val="0"/>
    <w:rPr>
      <w:rFonts w:ascii="Arial" w:hAnsi="Arial" w:eastAsia="Times New Roman" w:cs="Times New Roman"/>
      <w:sz w:val="24"/>
      <w:szCs w:val="20"/>
      <w:lang w:val="en-US"/>
    </w:rPr>
  </w:style>
  <w:style w:type="character" w:customStyle="1" w:styleId="42">
    <w:name w:val="Heading 3 Char"/>
    <w:link w:val="4"/>
    <w:qFormat/>
    <w:uiPriority w:val="0"/>
    <w:rPr>
      <w:rFonts w:ascii="Arial" w:hAnsi="Arial" w:eastAsia="Times New Roman" w:cs="Times New Roman"/>
      <w:b/>
      <w:sz w:val="24"/>
      <w:szCs w:val="20"/>
      <w:lang w:val="en-US"/>
    </w:rPr>
  </w:style>
  <w:style w:type="character" w:customStyle="1" w:styleId="43">
    <w:name w:val="Heading 4 Char"/>
    <w:link w:val="5"/>
    <w:qFormat/>
    <w:uiPriority w:val="0"/>
    <w:rPr>
      <w:rFonts w:ascii="Arial" w:hAnsi="Arial" w:eastAsia="Times New Roman" w:cs="Times New Roman"/>
      <w:sz w:val="24"/>
      <w:szCs w:val="20"/>
      <w:lang w:val="en-US"/>
    </w:rPr>
  </w:style>
  <w:style w:type="character" w:customStyle="1" w:styleId="44">
    <w:name w:val="Heading 5 Char"/>
    <w:link w:val="6"/>
    <w:qFormat/>
    <w:uiPriority w:val="0"/>
    <w:rPr>
      <w:rFonts w:ascii="Tahoma" w:hAnsi="Tahoma" w:eastAsia="Times New Roman" w:cs="Times New Roman"/>
      <w:b/>
      <w:sz w:val="28"/>
      <w:szCs w:val="20"/>
      <w:lang w:val="en-US"/>
    </w:rPr>
  </w:style>
  <w:style w:type="character" w:customStyle="1" w:styleId="45">
    <w:name w:val="Heading 6 Char"/>
    <w:link w:val="7"/>
    <w:qFormat/>
    <w:uiPriority w:val="0"/>
    <w:rPr>
      <w:rFonts w:ascii="Arial" w:hAnsi="Arial" w:eastAsia="Times New Roman" w:cs="Times New Roman"/>
      <w:sz w:val="24"/>
      <w:szCs w:val="20"/>
      <w:lang w:val="en-US"/>
    </w:rPr>
  </w:style>
  <w:style w:type="character" w:customStyle="1" w:styleId="46">
    <w:name w:val="Heading 7 Char"/>
    <w:link w:val="8"/>
    <w:qFormat/>
    <w:uiPriority w:val="0"/>
    <w:rPr>
      <w:rFonts w:ascii="Arial" w:hAnsi="Arial" w:eastAsia="Times New Roman" w:cs="Times New Roman"/>
      <w:sz w:val="24"/>
      <w:szCs w:val="20"/>
      <w:lang w:val="en-US"/>
    </w:rPr>
  </w:style>
  <w:style w:type="character" w:customStyle="1" w:styleId="47">
    <w:name w:val="Heading 8 Char"/>
    <w:link w:val="9"/>
    <w:qFormat/>
    <w:uiPriority w:val="0"/>
    <w:rPr>
      <w:rFonts w:ascii="Arial" w:hAnsi="Arial" w:eastAsia="Times New Roman" w:cs="Times New Roman"/>
      <w:b/>
      <w:sz w:val="24"/>
      <w:szCs w:val="20"/>
      <w:u w:val="single"/>
      <w:lang w:val="en-US"/>
    </w:rPr>
  </w:style>
  <w:style w:type="character" w:customStyle="1" w:styleId="48">
    <w:name w:val="Heading 9 Char"/>
    <w:link w:val="10"/>
    <w:qFormat/>
    <w:uiPriority w:val="0"/>
    <w:rPr>
      <w:rFonts w:ascii="Arial" w:hAnsi="Arial" w:eastAsia="Times New Roman" w:cs="Times New Roman"/>
      <w:b/>
      <w:bCs/>
      <w:sz w:val="24"/>
      <w:szCs w:val="20"/>
      <w:lang w:val="en-US"/>
    </w:rPr>
  </w:style>
  <w:style w:type="character" w:customStyle="1" w:styleId="49">
    <w:name w:val="Header Char"/>
    <w:link w:val="26"/>
    <w:qFormat/>
    <w:uiPriority w:val="99"/>
    <w:rPr>
      <w:rFonts w:ascii="Arial" w:hAnsi="Arial" w:eastAsia="Times New Roman" w:cs="Times New Roman"/>
      <w:szCs w:val="20"/>
      <w:lang w:val="en-US"/>
    </w:rPr>
  </w:style>
  <w:style w:type="character" w:customStyle="1" w:styleId="50">
    <w:name w:val="Footer Char"/>
    <w:link w:val="25"/>
    <w:qFormat/>
    <w:uiPriority w:val="99"/>
    <w:rPr>
      <w:rFonts w:ascii="Arial" w:hAnsi="Arial" w:eastAsia="Times New Roman" w:cs="Times New Roman"/>
      <w:szCs w:val="20"/>
      <w:lang w:val="en-US"/>
    </w:rPr>
  </w:style>
  <w:style w:type="character" w:customStyle="1" w:styleId="51">
    <w:name w:val="Title Char"/>
    <w:link w:val="33"/>
    <w:qFormat/>
    <w:uiPriority w:val="10"/>
    <w:rPr>
      <w:rFonts w:ascii="Arial" w:hAnsi="Arial" w:eastAsia="Times New Roman" w:cs="Times New Roman"/>
      <w:b/>
      <w:sz w:val="26"/>
      <w:szCs w:val="20"/>
      <w:lang w:val="en-US"/>
    </w:rPr>
  </w:style>
  <w:style w:type="character" w:customStyle="1" w:styleId="52">
    <w:name w:val="Body Text Char"/>
    <w:link w:val="14"/>
    <w:qFormat/>
    <w:uiPriority w:val="0"/>
    <w:rPr>
      <w:rFonts w:ascii="Arial" w:hAnsi="Arial" w:eastAsia="Times New Roman" w:cs="Times New Roman"/>
      <w:sz w:val="24"/>
      <w:szCs w:val="20"/>
      <w:lang w:val="en-US"/>
    </w:rPr>
  </w:style>
  <w:style w:type="character" w:customStyle="1" w:styleId="53">
    <w:name w:val="Body Text Indent Char"/>
    <w:link w:val="17"/>
    <w:uiPriority w:val="0"/>
    <w:rPr>
      <w:rFonts w:ascii="Arial" w:hAnsi="Arial" w:eastAsia="Times New Roman" w:cs="Times New Roman"/>
      <w:sz w:val="24"/>
      <w:szCs w:val="20"/>
      <w:lang w:val="en-US"/>
    </w:rPr>
  </w:style>
  <w:style w:type="character" w:customStyle="1" w:styleId="54">
    <w:name w:val="Subtitle Char"/>
    <w:link w:val="31"/>
    <w:qFormat/>
    <w:uiPriority w:val="11"/>
    <w:rPr>
      <w:rFonts w:ascii="Cambria" w:hAnsi="Cambria" w:eastAsia="Times New Roman" w:cs="Times New Roman"/>
      <w:i/>
      <w:iCs/>
      <w:color w:val="4F81BD"/>
      <w:spacing w:val="15"/>
      <w:sz w:val="24"/>
      <w:szCs w:val="24"/>
      <w:lang w:val="en-US" w:eastAsia="ja-JP"/>
    </w:rPr>
  </w:style>
  <w:style w:type="character" w:customStyle="1" w:styleId="55">
    <w:name w:val="Body Text 2 Char"/>
    <w:link w:val="15"/>
    <w:qFormat/>
    <w:uiPriority w:val="0"/>
    <w:rPr>
      <w:rFonts w:ascii="Arial" w:hAnsi="Arial" w:eastAsia="Times New Roman" w:cs="Times New Roman"/>
      <w:sz w:val="24"/>
      <w:szCs w:val="20"/>
      <w:lang w:val="en-US"/>
    </w:rPr>
  </w:style>
  <w:style w:type="character" w:customStyle="1" w:styleId="56">
    <w:name w:val="Body Text 3 Char"/>
    <w:link w:val="16"/>
    <w:qFormat/>
    <w:uiPriority w:val="0"/>
    <w:rPr>
      <w:rFonts w:ascii="Arial" w:hAnsi="Arial" w:eastAsia="Times New Roman" w:cs="Times New Roman"/>
      <w:sz w:val="24"/>
      <w:szCs w:val="20"/>
      <w:lang w:val="en-US"/>
    </w:rPr>
  </w:style>
  <w:style w:type="character" w:customStyle="1" w:styleId="57">
    <w:name w:val="Body Text Indent 2 Char"/>
    <w:link w:val="18"/>
    <w:qFormat/>
    <w:uiPriority w:val="0"/>
    <w:rPr>
      <w:rFonts w:ascii="Arial" w:hAnsi="Arial" w:eastAsia="Times New Roman" w:cs="Times New Roman"/>
      <w:sz w:val="24"/>
      <w:szCs w:val="20"/>
      <w:lang w:val="en-US"/>
    </w:rPr>
  </w:style>
  <w:style w:type="character" w:customStyle="1" w:styleId="58">
    <w:name w:val="Body Text Indent 3 Char"/>
    <w:link w:val="19"/>
    <w:qFormat/>
    <w:uiPriority w:val="0"/>
    <w:rPr>
      <w:rFonts w:ascii="Arial" w:hAnsi="Arial" w:eastAsia="Times New Roman" w:cs="Times New Roman"/>
      <w:sz w:val="24"/>
      <w:szCs w:val="20"/>
      <w:lang w:val="en-US"/>
    </w:rPr>
  </w:style>
  <w:style w:type="character" w:customStyle="1" w:styleId="59">
    <w:name w:val="Balloon Text Char"/>
    <w:link w:val="13"/>
    <w:qFormat/>
    <w:uiPriority w:val="0"/>
    <w:rPr>
      <w:rFonts w:ascii="Tahoma" w:hAnsi="Tahoma" w:eastAsia="Calibri" w:cs="Tahoma"/>
      <w:sz w:val="16"/>
      <w:szCs w:val="16"/>
    </w:rPr>
  </w:style>
  <w:style w:type="paragraph" w:styleId="60">
    <w:name w:val="No Spacing"/>
    <w:link w:val="61"/>
    <w:qFormat/>
    <w:uiPriority w:val="1"/>
    <w:rPr>
      <w:rFonts w:ascii="Calibri" w:hAnsi="Calibri" w:eastAsia="Times New Roman" w:cs="Times New Roman"/>
      <w:sz w:val="22"/>
      <w:szCs w:val="22"/>
      <w:lang w:val="en-US" w:eastAsia="en-US" w:bidi="ar-SA"/>
    </w:rPr>
  </w:style>
  <w:style w:type="character" w:customStyle="1" w:styleId="61">
    <w:name w:val="No Spacing Char"/>
    <w:link w:val="60"/>
    <w:qFormat/>
    <w:uiPriority w:val="1"/>
    <w:rPr>
      <w:rFonts w:ascii="Calibri" w:hAnsi="Calibri" w:eastAsia="Times New Roman" w:cs="Times New Roman"/>
      <w:lang w:val="en-US"/>
    </w:rPr>
  </w:style>
  <w:style w:type="paragraph" w:styleId="62">
    <w:name w:val="List Paragraph"/>
    <w:basedOn w:val="1"/>
    <w:link w:val="83"/>
    <w:qFormat/>
    <w:uiPriority w:val="34"/>
    <w:pPr>
      <w:ind w:left="720"/>
      <w:contextualSpacing/>
    </w:pPr>
    <w:rPr>
      <w:rFonts w:ascii="Times New Roman" w:hAnsi="Times New Roman" w:eastAsia="Times New Roman"/>
      <w:sz w:val="24"/>
      <w:szCs w:val="24"/>
      <w:lang w:val="en-US"/>
    </w:rPr>
  </w:style>
  <w:style w:type="paragraph" w:customStyle="1" w:styleId="63">
    <w:name w:val="TOC Heading"/>
    <w:basedOn w:val="2"/>
    <w:next w:val="1"/>
    <w:unhideWhenUsed/>
    <w:qFormat/>
    <w:uiPriority w:val="39"/>
    <w:pPr>
      <w:keepLines/>
      <w:spacing w:before="240" w:line="259" w:lineRule="auto"/>
      <w:ind w:left="0" w:firstLine="0"/>
      <w:jc w:val="left"/>
      <w:outlineLvl w:val="9"/>
    </w:pPr>
    <w:rPr>
      <w:rFonts w:asciiTheme="majorHAnsi" w:hAnsiTheme="majorHAnsi" w:eastAsiaTheme="majorEastAsia" w:cstheme="majorBidi"/>
      <w:b w:val="0"/>
      <w:color w:val="2E75B6" w:themeColor="accent1" w:themeShade="BF"/>
      <w:sz w:val="32"/>
      <w:szCs w:val="32"/>
      <w:lang w:val="en-US"/>
    </w:rPr>
  </w:style>
  <w:style w:type="paragraph" w:customStyle="1" w:styleId="64">
    <w:name w:val="E-JOURNAL_Title English"/>
    <w:basedOn w:val="1"/>
    <w:qFormat/>
    <w:uiPriority w:val="0"/>
    <w:pPr>
      <w:jc w:val="center"/>
    </w:pPr>
    <w:rPr>
      <w:rFonts w:ascii="Times New Roman" w:hAnsi="Times New Roman" w:eastAsia="Times New Roman"/>
      <w:b/>
      <w:i/>
      <w:szCs w:val="24"/>
    </w:rPr>
  </w:style>
  <w:style w:type="paragraph" w:customStyle="1" w:styleId="65">
    <w:name w:val="E-JOURNAL_Author"/>
    <w:basedOn w:val="1"/>
    <w:qFormat/>
    <w:uiPriority w:val="0"/>
    <w:pPr>
      <w:jc w:val="center"/>
    </w:pPr>
    <w:rPr>
      <w:rFonts w:ascii="Times New Roman" w:hAnsi="Times New Roman" w:eastAsia="Times New Roman"/>
    </w:rPr>
  </w:style>
  <w:style w:type="paragraph" w:customStyle="1" w:styleId="66">
    <w:name w:val="E-JOURNAL_AbstrakTitle"/>
    <w:basedOn w:val="1"/>
    <w:qFormat/>
    <w:uiPriority w:val="0"/>
    <w:pPr>
      <w:spacing w:before="120" w:after="120"/>
      <w:jc w:val="center"/>
    </w:pPr>
    <w:rPr>
      <w:rFonts w:ascii="Times New Roman" w:hAnsi="Times New Roman" w:eastAsia="Times New Roman"/>
      <w:b/>
      <w:szCs w:val="24"/>
    </w:rPr>
  </w:style>
  <w:style w:type="paragraph" w:customStyle="1" w:styleId="67">
    <w:name w:val="E-JOURNAL_Title"/>
    <w:basedOn w:val="1"/>
    <w:qFormat/>
    <w:uiPriority w:val="0"/>
    <w:pPr>
      <w:ind w:firstLine="567"/>
      <w:jc w:val="center"/>
    </w:pPr>
    <w:rPr>
      <w:rFonts w:ascii="Times New Roman" w:hAnsi="Times New Roman" w:eastAsia="Times New Roman"/>
      <w:b/>
    </w:rPr>
  </w:style>
  <w:style w:type="paragraph" w:customStyle="1" w:styleId="68">
    <w:name w:val="E-JOURNAL_AbstractBody"/>
    <w:basedOn w:val="67"/>
    <w:qFormat/>
    <w:uiPriority w:val="0"/>
    <w:pPr>
      <w:jc w:val="both"/>
    </w:pPr>
    <w:rPr>
      <w:b w:val="0"/>
    </w:rPr>
  </w:style>
  <w:style w:type="paragraph" w:customStyle="1" w:styleId="69">
    <w:name w:val="E-JOURNAL_AbstractBodyEnglish"/>
    <w:basedOn w:val="1"/>
    <w:qFormat/>
    <w:uiPriority w:val="0"/>
    <w:pPr>
      <w:ind w:firstLine="567"/>
      <w:jc w:val="both"/>
    </w:pPr>
    <w:rPr>
      <w:rFonts w:ascii="Times New Roman" w:hAnsi="Times New Roman" w:eastAsia="Times New Roman"/>
      <w:i/>
    </w:rPr>
  </w:style>
  <w:style w:type="paragraph" w:customStyle="1" w:styleId="70">
    <w:name w:val="E-JOURNAL_Heading 1"/>
    <w:basedOn w:val="1"/>
    <w:qFormat/>
    <w:uiPriority w:val="0"/>
    <w:pPr>
      <w:spacing w:before="120" w:after="120"/>
    </w:pPr>
    <w:rPr>
      <w:rFonts w:ascii="Times New Roman" w:hAnsi="Times New Roman" w:eastAsia="Times New Roman"/>
      <w:b/>
      <w:lang w:val="en-US"/>
    </w:rPr>
  </w:style>
  <w:style w:type="paragraph" w:customStyle="1" w:styleId="71">
    <w:name w:val="E-JOURNAL_Body"/>
    <w:basedOn w:val="1"/>
    <w:qFormat/>
    <w:uiPriority w:val="0"/>
    <w:pPr>
      <w:ind w:firstLine="567"/>
      <w:jc w:val="both"/>
    </w:pPr>
    <w:rPr>
      <w:rFonts w:ascii="Times New Roman" w:hAnsi="Times New Roman" w:eastAsia="Times New Roman"/>
      <w:szCs w:val="24"/>
    </w:rPr>
  </w:style>
  <w:style w:type="paragraph" w:customStyle="1" w:styleId="72">
    <w:name w:val="E-JOURNAL_TableCaption"/>
    <w:basedOn w:val="1"/>
    <w:autoRedefine/>
    <w:qFormat/>
    <w:uiPriority w:val="0"/>
    <w:pPr>
      <w:ind w:left="851" w:hanging="851"/>
      <w:contextualSpacing/>
    </w:pPr>
    <w:rPr>
      <w:rFonts w:ascii="Times New Roman" w:hAnsi="Times New Roman" w:eastAsia="Times New Roman"/>
      <w:szCs w:val="24"/>
    </w:rPr>
  </w:style>
  <w:style w:type="paragraph" w:customStyle="1" w:styleId="73">
    <w:name w:val="E-JOURNAL_Table"/>
    <w:basedOn w:val="1"/>
    <w:qFormat/>
    <w:uiPriority w:val="0"/>
    <w:pPr>
      <w:spacing w:line="240" w:lineRule="atLeast"/>
      <w:jc w:val="center"/>
    </w:pPr>
    <w:rPr>
      <w:rFonts w:ascii="Times New Roman" w:hAnsi="Times New Roman" w:eastAsia="Times New Roman"/>
      <w:szCs w:val="24"/>
    </w:rPr>
  </w:style>
  <w:style w:type="paragraph" w:customStyle="1" w:styleId="74">
    <w:name w:val="E-JOURNAL_Picture Capture"/>
    <w:basedOn w:val="1"/>
    <w:autoRedefine/>
    <w:qFormat/>
    <w:uiPriority w:val="0"/>
    <w:pPr>
      <w:ind w:left="993" w:hanging="993"/>
    </w:pPr>
    <w:rPr>
      <w:rFonts w:ascii="Times New Roman" w:hAnsi="Times New Roman" w:eastAsia="Times New Roman"/>
      <w:b/>
      <w:color w:val="000000"/>
      <w:sz w:val="20"/>
      <w:szCs w:val="24"/>
    </w:rPr>
  </w:style>
  <w:style w:type="paragraph" w:customStyle="1" w:styleId="75">
    <w:name w:val="E-JOURNAL_Daftar Pustaka"/>
    <w:basedOn w:val="1"/>
    <w:qFormat/>
    <w:uiPriority w:val="0"/>
    <w:pPr>
      <w:spacing w:before="240" w:line="240" w:lineRule="atLeast"/>
      <w:ind w:left="720" w:hanging="720"/>
      <w:jc w:val="both"/>
    </w:pPr>
    <w:rPr>
      <w:rFonts w:ascii="Times New Roman" w:hAnsi="Times New Roman" w:eastAsia="Times New Roman"/>
      <w:color w:val="000000"/>
    </w:rPr>
  </w:style>
  <w:style w:type="paragraph" w:customStyle="1" w:styleId="76">
    <w:name w:val="E-JOURNAL_AbstrakKeywords"/>
    <w:basedOn w:val="69"/>
    <w:qFormat/>
    <w:uiPriority w:val="0"/>
    <w:pPr>
      <w:spacing w:before="240" w:after="240"/>
      <w:ind w:firstLine="0"/>
    </w:pPr>
  </w:style>
  <w:style w:type="paragraph" w:customStyle="1" w:styleId="77">
    <w:name w:val="Style E-Journal_Keywords + Not Italic"/>
    <w:basedOn w:val="76"/>
    <w:qFormat/>
    <w:uiPriority w:val="0"/>
    <w:pPr>
      <w:spacing w:before="120" w:after="120"/>
    </w:pPr>
    <w:rPr>
      <w:i w:val="0"/>
    </w:rPr>
  </w:style>
  <w:style w:type="paragraph" w:customStyle="1" w:styleId="78">
    <w:name w:val="E-JOURNAL_TitleAbstractEnglish"/>
    <w:basedOn w:val="1"/>
    <w:autoRedefine/>
    <w:qFormat/>
    <w:uiPriority w:val="0"/>
    <w:pPr>
      <w:spacing w:before="120" w:after="120"/>
      <w:jc w:val="center"/>
    </w:pPr>
    <w:rPr>
      <w:rFonts w:ascii="Times New Roman" w:hAnsi="Times New Roman" w:eastAsia="Times New Roman"/>
      <w:b/>
      <w:bCs/>
      <w:i/>
      <w:iCs/>
      <w:szCs w:val="20"/>
    </w:rPr>
  </w:style>
  <w:style w:type="paragraph" w:customStyle="1" w:styleId="79">
    <w:name w:val="E-JOURNAL_Picture"/>
    <w:basedOn w:val="73"/>
    <w:qFormat/>
    <w:uiPriority w:val="0"/>
    <w:rPr>
      <w:szCs w:val="22"/>
    </w:rPr>
  </w:style>
  <w:style w:type="character" w:customStyle="1" w:styleId="80">
    <w:name w:val="Comment Text Char"/>
    <w:basedOn w:val="11"/>
    <w:link w:val="21"/>
    <w:uiPriority w:val="99"/>
    <w:rPr>
      <w:rFonts w:ascii="Times New Roman" w:hAnsi="Times New Roman" w:eastAsia="Times New Roman"/>
      <w:sz w:val="20"/>
      <w:szCs w:val="20"/>
      <w:lang w:val="en-US"/>
    </w:rPr>
  </w:style>
  <w:style w:type="character" w:customStyle="1" w:styleId="81">
    <w:name w:val="hps"/>
    <w:basedOn w:val="11"/>
    <w:uiPriority w:val="0"/>
  </w:style>
  <w:style w:type="character" w:customStyle="1" w:styleId="82">
    <w:name w:val="Comment Subject Char"/>
    <w:basedOn w:val="80"/>
    <w:link w:val="22"/>
    <w:semiHidden/>
    <w:uiPriority w:val="99"/>
    <w:rPr>
      <w:rFonts w:ascii="Times New Roman" w:hAnsi="Times New Roman" w:eastAsia="Times New Roman"/>
      <w:b/>
      <w:bCs/>
      <w:sz w:val="20"/>
      <w:szCs w:val="20"/>
      <w:lang w:val="en-US"/>
    </w:rPr>
  </w:style>
  <w:style w:type="character" w:customStyle="1" w:styleId="83">
    <w:name w:val="List Paragraph Char"/>
    <w:link w:val="62"/>
    <w:locked/>
    <w:uiPriority w:val="34"/>
    <w:rPr>
      <w:rFonts w:ascii="Times New Roman" w:hAnsi="Times New Roman" w:eastAsia="Times New Roman"/>
      <w:sz w:val="24"/>
      <w:szCs w:val="24"/>
      <w:lang w:val="en-US"/>
    </w:rPr>
  </w:style>
  <w:style w:type="table" w:customStyle="1" w:styleId="84">
    <w:name w:val="_Style 56"/>
    <w:basedOn w:val="12"/>
    <w:qFormat/>
    <w:uiPriority w:val="0"/>
    <w:pPr>
      <w:ind w:left="720" w:hanging="720"/>
    </w:pPr>
    <w:tblPr>
      <w:tblCellMar>
        <w:top w:w="0" w:type="dxa"/>
        <w:left w:w="115" w:type="dxa"/>
        <w:bottom w:w="0" w:type="dxa"/>
        <w:right w:w="115" w:type="dxa"/>
      </w:tblCellMar>
    </w:tblPr>
  </w:style>
  <w:style w:type="paragraph" w:customStyle="1" w:styleId="85">
    <w:name w:val="Table Paragraph"/>
    <w:basedOn w:val="1"/>
    <w:qFormat/>
    <w:uiPriority w:val="1"/>
    <w:pPr>
      <w:widowControl w:val="0"/>
      <w:autoSpaceDE w:val="0"/>
      <w:autoSpaceDN w:val="0"/>
      <w:spacing w:after="0" w:line="240" w:lineRule="auto"/>
    </w:pPr>
    <w:rPr>
      <w:rFonts w:ascii="Times New Roman" w:hAnsi="Times New Roman" w:eastAsia="Times New Roman" w:cs="Times New Roman"/>
      <w:lang w:val="en-US" w:eastAsia="en-US"/>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header" Target="header3.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45B6D96-0F5D-410A-BA61-447FE7F277C2}">
  <ds:schemaRefs/>
</ds:datastoreItem>
</file>

<file path=docProps/app.xml><?xml version="1.0" encoding="utf-8"?>
<Properties xmlns="http://schemas.openxmlformats.org/officeDocument/2006/extended-properties" xmlns:vt="http://schemas.openxmlformats.org/officeDocument/2006/docPropsVTypes">
  <Template>Normal</Template>
  <Company>home</Company>
  <Pages>8</Pages>
  <Words>580</Words>
  <Characters>3306</Characters>
  <Lines>27</Lines>
  <Paragraphs>7</Paragraphs>
  <TotalTime>6</TotalTime>
  <ScaleCrop>false</ScaleCrop>
  <LinksUpToDate>false</LinksUpToDate>
  <CharactersWithSpaces>3879</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2019-11-26T08:44:00Z</dcterms:created>
  <dc:creator>Editor Didaktika Biologi</dc:creator>
  <cp:lastModifiedBy>Administrator</cp:lastModifiedBy>
  <dcterms:modified xsi:type="dcterms:W3CDTF">2025-07-23T13:08:12Z</dcterms:modified>
  <dc:title>Template Jurnal Didaktika FKIP UM Palembang</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EB513E27491F4278B85133EE9968172D_13</vt:lpwstr>
  </property>
</Properties>
</file>