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24"/>
          <w:szCs w:val="24"/>
        </w:rPr>
      </w:pPr>
      <w:r>
        <w:rPr>
          <w:b/>
          <w:sz w:val="24"/>
          <w:szCs w:val="24"/>
        </w:rPr>
        <w:t>THE CORRELATION BETWEEN READING ATTITUDE AND READING COMPREHENSION ACHIEVEMENT</w:t>
      </w:r>
    </w:p>
    <w:p>
      <w:pPr>
        <w:jc w:val="center"/>
        <w:rPr>
          <w:b/>
          <w:sz w:val="24"/>
          <w:szCs w:val="24"/>
          <w:lang w:val="id-ID"/>
        </w:rPr>
      </w:pPr>
    </w:p>
    <w:p>
      <w:pPr>
        <w:jc w:val="center"/>
        <w:rPr>
          <w:b/>
          <w:bCs/>
          <w:sz w:val="24"/>
          <w:szCs w:val="24"/>
          <w:lang w:val="id-ID"/>
        </w:rPr>
      </w:pPr>
      <w:r>
        <w:rPr>
          <w:b/>
          <w:bCs/>
          <w:sz w:val="24"/>
          <w:szCs w:val="24"/>
          <w:lang w:val="id-ID"/>
        </w:rPr>
        <w:t>Renny Nur Ferlyanti</w:t>
      </w:r>
      <w:r>
        <w:rPr>
          <w:b/>
          <w:bCs/>
          <w:sz w:val="24"/>
          <w:szCs w:val="24"/>
          <w:vertAlign w:val="superscript"/>
          <w:lang w:val="id-ID"/>
        </w:rPr>
        <w:t>1</w:t>
      </w:r>
      <w:r>
        <w:rPr>
          <w:b/>
          <w:bCs/>
          <w:sz w:val="24"/>
          <w:szCs w:val="24"/>
          <w:lang w:val="id-ID"/>
        </w:rPr>
        <w:t>,</w:t>
      </w:r>
      <w:r>
        <w:t xml:space="preserve"> </w:t>
      </w:r>
      <w:r>
        <w:rPr>
          <w:b/>
          <w:bCs/>
          <w:sz w:val="24"/>
          <w:szCs w:val="24"/>
          <w:lang w:val="id-ID"/>
        </w:rPr>
        <w:t>Shynta Amalia², Hariana Amalia³</w:t>
      </w:r>
    </w:p>
    <w:p>
      <w:pPr>
        <w:jc w:val="center"/>
        <w:rPr>
          <w:b/>
          <w:bCs/>
          <w:sz w:val="24"/>
          <w:szCs w:val="24"/>
          <w:lang w:val="id-ID"/>
        </w:rPr>
      </w:pPr>
      <w:r>
        <w:rPr>
          <w:b/>
          <w:bCs/>
          <w:sz w:val="24"/>
          <w:szCs w:val="24"/>
          <w:lang w:val="id-ID"/>
        </w:rPr>
        <w:t>UIN Raden Fatah Palembang, Palembang, Indonesia</w:t>
      </w:r>
    </w:p>
    <w:p>
      <w:pPr>
        <w:jc w:val="center"/>
        <w:rPr>
          <w:b/>
          <w:bCs/>
          <w:sz w:val="24"/>
          <w:szCs w:val="24"/>
          <w:lang w:val="id-ID"/>
        </w:rPr>
      </w:pPr>
      <w:r>
        <w:rPr>
          <w:b/>
          <w:bCs/>
          <w:sz w:val="24"/>
          <w:szCs w:val="24"/>
          <w:lang w:val="id-ID"/>
        </w:rPr>
        <w:t>(rennynurferlyanti03@gmail.com, shynta_amalia_uin@radenfatah.ac.id, harianaamaliah_uin@radenfatah.ac.id)</w:t>
      </w:r>
    </w:p>
    <w:p>
      <w:pPr>
        <w:jc w:val="center"/>
        <w:rPr>
          <w:b/>
          <w:bCs/>
          <w:sz w:val="24"/>
          <w:szCs w:val="24"/>
          <w:lang w:val="id-ID"/>
        </w:rPr>
      </w:pPr>
      <w:r>
        <w:rPr>
          <w:b/>
          <w:bCs/>
          <w:color w:val="FFFFFF" w:themeColor="background1"/>
          <w:sz w:val="24"/>
          <w:szCs w:val="24"/>
          <w:lang w:val="id-ID"/>
        </w:rPr>
        <w:t>id)</w:t>
      </w:r>
    </w:p>
    <w:p>
      <w:pPr>
        <w:jc w:val="center"/>
        <w:rPr>
          <w:b/>
          <w:bCs/>
          <w:sz w:val="24"/>
          <w:szCs w:val="24"/>
          <w:lang w:val="id-ID"/>
        </w:rPr>
      </w:pPr>
    </w:p>
    <w:p>
      <w:pPr>
        <w:jc w:val="both"/>
        <w:rPr>
          <w:rFonts w:hint="default"/>
          <w:lang w:val="id-ID"/>
        </w:rPr>
      </w:pPr>
      <w:r>
        <w:rPr>
          <w:b/>
          <w:bCs/>
          <w:lang w:val="id-ID"/>
        </w:rPr>
        <w:t>ABSTRAC</w:t>
      </w:r>
      <w:r>
        <w:rPr>
          <w:rFonts w:hint="default"/>
          <w:b/>
          <w:bCs/>
          <w:lang w:val="en-US"/>
        </w:rPr>
        <w:t>T</w:t>
      </w:r>
      <w:r>
        <w:rPr>
          <w:lang w:val="id-ID"/>
        </w:rPr>
        <w:t xml:space="preserve">: </w:t>
      </w:r>
      <w:r>
        <w:rPr>
          <w:rFonts w:hint="default"/>
          <w:lang w:val="en-US"/>
        </w:rPr>
        <w:t xml:space="preserve"> </w:t>
      </w:r>
      <w:r>
        <w:rPr>
          <w:rFonts w:hint="default"/>
          <w:lang w:val="id-ID"/>
        </w:rPr>
        <w:t>This research aimed to investigate the correlation between reading attitude and reading comprehension achievement among eleventh-grade students at MAN 1 Lahat. A correlational research method was employed to assess the relationship between these two variables. The study's population comprised nine classes of eleventh-grade students, from which a sample of 98 students was selected through convenience sampling.</w:t>
      </w:r>
      <w:r>
        <w:rPr>
          <w:rFonts w:hint="default"/>
          <w:lang w:val="en-US"/>
        </w:rPr>
        <w:t xml:space="preserve"> </w:t>
      </w:r>
      <w:r>
        <w:rPr>
          <w:rFonts w:hint="default"/>
          <w:lang w:val="id-ID"/>
        </w:rPr>
        <w:t>Data collection involved administering a reading attitude questionnaire designed to measure students' perceptions and feelings toward reading, along with a reading comprehension test to evaluate their comprehension skills. The analysis of the correlation between the collected data was conducted using SPSS 25 software.</w:t>
      </w:r>
      <w:r>
        <w:rPr>
          <w:rFonts w:hint="default"/>
          <w:lang w:val="en-US"/>
        </w:rPr>
        <w:t xml:space="preserve"> </w:t>
      </w:r>
      <w:r>
        <w:rPr>
          <w:rFonts w:hint="default"/>
          <w:lang w:val="id-ID"/>
        </w:rPr>
        <w:t>The findings revealed a correlation coefficient (r) of 0.011, significantly lower than the critical value of the r-table, set at 0.913. These results indicate a weak and statistically insignificant correlation between reading attitude and reading comprehension achievement among the eleventh-grade students at MAN 1 Lahat.</w:t>
      </w:r>
      <w:r>
        <w:rPr>
          <w:rFonts w:hint="default"/>
          <w:lang w:val="en-US"/>
        </w:rPr>
        <w:t xml:space="preserve"> </w:t>
      </w:r>
      <w:r>
        <w:rPr>
          <w:rFonts w:hint="default"/>
          <w:lang w:val="id-ID"/>
        </w:rPr>
        <w:t>Thus, it can be concluded that while there may be some relationship between these variables, the strength of this correlation is not sufficient to be considered meaningful within this specific educational context. Further research could be beneficial to explore additional variables that may significantly impact students’ reading achievements. Understanding these dynamics can provide educators with valuable insights into improving reading instruction and fostering better comprehension skills among students.</w:t>
      </w:r>
    </w:p>
    <w:p>
      <w:pPr>
        <w:jc w:val="both"/>
        <w:rPr>
          <w:b/>
          <w:bCs/>
          <w:lang w:val="id-ID"/>
        </w:rPr>
      </w:pPr>
    </w:p>
    <w:p>
      <w:pPr>
        <w:jc w:val="both"/>
        <w:rPr>
          <w:rFonts w:hint="default"/>
          <w:i/>
          <w:lang w:val="en-US"/>
        </w:rPr>
      </w:pPr>
      <w:r>
        <w:rPr>
          <w:b/>
          <w:bCs/>
          <w:lang w:val="id-ID"/>
        </w:rPr>
        <w:t xml:space="preserve">Keyword </w:t>
      </w:r>
      <w:r>
        <w:rPr>
          <w:lang w:val="id-ID"/>
        </w:rPr>
        <w:t xml:space="preserve">: </w:t>
      </w:r>
      <w:r>
        <w:rPr>
          <w:i/>
          <w:lang w:val="id-ID"/>
        </w:rPr>
        <w:t>reading attitude, reading comprehension achievement</w:t>
      </w:r>
      <w:r>
        <w:rPr>
          <w:rFonts w:hint="default"/>
          <w:i/>
          <w:lang w:val="en-US"/>
        </w:rPr>
        <w:t>, correlation</w:t>
      </w:r>
    </w:p>
    <w:p>
      <w:pPr>
        <w:jc w:val="both"/>
        <w:rPr>
          <w:i/>
          <w:sz w:val="24"/>
          <w:szCs w:val="24"/>
          <w:lang w:val="id-ID"/>
        </w:rPr>
      </w:pPr>
    </w:p>
    <w:tbl>
      <w:tblPr>
        <w:tblStyle w:val="12"/>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20"/>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pPr>
              <w:jc w:val="both"/>
              <w:rPr>
                <w:i/>
                <w:sz w:val="24"/>
                <w:szCs w:val="24"/>
                <w:lang w:val="id-ID"/>
              </w:rPr>
            </w:pPr>
          </w:p>
        </w:tc>
      </w:tr>
    </w:tbl>
    <w:p>
      <w:pPr>
        <w:jc w:val="both"/>
        <w:rPr>
          <w:b/>
          <w:bCs/>
          <w:sz w:val="24"/>
          <w:szCs w:val="24"/>
          <w:lang w:val="id-ID"/>
        </w:rPr>
      </w:pPr>
    </w:p>
    <w:p>
      <w:pPr>
        <w:jc w:val="center"/>
        <w:rPr>
          <w:b/>
          <w:bCs/>
          <w:sz w:val="24"/>
          <w:szCs w:val="24"/>
          <w:lang w:val="id-ID"/>
        </w:rPr>
      </w:pPr>
      <w:r>
        <w:rPr>
          <w:b/>
          <w:bCs/>
          <w:sz w:val="24"/>
          <w:szCs w:val="24"/>
          <w:lang w:val="id-ID"/>
        </w:rPr>
        <w:t xml:space="preserve">HUBUNGAN ANTARA SIKAP MEMBACA DENGAN HASIL PEMAHAMAN MEMBACA </w:t>
      </w:r>
    </w:p>
    <w:p>
      <w:pPr>
        <w:jc w:val="center"/>
        <w:rPr>
          <w:b/>
          <w:bCs/>
          <w:sz w:val="24"/>
          <w:szCs w:val="24"/>
          <w:lang w:val="id-ID"/>
        </w:rPr>
      </w:pPr>
    </w:p>
    <w:p>
      <w:pPr>
        <w:jc w:val="both"/>
        <w:rPr>
          <w:lang w:val="id-ID"/>
        </w:rPr>
      </w:pPr>
      <w:r>
        <w:rPr>
          <w:b/>
          <w:bCs/>
          <w:lang w:val="id-ID"/>
        </w:rPr>
        <w:t>ABSTRAK</w:t>
      </w:r>
      <w:r>
        <w:rPr>
          <w:lang w:val="id-ID"/>
        </w:rPr>
        <w:t xml:space="preserve">: </w:t>
      </w:r>
      <w:r>
        <w:rPr>
          <w:rFonts w:hint="default"/>
          <w:lang w:val="id-ID"/>
        </w:rPr>
        <w:t>Penelitian ini bertujuan untuk menyelidiki hubungan antara sikap membaca dan pencapaian pemahaman membaca di kalangan siswa kelas sebelas di MAN 1 Lahat. Metode penelitian yang digunakan adalah korelasional untuk menilai hubungan antara kedua variabel tersebut. Populasi penelitian terdiri dari sembilan kelas siswa kelas sebelas, dari mana sampel sebanyak 98 siswa dipilih melalui teknik pengambilan sampel convenience. Pengumpulan data dilakukan dengan menyebarkan kuesioner sikap membaca yang dirancang untuk mengukur persepsi dan perasaan siswa terhadap membaca, serta tes pemahaman membaca untuk mengevaluasi keterampilan pemahaman mereka. Analisis korelasi antara data yang dikumpulkan dilakukan dengan menggunakan perangkat lunak SPSS 25. Temuan menunjukkan bahwa koefisien korelasi (r) sebesar 0,011, jauh lebih rendah dari nilai kritis r-table yang ditetapkan pada 0,913. Hasil ini mengindikasikan adanya korelasi yang lemah dan tidak signifikan secara statistik antara sikap membaca dan pencapaian pemahaman membaca di kalangan siswa kelas sebelas di MAN 1 Lahat. Dengan demikian, dapat disimpulkan bahwa meskipun mungkin ada hubungan antara variabel-variabel ini, kekuatan korelasi tersebut tidak cukup untuk dianggap bermakna dalam konteks pendidikan ini. Penelitian lebih lanjut dapat bermanfaat untuk mengeksplorasi variabel tambahan yang mungkin memiliki dampak signifikan terhadap pencapaian membaca siswa. Memahami dinamika ini dapat memberikan wawasan berharga bagi pendidik dalam meningkatkan pengajaran membaca dan mengembangkan keterampilan pemahaman yang lebih baik di kalangan siswa.</w:t>
      </w:r>
    </w:p>
    <w:p>
      <w:pPr>
        <w:jc w:val="both"/>
        <w:rPr>
          <w:lang w:val="id-ID"/>
        </w:rPr>
      </w:pPr>
    </w:p>
    <w:p>
      <w:pPr>
        <w:jc w:val="both"/>
        <w:rPr>
          <w:rFonts w:hint="default"/>
          <w:i/>
          <w:lang w:val="en-US"/>
        </w:rPr>
      </w:pPr>
      <w:r>
        <w:rPr>
          <w:b/>
          <w:bCs/>
          <w:lang w:val="id-ID"/>
        </w:rPr>
        <w:t>Kata kunci:</w:t>
      </w:r>
      <w:r>
        <w:rPr>
          <w:lang w:val="id-ID"/>
        </w:rPr>
        <w:t xml:space="preserve"> s</w:t>
      </w:r>
      <w:r>
        <w:rPr>
          <w:i/>
          <w:lang w:val="id-ID"/>
        </w:rPr>
        <w:t>ikap membaca, prestasi pemahaman membaca</w:t>
      </w:r>
      <w:r>
        <w:rPr>
          <w:rFonts w:hint="default"/>
          <w:i/>
          <w:lang w:val="en-US"/>
        </w:rPr>
        <w:t>, korelasi</w:t>
      </w:r>
    </w:p>
    <w:p>
      <w:pPr>
        <w:jc w:val="both"/>
        <w:rPr>
          <w:i/>
          <w:sz w:val="24"/>
          <w:szCs w:val="24"/>
          <w:lang w:val="id-ID"/>
        </w:rPr>
      </w:pPr>
    </w:p>
    <w:tbl>
      <w:tblPr>
        <w:tblStyle w:val="12"/>
        <w:tblW w:w="0" w:type="auto"/>
        <w:tblInd w:w="0" w:type="dxa"/>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720"/>
      </w:tblGrid>
      <w:tr>
        <w:tblPrEx>
          <w:tblBorders>
            <w:top w:val="none" w:color="auto" w:sz="0" w:space="0"/>
            <w:left w:val="none" w:color="auto" w:sz="0" w:space="0"/>
            <w:bottom w:val="thinThickMediumGap" w:color="auto" w:sz="2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287" w:type="dxa"/>
            <w:tcBorders>
              <w:tl2br w:val="nil"/>
              <w:tr2bl w:val="nil"/>
            </w:tcBorders>
          </w:tcPr>
          <w:p>
            <w:pPr>
              <w:jc w:val="both"/>
              <w:rPr>
                <w:i/>
                <w:sz w:val="24"/>
                <w:szCs w:val="24"/>
                <w:lang w:val="id-ID"/>
              </w:rPr>
            </w:pPr>
          </w:p>
        </w:tc>
      </w:tr>
    </w:tbl>
    <w:p>
      <w:pPr>
        <w:jc w:val="both"/>
        <w:rPr>
          <w:i/>
          <w:sz w:val="24"/>
          <w:szCs w:val="24"/>
          <w:lang w:val="id-ID"/>
        </w:rPr>
      </w:pPr>
    </w:p>
    <w:p>
      <w:pPr>
        <w:widowControl/>
        <w:autoSpaceDE/>
        <w:autoSpaceDN/>
        <w:spacing w:after="200" w:line="276" w:lineRule="auto"/>
        <w:rPr>
          <w:sz w:val="24"/>
          <w:szCs w:val="24"/>
          <w:lang w:val="id-ID"/>
        </w:rPr>
      </w:pPr>
      <w:r>
        <w:rPr>
          <w:sz w:val="24"/>
          <w:szCs w:val="24"/>
          <w:lang w:val="id-ID"/>
        </w:rPr>
        <w:br w:type="page"/>
      </w:r>
    </w:p>
    <w:p>
      <w:pPr>
        <w:jc w:val="both"/>
        <w:rPr>
          <w:b/>
          <w:sz w:val="24"/>
          <w:szCs w:val="24"/>
          <w:lang w:val="id-ID"/>
        </w:rPr>
      </w:pPr>
      <w:r>
        <w:rPr>
          <w:b/>
          <w:sz w:val="24"/>
          <w:szCs w:val="24"/>
          <w:lang w:val="id-ID"/>
        </w:rPr>
        <w:t>INTRODUCTION</w:t>
      </w:r>
    </w:p>
    <w:p>
      <w:pPr>
        <w:keepNext/>
        <w:framePr w:dropCap="drop" w:lines="3" w:h="727" w:hRule="exact" w:wrap="around" w:vAnchor="text" w:hAnchor="page" w:x="1453" w:y="86"/>
        <w:spacing w:line="727" w:lineRule="exact"/>
        <w:ind w:firstLine="720"/>
        <w:jc w:val="both"/>
        <w:textAlignment w:val="baseline"/>
        <w:rPr>
          <w:position w:val="-9"/>
          <w:sz w:val="70"/>
          <w:szCs w:val="70"/>
        </w:rPr>
      </w:pPr>
      <w:r>
        <w:rPr>
          <w:position w:val="-9"/>
          <w:sz w:val="70"/>
          <w:szCs w:val="70"/>
        </w:rPr>
        <w:t>E</w:t>
      </w:r>
    </w:p>
    <w:p>
      <w:pPr>
        <w:jc w:val="both"/>
        <w:rPr>
          <w:sz w:val="24"/>
          <w:szCs w:val="24"/>
          <w:lang w:val="id-ID"/>
        </w:rPr>
      </w:pPr>
    </w:p>
    <w:p>
      <w:pPr>
        <w:jc w:val="both"/>
        <w:rPr>
          <w:sz w:val="24"/>
          <w:szCs w:val="24"/>
        </w:rPr>
      </w:pPr>
      <w:r>
        <w:rPr>
          <w:sz w:val="24"/>
          <w:szCs w:val="24"/>
        </w:rPr>
        <w:t>nglish, used in 53 countries as an official language and by over 400 million people globally, is the world's most commonly spoken language (Statista,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(Hossain, 2015; Al-Jawi, 2017).</w:t>
      </w:r>
      <w:r>
        <w:rPr>
          <w:sz w:val="24"/>
          <w:szCs w:val="24"/>
          <w:lang w:val="id-ID"/>
        </w:rPr>
        <w:t xml:space="preserve"> </w:t>
      </w:r>
      <w:r>
        <w:rPr>
          <w:sz w:val="24"/>
          <w:szCs w:val="24"/>
        </w:rPr>
        <w:t>According to Nunan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(Alsaeedi</w:t>
      </w:r>
      <w:r>
        <w:rPr>
          <w:spacing w:val="-3"/>
          <w:sz w:val="24"/>
          <w:szCs w:val="24"/>
        </w:rPr>
        <w:t xml:space="preserve"> </w:t>
      </w:r>
      <w:r>
        <w:rPr>
          <w:sz w:val="24"/>
          <w:szCs w:val="24"/>
        </w:rPr>
        <w:t>et</w:t>
      </w:r>
      <w:r>
        <w:rPr>
          <w:spacing w:val="-1"/>
          <w:sz w:val="24"/>
          <w:szCs w:val="24"/>
        </w:rPr>
        <w:t xml:space="preserve"> </w:t>
      </w:r>
      <w:r>
        <w:rPr>
          <w:sz w:val="24"/>
          <w:szCs w:val="24"/>
        </w:rPr>
        <w:t>al., 2021).</w:t>
      </w:r>
    </w:p>
    <w:p>
      <w:pPr>
        <w:ind w:firstLine="720" w:firstLineChars="0"/>
        <w:jc w:val="both"/>
        <w:rPr>
          <w:rFonts w:hint="default"/>
          <w:sz w:val="24"/>
          <w:szCs w:val="24"/>
          <w:lang w:val="en-US"/>
        </w:rPr>
      </w:pPr>
      <w:r>
        <w:rPr>
          <w:sz w:val="24"/>
          <w:szCs w:val="24"/>
        </w:rPr>
        <w:t>Reading comprehension is a crucial skill in both academic and everyday life. According to cultivated text, readers can obtain extensive information and themes communicated in the reading text (Horiba &amp; Fukaya,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Hapsari (2019), including psychological, socioeconomic, and external challenges, emphasized further by Altun et al. (2022), highlighting the effort, motivation, and positive attitude required for reading proficiency. Gregory (2014) also describes attitude as something that can be learned in terms of cognitive, affective, or behavioral, which results in a positive or negative response to certain objects, situations, institutions, concepts, or people. Reading attitude is defined as the feeling about reading that results in the adoption or avoidance of positive reading habits (Hagan, 2013). Reading attitude can be positive or negative. People's reading attitudes, as studied by various scholars (Bastug, 2014; Tunde, 2014; Turkyilmaz, 2015 cited in Soliba et al., 2020), influence their engagement and behavior towards reading, either fostering enthusiasm and engagement or leading to avoidance and poor comprehension</w:t>
      </w:r>
      <w:r>
        <w:rPr>
          <w:rFonts w:hint="default"/>
          <w:sz w:val="24"/>
          <w:szCs w:val="24"/>
          <w:lang w:val="en-US"/>
        </w:rPr>
        <w:t xml:space="preserve">. </w:t>
      </w:r>
    </w:p>
    <w:p>
      <w:pPr>
        <w:ind w:firstLine="720" w:firstLineChars="0"/>
        <w:jc w:val="both"/>
        <w:rPr>
          <w:sz w:val="24"/>
          <w:szCs w:val="24"/>
        </w:rPr>
      </w:pPr>
      <w:r>
        <w:rPr>
          <w:sz w:val="24"/>
          <w:szCs w:val="24"/>
        </w:rPr>
        <w:t>Previous studies on the relationship between reading attitude and reading comprehension show varying results. Pramita (2019) found no significant relationship between reading attitude and comprehension among high school students. In contrast, Septianingsih (2021) found a significant positive correlation among tenth-grade students, while Andini (2024) found a moderately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Lahat and to find out whether reading attitude influences their reading comprehension achievement.</w:t>
      </w:r>
    </w:p>
    <w:p>
      <w:pPr>
        <w:ind w:firstLine="720" w:firstLineChars="0"/>
        <w:jc w:val="both"/>
        <w:rPr>
          <w:rFonts w:hint="default"/>
          <w:sz w:val="24"/>
          <w:szCs w:val="24"/>
          <w:lang w:val="en-US"/>
        </w:rPr>
      </w:pPr>
    </w:p>
    <w:p>
      <w:pPr>
        <w:ind w:firstLine="720"/>
        <w:jc w:val="both"/>
        <w:rPr>
          <w:sz w:val="24"/>
          <w:szCs w:val="24"/>
          <w:lang w:val="id-ID"/>
        </w:rPr>
      </w:pPr>
    </w:p>
    <w:p>
      <w:pPr>
        <w:ind w:firstLine="720"/>
        <w:jc w:val="both"/>
        <w:rPr>
          <w:sz w:val="24"/>
          <w:szCs w:val="24"/>
          <w:lang w:val="id-ID"/>
        </w:rPr>
      </w:pPr>
    </w:p>
    <w:p>
      <w:pPr>
        <w:ind w:firstLine="720"/>
        <w:jc w:val="both"/>
        <w:rPr>
          <w:lang w:val="id-ID"/>
        </w:rPr>
      </w:pPr>
    </w:p>
    <w:p>
      <w:pPr>
        <w:jc w:val="both"/>
        <w:rPr>
          <w:b/>
          <w:sz w:val="24"/>
          <w:szCs w:val="24"/>
          <w:lang w:val="id-ID"/>
        </w:rPr>
      </w:pPr>
      <w:r>
        <w:rPr>
          <w:b/>
          <w:sz w:val="24"/>
          <w:szCs w:val="24"/>
          <w:lang w:val="id-ID"/>
        </w:rPr>
        <w:t>METHOD</w:t>
      </w:r>
    </w:p>
    <w:p>
      <w:pPr>
        <w:jc w:val="both"/>
        <w:rPr>
          <w:b/>
          <w:i/>
          <w:sz w:val="24"/>
          <w:szCs w:val="24"/>
          <w:lang w:val="id-ID"/>
        </w:rPr>
      </w:pPr>
      <w:r>
        <w:rPr>
          <w:b/>
          <w:i/>
          <w:sz w:val="24"/>
          <w:szCs w:val="24"/>
          <w:lang w:val="id-ID"/>
        </w:rPr>
        <w:t>Design</w:t>
      </w:r>
    </w:p>
    <w:p>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 grade students at MAN 1 Lahat.</w:t>
      </w:r>
    </w:p>
    <w:p>
      <w:pPr>
        <w:jc w:val="both"/>
        <w:rPr>
          <w:b/>
          <w:i/>
          <w:sz w:val="24"/>
          <w:szCs w:val="24"/>
          <w:lang w:val="id-ID"/>
        </w:rPr>
      </w:pPr>
    </w:p>
    <w:p>
      <w:pPr>
        <w:jc w:val="both"/>
        <w:rPr>
          <w:b/>
          <w:i/>
          <w:sz w:val="24"/>
          <w:szCs w:val="24"/>
          <w:lang w:val="id-ID"/>
        </w:rPr>
      </w:pPr>
      <w:r>
        <w:rPr>
          <w:b/>
          <w:i/>
          <w:sz w:val="24"/>
          <w:szCs w:val="24"/>
          <w:lang w:val="id-ID"/>
        </w:rPr>
        <w:t>Sample</w:t>
      </w:r>
    </w:p>
    <w:p>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all eleventh-grade students of MAN 1 Lahat</w:t>
      </w:r>
      <w:r>
        <w:rPr>
          <w:sz w:val="24"/>
          <w:szCs w:val="24"/>
          <w:lang w:val="id-ID"/>
        </w:rPr>
        <w:t xml:space="preserve"> consist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Etikan et al. (2016) explain that convenience sampling is a cost-efficient and easy method because the research subjects are already available.</w:t>
      </w:r>
      <w:r>
        <w:rPr>
          <w:sz w:val="24"/>
          <w:szCs w:val="24"/>
          <w:lang w:val="id-ID"/>
        </w:rPr>
        <w:t xml:space="preserve"> </w:t>
      </w:r>
      <w:r>
        <w:rPr>
          <w:sz w:val="24"/>
          <w:szCs w:val="24"/>
        </w:rPr>
        <w:t xml:space="preserve">Therefore, the researcher chose classes XI 2, XI 3, and XI 4, involving a total of 98 students. </w:t>
      </w:r>
    </w:p>
    <w:p>
      <w:pPr>
        <w:ind w:firstLine="720"/>
        <w:jc w:val="both"/>
        <w:rPr>
          <w:b/>
          <w:i/>
          <w:sz w:val="24"/>
          <w:szCs w:val="24"/>
          <w:lang w:val="id-ID"/>
        </w:rPr>
      </w:pPr>
    </w:p>
    <w:p>
      <w:pPr>
        <w:jc w:val="both"/>
        <w:rPr>
          <w:b/>
          <w:i/>
          <w:sz w:val="24"/>
          <w:szCs w:val="24"/>
          <w:lang w:val="id-ID"/>
        </w:rPr>
      </w:pPr>
      <w:r>
        <w:rPr>
          <w:b/>
          <w:i/>
          <w:sz w:val="24"/>
          <w:szCs w:val="24"/>
          <w:lang w:val="id-ID"/>
        </w:rPr>
        <w:t>Data collecti</w:t>
      </w:r>
      <w:r>
        <w:rPr>
          <w:rFonts w:hint="default"/>
          <w:b/>
          <w:i/>
          <w:sz w:val="24"/>
          <w:szCs w:val="24"/>
          <w:lang w:val="en-US"/>
        </w:rPr>
        <w:t>on</w:t>
      </w:r>
      <w:r>
        <w:rPr>
          <w:b/>
          <w:i/>
          <w:sz w:val="24"/>
          <w:szCs w:val="24"/>
          <w:lang w:val="id-ID"/>
        </w:rPr>
        <w:t xml:space="preserve"> and </w:t>
      </w:r>
      <w:r>
        <w:rPr>
          <w:rFonts w:hint="default"/>
          <w:b/>
          <w:i/>
          <w:sz w:val="24"/>
          <w:szCs w:val="24"/>
          <w:lang w:val="en-US"/>
        </w:rPr>
        <w:t>A</w:t>
      </w:r>
      <w:r>
        <w:rPr>
          <w:b/>
          <w:i/>
          <w:sz w:val="24"/>
          <w:szCs w:val="24"/>
          <w:lang w:val="id-ID"/>
        </w:rPr>
        <w:t>nalysis</w:t>
      </w:r>
      <w:r>
        <w:rPr>
          <w:rFonts w:hint="default"/>
          <w:b/>
          <w:i/>
          <w:sz w:val="24"/>
          <w:szCs w:val="24"/>
          <w:lang w:val="en-US"/>
        </w:rPr>
        <w:t xml:space="preserve"> Techniques</w:t>
      </w:r>
    </w:p>
    <w:p>
      <w:pPr>
        <w:ind w:firstLine="720"/>
        <w:jc w:val="both"/>
        <w:rPr>
          <w:sz w:val="24"/>
          <w:szCs w:val="24"/>
          <w:lang w:val="id-ID"/>
        </w:rPr>
      </w:pPr>
      <w:r>
        <w:rPr>
          <w:sz w:val="24"/>
          <w:szCs w:val="24"/>
          <w:lang w:val="id-ID"/>
        </w:rPr>
        <w:t xml:space="preserve">There are to types of instruments used to collect the data in this research, that is a questionnaire for reading attitude and a test for reading comprehension achievement. </w:t>
      </w:r>
      <w:r>
        <w:rPr>
          <w:sz w:val="24"/>
          <w:szCs w:val="24"/>
        </w:rPr>
        <w:t>In this case, this study used a questionnaire adapted from Sartika (2014), which was originally a revision of Mickulecky's Behavioral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 xml:space="preserve">. </w:t>
      </w:r>
      <w:r>
        <w:rPr>
          <w:sz w:val="24"/>
          <w:szCs w:val="24"/>
        </w:rPr>
        <w:t>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pPr>
        <w:jc w:val="both"/>
        <w:rPr>
          <w:b/>
          <w:sz w:val="24"/>
          <w:szCs w:val="24"/>
          <w:lang w:val="id-ID"/>
        </w:rPr>
      </w:pPr>
    </w:p>
    <w:p>
      <w:pPr>
        <w:jc w:val="both"/>
        <w:rPr>
          <w:b/>
          <w:sz w:val="24"/>
          <w:szCs w:val="24"/>
          <w:lang w:val="id-ID"/>
        </w:rPr>
      </w:pPr>
      <w:r>
        <w:rPr>
          <w:b/>
          <w:sz w:val="24"/>
          <w:szCs w:val="24"/>
          <w:lang w:val="id-ID"/>
        </w:rPr>
        <w:t>FINDINGS AND DISCUSSIONS</w:t>
      </w:r>
    </w:p>
    <w:p>
      <w:pPr>
        <w:jc w:val="both"/>
        <w:rPr>
          <w:b/>
          <w:i/>
          <w:sz w:val="24"/>
          <w:szCs w:val="24"/>
          <w:lang w:val="id-ID"/>
        </w:rPr>
      </w:pPr>
      <w:r>
        <w:rPr>
          <w:b/>
          <w:i/>
          <w:sz w:val="24"/>
          <w:szCs w:val="24"/>
          <w:lang w:val="id-ID"/>
        </w:rPr>
        <w:t>Reading Attitude</w:t>
      </w:r>
    </w:p>
    <w:p>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pPr>
        <w:ind w:firstLine="720"/>
        <w:jc w:val="both"/>
        <w:rPr>
          <w:sz w:val="24"/>
          <w:szCs w:val="24"/>
          <w:lang w:val="id-ID"/>
        </w:rPr>
      </w:pPr>
    </w:p>
    <w:p>
      <w:pPr>
        <w:jc w:val="both"/>
        <w:rPr>
          <w:sz w:val="24"/>
          <w:szCs w:val="24"/>
          <w:lang w:val="id-ID"/>
        </w:rPr>
      </w:pPr>
      <w:r>
        <w:rPr>
          <w:i/>
          <w:iCs/>
          <w:sz w:val="24"/>
          <w:szCs w:val="24"/>
          <w:lang w:val="id-ID"/>
        </w:rPr>
        <w:t>Table 1</w:t>
      </w:r>
      <w:r>
        <w:rPr>
          <w:sz w:val="24"/>
          <w:szCs w:val="24"/>
          <w:lang w:val="id-ID"/>
        </w:rPr>
        <w:t>.  Distribution of Reading Attitude</w:t>
      </w:r>
    </w:p>
    <w:tbl>
      <w:tblPr>
        <w:tblStyle w:val="3"/>
        <w:tblW w:w="8599" w:type="dxa"/>
        <w:tblInd w:w="0" w:type="dxa"/>
        <w:tblLayout w:type="fixed"/>
        <w:tblCellMar>
          <w:top w:w="0" w:type="dxa"/>
          <w:left w:w="108" w:type="dxa"/>
          <w:bottom w:w="0" w:type="dxa"/>
          <w:right w:w="108" w:type="dxa"/>
        </w:tblCellMar>
      </w:tblPr>
      <w:tblGrid>
        <w:gridCol w:w="2717"/>
        <w:gridCol w:w="2708"/>
        <w:gridCol w:w="3174"/>
      </w:tblGrid>
      <w:tr>
        <w:tblPrEx>
          <w:tblCellMar>
            <w:top w:w="0" w:type="dxa"/>
            <w:left w:w="108" w:type="dxa"/>
            <w:bottom w:w="0" w:type="dxa"/>
            <w:right w:w="108" w:type="dxa"/>
          </w:tblCellMar>
        </w:tblPrEx>
        <w:trPr>
          <w:trHeight w:val="405" w:hRule="atLeast"/>
        </w:trPr>
        <w:tc>
          <w:tcPr>
            <w:tcW w:w="2717" w:type="dxa"/>
            <w:tcBorders>
              <w:top w:val="single" w:color="auto" w:sz="4" w:space="0"/>
              <w:bottom w:val="single" w:color="auto" w:sz="4" w:space="0"/>
            </w:tcBorders>
            <w:shd w:val="clear" w:color="auto" w:fill="auto"/>
          </w:tcPr>
          <w:p>
            <w:pPr>
              <w:spacing w:before="125"/>
              <w:ind w:left="813"/>
              <w:rPr>
                <w:b/>
                <w:sz w:val="24"/>
                <w:szCs w:val="24"/>
              </w:rPr>
            </w:pPr>
            <w:r>
              <w:rPr>
                <w:b/>
                <w:sz w:val="24"/>
                <w:szCs w:val="24"/>
              </w:rPr>
              <w:t>Categories</w:t>
            </w:r>
          </w:p>
        </w:tc>
        <w:tc>
          <w:tcPr>
            <w:tcW w:w="2708" w:type="dxa"/>
            <w:tcBorders>
              <w:top w:val="single" w:color="auto" w:sz="4" w:space="0"/>
              <w:bottom w:val="single" w:color="auto" w:sz="4" w:space="0"/>
            </w:tcBorders>
            <w:shd w:val="clear" w:color="auto" w:fill="auto"/>
          </w:tcPr>
          <w:p>
            <w:pPr>
              <w:spacing w:before="125"/>
              <w:ind w:left="12" w:right="3"/>
              <w:jc w:val="center"/>
              <w:rPr>
                <w:b/>
                <w:sz w:val="24"/>
                <w:szCs w:val="24"/>
              </w:rPr>
            </w:pPr>
            <w:r>
              <w:rPr>
                <w:b/>
                <w:sz w:val="24"/>
                <w:szCs w:val="24"/>
              </w:rPr>
              <w:t>Frequency</w:t>
            </w:r>
          </w:p>
        </w:tc>
        <w:tc>
          <w:tcPr>
            <w:tcW w:w="3174" w:type="dxa"/>
            <w:tcBorders>
              <w:top w:val="single" w:color="auto" w:sz="4" w:space="0"/>
              <w:bottom w:val="single" w:color="auto" w:sz="4" w:space="0"/>
            </w:tcBorders>
            <w:shd w:val="clear" w:color="auto" w:fill="auto"/>
          </w:tcPr>
          <w:p>
            <w:pPr>
              <w:spacing w:before="125"/>
              <w:ind w:left="11" w:right="2"/>
              <w:jc w:val="center"/>
              <w:rPr>
                <w:b/>
                <w:sz w:val="24"/>
                <w:szCs w:val="24"/>
              </w:rPr>
            </w:pPr>
            <w:r>
              <w:rPr>
                <w:b/>
                <w:sz w:val="24"/>
                <w:szCs w:val="24"/>
              </w:rPr>
              <w:t>Percentage</w:t>
            </w:r>
          </w:p>
        </w:tc>
      </w:tr>
      <w:tr>
        <w:tblPrEx>
          <w:tblCellMar>
            <w:top w:w="0" w:type="dxa"/>
            <w:left w:w="108" w:type="dxa"/>
            <w:bottom w:w="0" w:type="dxa"/>
            <w:right w:w="108" w:type="dxa"/>
          </w:tblCellMar>
        </w:tblPrEx>
        <w:trPr>
          <w:trHeight w:val="463" w:hRule="atLeast"/>
        </w:trPr>
        <w:tc>
          <w:tcPr>
            <w:tcW w:w="2717" w:type="dxa"/>
            <w:tcBorders>
              <w:top w:val="single" w:color="auto" w:sz="4" w:space="0"/>
            </w:tcBorders>
            <w:shd w:val="clear" w:color="auto" w:fill="auto"/>
          </w:tcPr>
          <w:p>
            <w:pPr>
              <w:spacing w:before="121"/>
              <w:ind w:left="110"/>
              <w:jc w:val="center"/>
              <w:rPr>
                <w:color w:val="000000"/>
                <w:sz w:val="24"/>
                <w:szCs w:val="24"/>
              </w:rPr>
            </w:pPr>
            <w:r>
              <w:rPr>
                <w:color w:val="000000"/>
                <w:sz w:val="24"/>
                <w:szCs w:val="24"/>
              </w:rPr>
              <w:t>Very Negative</w:t>
            </w:r>
          </w:p>
        </w:tc>
        <w:tc>
          <w:tcPr>
            <w:tcW w:w="2708" w:type="dxa"/>
            <w:tcBorders>
              <w:top w:val="single" w:color="auto" w:sz="4" w:space="0"/>
            </w:tcBorders>
            <w:shd w:val="clear" w:color="auto" w:fill="auto"/>
          </w:tcPr>
          <w:p>
            <w:pPr>
              <w:spacing w:before="121"/>
              <w:ind w:left="12"/>
              <w:jc w:val="center"/>
              <w:rPr>
                <w:color w:val="000000"/>
                <w:sz w:val="24"/>
                <w:szCs w:val="24"/>
              </w:rPr>
            </w:pPr>
            <w:r>
              <w:rPr>
                <w:color w:val="000000"/>
                <w:sz w:val="24"/>
                <w:szCs w:val="24"/>
              </w:rPr>
              <w:t>0</w:t>
            </w:r>
          </w:p>
        </w:tc>
        <w:tc>
          <w:tcPr>
            <w:tcW w:w="3174" w:type="dxa"/>
            <w:tcBorders>
              <w:top w:val="single" w:color="auto" w:sz="4" w:space="0"/>
            </w:tcBorders>
            <w:shd w:val="clear" w:color="auto" w:fill="auto"/>
          </w:tcPr>
          <w:p>
            <w:pPr>
              <w:spacing w:before="121"/>
              <w:ind w:left="11" w:right="2"/>
              <w:jc w:val="center"/>
              <w:rPr>
                <w:color w:val="000000"/>
                <w:sz w:val="24"/>
                <w:szCs w:val="24"/>
              </w:rPr>
            </w:pPr>
            <w:r>
              <w:rPr>
                <w:color w:val="000000"/>
                <w:sz w:val="24"/>
                <w:szCs w:val="24"/>
              </w:rPr>
              <w:t>0%</w:t>
            </w:r>
          </w:p>
        </w:tc>
      </w:tr>
      <w:tr>
        <w:tblPrEx>
          <w:tblCellMar>
            <w:top w:w="0" w:type="dxa"/>
            <w:left w:w="108" w:type="dxa"/>
            <w:bottom w:w="0" w:type="dxa"/>
            <w:right w:w="108" w:type="dxa"/>
          </w:tblCellMar>
        </w:tblPrEx>
        <w:trPr>
          <w:trHeight w:val="399" w:hRule="atLeast"/>
        </w:trPr>
        <w:tc>
          <w:tcPr>
            <w:tcW w:w="2717" w:type="dxa"/>
            <w:shd w:val="clear" w:color="auto" w:fill="auto"/>
          </w:tcPr>
          <w:p>
            <w:pPr>
              <w:spacing w:before="56"/>
              <w:ind w:left="110"/>
              <w:jc w:val="center"/>
              <w:rPr>
                <w:color w:val="000000"/>
                <w:sz w:val="24"/>
                <w:szCs w:val="24"/>
              </w:rPr>
            </w:pPr>
            <w:r>
              <w:rPr>
                <w:color w:val="000000"/>
                <w:sz w:val="24"/>
                <w:szCs w:val="24"/>
              </w:rPr>
              <w:t>Negative</w:t>
            </w:r>
          </w:p>
        </w:tc>
        <w:tc>
          <w:tcPr>
            <w:tcW w:w="2708" w:type="dxa"/>
            <w:shd w:val="clear" w:color="auto" w:fill="auto"/>
          </w:tcPr>
          <w:p>
            <w:pPr>
              <w:spacing w:before="56"/>
              <w:ind w:left="12"/>
              <w:jc w:val="center"/>
              <w:rPr>
                <w:color w:val="000000"/>
                <w:sz w:val="24"/>
                <w:szCs w:val="24"/>
              </w:rPr>
            </w:pPr>
            <w:r>
              <w:rPr>
                <w:color w:val="000000"/>
                <w:sz w:val="24"/>
                <w:szCs w:val="24"/>
              </w:rPr>
              <w:t>6</w:t>
            </w:r>
          </w:p>
        </w:tc>
        <w:tc>
          <w:tcPr>
            <w:tcW w:w="3174" w:type="dxa"/>
            <w:shd w:val="clear" w:color="auto" w:fill="auto"/>
          </w:tcPr>
          <w:p>
            <w:pPr>
              <w:spacing w:before="56"/>
              <w:ind w:left="11"/>
              <w:jc w:val="center"/>
              <w:rPr>
                <w:color w:val="000000"/>
                <w:sz w:val="24"/>
                <w:szCs w:val="24"/>
              </w:rPr>
            </w:pPr>
            <w:r>
              <w:rPr>
                <w:color w:val="000000"/>
                <w:sz w:val="24"/>
                <w:szCs w:val="24"/>
              </w:rPr>
              <w:t>6.1%</w:t>
            </w:r>
          </w:p>
        </w:tc>
      </w:tr>
      <w:tr>
        <w:tblPrEx>
          <w:tblCellMar>
            <w:top w:w="0" w:type="dxa"/>
            <w:left w:w="108" w:type="dxa"/>
            <w:bottom w:w="0" w:type="dxa"/>
            <w:right w:w="108" w:type="dxa"/>
          </w:tblCellMar>
        </w:tblPrEx>
        <w:trPr>
          <w:trHeight w:val="400" w:hRule="atLeast"/>
        </w:trPr>
        <w:tc>
          <w:tcPr>
            <w:tcW w:w="2717" w:type="dxa"/>
            <w:shd w:val="clear" w:color="auto" w:fill="auto"/>
          </w:tcPr>
          <w:p>
            <w:pPr>
              <w:spacing w:before="57"/>
              <w:ind w:left="110"/>
              <w:jc w:val="center"/>
              <w:rPr>
                <w:color w:val="000000"/>
                <w:sz w:val="24"/>
                <w:szCs w:val="24"/>
              </w:rPr>
            </w:pPr>
            <w:r>
              <w:rPr>
                <w:color w:val="000000"/>
                <w:sz w:val="24"/>
                <w:szCs w:val="24"/>
              </w:rPr>
              <w:t>Positive</w:t>
            </w:r>
          </w:p>
        </w:tc>
        <w:tc>
          <w:tcPr>
            <w:tcW w:w="2708" w:type="dxa"/>
            <w:shd w:val="clear" w:color="auto" w:fill="auto"/>
          </w:tcPr>
          <w:p>
            <w:pPr>
              <w:spacing w:before="57"/>
              <w:ind w:left="12"/>
              <w:jc w:val="center"/>
              <w:rPr>
                <w:color w:val="000000"/>
                <w:sz w:val="24"/>
                <w:szCs w:val="24"/>
              </w:rPr>
            </w:pPr>
            <w:r>
              <w:rPr>
                <w:color w:val="000000"/>
                <w:sz w:val="24"/>
                <w:szCs w:val="24"/>
              </w:rPr>
              <w:t>89</w:t>
            </w:r>
          </w:p>
        </w:tc>
        <w:tc>
          <w:tcPr>
            <w:tcW w:w="3174" w:type="dxa"/>
            <w:shd w:val="clear" w:color="auto" w:fill="auto"/>
          </w:tcPr>
          <w:p>
            <w:pPr>
              <w:spacing w:before="57"/>
              <w:ind w:left="11"/>
              <w:jc w:val="center"/>
              <w:rPr>
                <w:color w:val="000000"/>
                <w:sz w:val="24"/>
                <w:szCs w:val="24"/>
              </w:rPr>
            </w:pPr>
            <w:r>
              <w:rPr>
                <w:color w:val="000000"/>
                <w:sz w:val="24"/>
                <w:szCs w:val="24"/>
              </w:rPr>
              <w:t>90.8%</w:t>
            </w:r>
          </w:p>
        </w:tc>
      </w:tr>
      <w:tr>
        <w:tblPrEx>
          <w:tblCellMar>
            <w:top w:w="0" w:type="dxa"/>
            <w:left w:w="108" w:type="dxa"/>
            <w:bottom w:w="0" w:type="dxa"/>
            <w:right w:w="108" w:type="dxa"/>
          </w:tblCellMar>
        </w:tblPrEx>
        <w:trPr>
          <w:trHeight w:val="399" w:hRule="atLeast"/>
        </w:trPr>
        <w:tc>
          <w:tcPr>
            <w:tcW w:w="2717" w:type="dxa"/>
            <w:shd w:val="clear" w:color="auto" w:fill="auto"/>
          </w:tcPr>
          <w:p>
            <w:pPr>
              <w:spacing w:before="57"/>
              <w:ind w:left="110"/>
              <w:jc w:val="center"/>
              <w:rPr>
                <w:color w:val="000000"/>
                <w:sz w:val="24"/>
                <w:szCs w:val="24"/>
              </w:rPr>
            </w:pPr>
            <w:r>
              <w:rPr>
                <w:color w:val="000000"/>
                <w:sz w:val="24"/>
                <w:szCs w:val="24"/>
              </w:rPr>
              <w:t>Very Positive</w:t>
            </w:r>
          </w:p>
        </w:tc>
        <w:tc>
          <w:tcPr>
            <w:tcW w:w="2708" w:type="dxa"/>
            <w:shd w:val="clear" w:color="auto" w:fill="auto"/>
          </w:tcPr>
          <w:p>
            <w:pPr>
              <w:spacing w:before="57"/>
              <w:ind w:left="12"/>
              <w:jc w:val="center"/>
              <w:rPr>
                <w:color w:val="000000"/>
                <w:sz w:val="24"/>
                <w:szCs w:val="24"/>
              </w:rPr>
            </w:pPr>
            <w:r>
              <w:rPr>
                <w:color w:val="000000"/>
                <w:sz w:val="24"/>
                <w:szCs w:val="24"/>
              </w:rPr>
              <w:t>3</w:t>
            </w:r>
          </w:p>
        </w:tc>
        <w:tc>
          <w:tcPr>
            <w:tcW w:w="3174" w:type="dxa"/>
            <w:shd w:val="clear" w:color="auto" w:fill="auto"/>
          </w:tcPr>
          <w:p>
            <w:pPr>
              <w:spacing w:before="57"/>
              <w:ind w:left="11"/>
              <w:jc w:val="center"/>
              <w:rPr>
                <w:color w:val="000000"/>
                <w:sz w:val="24"/>
                <w:szCs w:val="24"/>
              </w:rPr>
            </w:pPr>
            <w:r>
              <w:rPr>
                <w:color w:val="000000"/>
                <w:sz w:val="24"/>
                <w:szCs w:val="24"/>
              </w:rPr>
              <w:t>3.1%</w:t>
            </w:r>
          </w:p>
        </w:tc>
      </w:tr>
      <w:tr>
        <w:tblPrEx>
          <w:tblCellMar>
            <w:top w:w="0" w:type="dxa"/>
            <w:left w:w="108" w:type="dxa"/>
            <w:bottom w:w="0" w:type="dxa"/>
            <w:right w:w="108" w:type="dxa"/>
          </w:tblCellMar>
        </w:tblPrEx>
        <w:trPr>
          <w:trHeight w:val="332" w:hRule="atLeast"/>
        </w:trPr>
        <w:tc>
          <w:tcPr>
            <w:tcW w:w="2717" w:type="dxa"/>
            <w:tcBorders>
              <w:bottom w:val="single" w:color="auto" w:sz="4" w:space="0"/>
            </w:tcBorders>
            <w:shd w:val="clear" w:color="auto" w:fill="auto"/>
          </w:tcPr>
          <w:p>
            <w:pPr>
              <w:spacing w:before="56"/>
              <w:ind w:left="3"/>
              <w:jc w:val="center"/>
              <w:rPr>
                <w:b/>
                <w:color w:val="000000"/>
                <w:sz w:val="24"/>
                <w:szCs w:val="24"/>
              </w:rPr>
            </w:pPr>
            <w:r>
              <w:rPr>
                <w:b/>
                <w:color w:val="000000"/>
                <w:sz w:val="24"/>
                <w:szCs w:val="24"/>
              </w:rPr>
              <w:t>Total</w:t>
            </w:r>
          </w:p>
        </w:tc>
        <w:tc>
          <w:tcPr>
            <w:tcW w:w="2708" w:type="dxa"/>
            <w:tcBorders>
              <w:bottom w:val="single" w:color="auto" w:sz="4" w:space="0"/>
            </w:tcBorders>
            <w:shd w:val="clear" w:color="auto" w:fill="auto"/>
          </w:tcPr>
          <w:p>
            <w:pPr>
              <w:spacing w:before="56"/>
              <w:ind w:left="12"/>
              <w:jc w:val="center"/>
              <w:rPr>
                <w:color w:val="000000"/>
                <w:sz w:val="24"/>
                <w:szCs w:val="24"/>
              </w:rPr>
            </w:pPr>
            <w:r>
              <w:rPr>
                <w:color w:val="000000"/>
                <w:sz w:val="24"/>
                <w:szCs w:val="24"/>
              </w:rPr>
              <w:t>98</w:t>
            </w:r>
          </w:p>
        </w:tc>
        <w:tc>
          <w:tcPr>
            <w:tcW w:w="3174" w:type="dxa"/>
            <w:tcBorders>
              <w:bottom w:val="single" w:color="auto" w:sz="4" w:space="0"/>
            </w:tcBorders>
            <w:shd w:val="clear" w:color="auto" w:fill="auto"/>
          </w:tcPr>
          <w:p>
            <w:pPr>
              <w:spacing w:before="56"/>
              <w:ind w:left="11" w:right="2"/>
              <w:jc w:val="center"/>
              <w:rPr>
                <w:color w:val="000000"/>
                <w:sz w:val="24"/>
                <w:szCs w:val="24"/>
              </w:rPr>
            </w:pPr>
            <w:r>
              <w:rPr>
                <w:color w:val="000000"/>
                <w:sz w:val="24"/>
                <w:szCs w:val="24"/>
              </w:rPr>
              <w:t>100%</w:t>
            </w:r>
          </w:p>
        </w:tc>
      </w:tr>
    </w:tbl>
    <w:p>
      <w:pPr>
        <w:jc w:val="center"/>
        <w:rPr>
          <w:sz w:val="24"/>
          <w:szCs w:val="24"/>
          <w:lang w:val="id-ID"/>
        </w:rPr>
      </w:pPr>
    </w:p>
    <w:p>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pPr>
        <w:rPr>
          <w:sz w:val="24"/>
          <w:szCs w:val="24"/>
          <w:lang w:val="id-ID"/>
        </w:rPr>
      </w:pPr>
    </w:p>
    <w:p>
      <w:pPr>
        <w:jc w:val="both"/>
        <w:rPr>
          <w:sz w:val="24"/>
          <w:szCs w:val="24"/>
          <w:lang w:val="id-ID"/>
        </w:rPr>
      </w:pPr>
      <w:r>
        <w:rPr>
          <w:sz w:val="24"/>
          <w:szCs w:val="24"/>
          <w:lang w:val="id-ID"/>
        </w:rPr>
        <w:t>Table 2. Descriptive Statistic of Reading Attitude</w:t>
      </w:r>
    </w:p>
    <w:p>
      <w:pPr>
        <w:ind w:firstLine="720"/>
        <w:jc w:val="both"/>
        <w:rPr>
          <w:sz w:val="24"/>
          <w:szCs w:val="24"/>
          <w:lang w:val="id-ID"/>
        </w:rPr>
      </w:pPr>
    </w:p>
    <w:tbl>
      <w:tblPr>
        <w:tblStyle w:val="3"/>
        <w:tblW w:w="8569" w:type="dxa"/>
        <w:tblInd w:w="0" w:type="dxa"/>
        <w:tblLayout w:type="fixed"/>
        <w:tblCellMar>
          <w:top w:w="0" w:type="dxa"/>
          <w:left w:w="108" w:type="dxa"/>
          <w:bottom w:w="0" w:type="dxa"/>
          <w:right w:w="108" w:type="dxa"/>
        </w:tblCellMar>
      </w:tblPr>
      <w:tblGrid>
        <w:gridCol w:w="1905"/>
        <w:gridCol w:w="1143"/>
        <w:gridCol w:w="1198"/>
        <w:gridCol w:w="1232"/>
        <w:gridCol w:w="1146"/>
        <w:gridCol w:w="1945"/>
      </w:tblGrid>
      <w:tr>
        <w:tblPrEx>
          <w:tblCellMar>
            <w:top w:w="0" w:type="dxa"/>
            <w:left w:w="108" w:type="dxa"/>
            <w:bottom w:w="0" w:type="dxa"/>
            <w:right w:w="108" w:type="dxa"/>
          </w:tblCellMar>
        </w:tblPrEx>
        <w:trPr>
          <w:trHeight w:val="512" w:hRule="atLeast"/>
        </w:trPr>
        <w:tc>
          <w:tcPr>
            <w:tcW w:w="3048" w:type="dxa"/>
            <w:gridSpan w:val="2"/>
            <w:tcBorders>
              <w:top w:val="single" w:color="auto" w:sz="4" w:space="0"/>
              <w:bottom w:val="single" w:color="auto" w:sz="4" w:space="0"/>
            </w:tcBorders>
            <w:shd w:val="clear" w:color="auto" w:fill="auto"/>
          </w:tcPr>
          <w:p>
            <w:pPr>
              <w:spacing w:before="89"/>
              <w:ind w:right="435"/>
              <w:jc w:val="right"/>
              <w:rPr>
                <w:color w:val="000000"/>
                <w:sz w:val="24"/>
                <w:szCs w:val="24"/>
              </w:rPr>
            </w:pPr>
            <w:r>
              <w:rPr>
                <w:color w:val="000000"/>
                <w:sz w:val="24"/>
                <w:szCs w:val="24"/>
              </w:rPr>
              <w:t>N</w:t>
            </w:r>
          </w:p>
        </w:tc>
        <w:tc>
          <w:tcPr>
            <w:tcW w:w="1198" w:type="dxa"/>
            <w:tcBorders>
              <w:top w:val="single" w:color="auto" w:sz="4" w:space="0"/>
              <w:bottom w:val="single" w:color="auto" w:sz="4" w:space="0"/>
            </w:tcBorders>
            <w:shd w:val="clear" w:color="auto" w:fill="auto"/>
          </w:tcPr>
          <w:p>
            <w:pPr>
              <w:spacing w:before="89"/>
              <w:jc w:val="center"/>
              <w:rPr>
                <w:color w:val="000000"/>
                <w:sz w:val="24"/>
                <w:szCs w:val="24"/>
              </w:rPr>
            </w:pPr>
            <w:r>
              <w:rPr>
                <w:color w:val="000000"/>
                <w:sz w:val="24"/>
                <w:szCs w:val="24"/>
              </w:rPr>
              <w:t>Minimum</w:t>
            </w:r>
          </w:p>
        </w:tc>
        <w:tc>
          <w:tcPr>
            <w:tcW w:w="1232" w:type="dxa"/>
            <w:tcBorders>
              <w:top w:val="single" w:color="auto" w:sz="4" w:space="0"/>
              <w:bottom w:val="single" w:color="auto" w:sz="4" w:space="0"/>
            </w:tcBorders>
            <w:shd w:val="clear" w:color="auto" w:fill="auto"/>
          </w:tcPr>
          <w:p>
            <w:pPr>
              <w:spacing w:before="89"/>
              <w:jc w:val="center"/>
              <w:rPr>
                <w:color w:val="000000"/>
                <w:sz w:val="24"/>
                <w:szCs w:val="24"/>
              </w:rPr>
            </w:pPr>
            <w:r>
              <w:rPr>
                <w:color w:val="000000"/>
                <w:sz w:val="24"/>
                <w:szCs w:val="24"/>
              </w:rPr>
              <w:t>Maximum</w:t>
            </w:r>
          </w:p>
        </w:tc>
        <w:tc>
          <w:tcPr>
            <w:tcW w:w="1146" w:type="dxa"/>
            <w:tcBorders>
              <w:top w:val="single" w:color="auto" w:sz="4" w:space="0"/>
              <w:bottom w:val="single" w:color="auto" w:sz="4" w:space="0"/>
            </w:tcBorders>
            <w:shd w:val="clear" w:color="auto" w:fill="auto"/>
          </w:tcPr>
          <w:p>
            <w:pPr>
              <w:spacing w:before="89"/>
              <w:jc w:val="center"/>
              <w:rPr>
                <w:color w:val="000000"/>
                <w:sz w:val="24"/>
                <w:szCs w:val="24"/>
              </w:rPr>
            </w:pPr>
            <w:r>
              <w:rPr>
                <w:color w:val="000000"/>
                <w:sz w:val="24"/>
                <w:szCs w:val="24"/>
              </w:rPr>
              <w:t>Mean</w:t>
            </w:r>
          </w:p>
        </w:tc>
        <w:tc>
          <w:tcPr>
            <w:tcW w:w="1945" w:type="dxa"/>
            <w:tcBorders>
              <w:top w:val="single" w:color="auto" w:sz="4" w:space="0"/>
              <w:bottom w:val="single" w:color="auto" w:sz="4" w:space="0"/>
            </w:tcBorders>
            <w:shd w:val="clear" w:color="auto" w:fill="auto"/>
          </w:tcPr>
          <w:p>
            <w:pPr>
              <w:spacing w:before="89"/>
              <w:rPr>
                <w:color w:val="000000"/>
                <w:sz w:val="24"/>
                <w:szCs w:val="24"/>
              </w:rPr>
            </w:pPr>
            <w:r>
              <w:rPr>
                <w:color w:val="000000"/>
                <w:sz w:val="24"/>
                <w:szCs w:val="24"/>
              </w:rPr>
              <w:t>Std. Deviation</w:t>
            </w:r>
          </w:p>
        </w:tc>
      </w:tr>
      <w:tr>
        <w:tblPrEx>
          <w:tblCellMar>
            <w:top w:w="0" w:type="dxa"/>
            <w:left w:w="108" w:type="dxa"/>
            <w:bottom w:w="0" w:type="dxa"/>
            <w:right w:w="108" w:type="dxa"/>
          </w:tblCellMar>
        </w:tblPrEx>
        <w:trPr>
          <w:trHeight w:val="513" w:hRule="atLeast"/>
        </w:trPr>
        <w:tc>
          <w:tcPr>
            <w:tcW w:w="1905" w:type="dxa"/>
            <w:tcBorders>
              <w:top w:val="single" w:color="auto" w:sz="4" w:space="0"/>
            </w:tcBorders>
            <w:shd w:val="clear" w:color="auto" w:fill="auto"/>
          </w:tcPr>
          <w:p>
            <w:pPr>
              <w:spacing w:before="91"/>
              <w:ind w:left="62"/>
              <w:rPr>
                <w:color w:val="000000"/>
                <w:sz w:val="24"/>
                <w:szCs w:val="24"/>
              </w:rPr>
            </w:pPr>
            <w:r>
              <w:rPr>
                <w:color w:val="000000"/>
                <w:sz w:val="24"/>
                <w:szCs w:val="24"/>
              </w:rPr>
              <w:t>RAQ</w:t>
            </w:r>
          </w:p>
        </w:tc>
        <w:tc>
          <w:tcPr>
            <w:tcW w:w="1143" w:type="dxa"/>
            <w:tcBorders>
              <w:top w:val="single" w:color="auto" w:sz="4" w:space="0"/>
            </w:tcBorders>
            <w:shd w:val="clear" w:color="auto" w:fill="auto"/>
          </w:tcPr>
          <w:p>
            <w:pPr>
              <w:spacing w:before="91"/>
              <w:ind w:right="57"/>
              <w:jc w:val="right"/>
              <w:rPr>
                <w:color w:val="000000"/>
                <w:sz w:val="24"/>
                <w:szCs w:val="24"/>
              </w:rPr>
            </w:pPr>
            <w:r>
              <w:rPr>
                <w:color w:val="000000"/>
                <w:sz w:val="24"/>
                <w:szCs w:val="24"/>
              </w:rPr>
              <w:t>98</w:t>
            </w:r>
          </w:p>
        </w:tc>
        <w:tc>
          <w:tcPr>
            <w:tcW w:w="1198" w:type="dxa"/>
            <w:tcBorders>
              <w:top w:val="single" w:color="auto" w:sz="4" w:space="0"/>
            </w:tcBorders>
            <w:shd w:val="clear" w:color="auto" w:fill="auto"/>
          </w:tcPr>
          <w:p>
            <w:pPr>
              <w:spacing w:before="91"/>
              <w:ind w:right="58"/>
              <w:jc w:val="right"/>
              <w:rPr>
                <w:sz w:val="24"/>
                <w:szCs w:val="24"/>
              </w:rPr>
            </w:pPr>
            <w:r>
              <w:rPr>
                <w:sz w:val="24"/>
                <w:szCs w:val="24"/>
              </w:rPr>
              <w:t>45</w:t>
            </w:r>
          </w:p>
        </w:tc>
        <w:tc>
          <w:tcPr>
            <w:tcW w:w="1232" w:type="dxa"/>
            <w:tcBorders>
              <w:top w:val="single" w:color="auto" w:sz="4" w:space="0"/>
            </w:tcBorders>
            <w:shd w:val="clear" w:color="auto" w:fill="auto"/>
          </w:tcPr>
          <w:p>
            <w:pPr>
              <w:spacing w:before="91"/>
              <w:ind w:right="58"/>
              <w:jc w:val="right"/>
              <w:rPr>
                <w:sz w:val="24"/>
                <w:szCs w:val="24"/>
              </w:rPr>
            </w:pPr>
            <w:r>
              <w:rPr>
                <w:sz w:val="24"/>
                <w:szCs w:val="24"/>
              </w:rPr>
              <w:t>89</w:t>
            </w:r>
          </w:p>
        </w:tc>
        <w:tc>
          <w:tcPr>
            <w:tcW w:w="1146" w:type="dxa"/>
            <w:tcBorders>
              <w:top w:val="single" w:color="auto" w:sz="4" w:space="0"/>
            </w:tcBorders>
            <w:shd w:val="clear" w:color="auto" w:fill="auto"/>
          </w:tcPr>
          <w:p>
            <w:pPr>
              <w:spacing w:before="91"/>
              <w:jc w:val="right"/>
              <w:rPr>
                <w:sz w:val="24"/>
                <w:szCs w:val="24"/>
              </w:rPr>
            </w:pPr>
            <w:r>
              <w:rPr>
                <w:sz w:val="24"/>
                <w:szCs w:val="24"/>
              </w:rPr>
              <w:t>70.96</w:t>
            </w:r>
          </w:p>
        </w:tc>
        <w:tc>
          <w:tcPr>
            <w:tcW w:w="1945" w:type="dxa"/>
            <w:tcBorders>
              <w:top w:val="single" w:color="auto" w:sz="4" w:space="0"/>
            </w:tcBorders>
            <w:shd w:val="clear" w:color="auto" w:fill="auto"/>
          </w:tcPr>
          <w:p>
            <w:pPr>
              <w:spacing w:before="91"/>
              <w:jc w:val="right"/>
              <w:rPr>
                <w:sz w:val="24"/>
                <w:szCs w:val="24"/>
              </w:rPr>
            </w:pPr>
            <w:r>
              <w:rPr>
                <w:sz w:val="24"/>
                <w:szCs w:val="24"/>
              </w:rPr>
              <w:t>8.135</w:t>
            </w:r>
          </w:p>
        </w:tc>
      </w:tr>
      <w:tr>
        <w:tblPrEx>
          <w:tblCellMar>
            <w:top w:w="0" w:type="dxa"/>
            <w:left w:w="108" w:type="dxa"/>
            <w:bottom w:w="0" w:type="dxa"/>
            <w:right w:w="108" w:type="dxa"/>
          </w:tblCellMar>
        </w:tblPrEx>
        <w:trPr>
          <w:trHeight w:val="513" w:hRule="atLeast"/>
        </w:trPr>
        <w:tc>
          <w:tcPr>
            <w:tcW w:w="1905" w:type="dxa"/>
            <w:tcBorders>
              <w:bottom w:val="single" w:color="auto" w:sz="4" w:space="0"/>
            </w:tcBorders>
            <w:shd w:val="clear" w:color="auto" w:fill="auto"/>
          </w:tcPr>
          <w:p>
            <w:pPr>
              <w:spacing w:before="90"/>
              <w:ind w:left="62"/>
              <w:rPr>
                <w:color w:val="000000"/>
                <w:sz w:val="24"/>
                <w:szCs w:val="24"/>
              </w:rPr>
            </w:pPr>
            <w:r>
              <w:rPr>
                <w:color w:val="000000"/>
                <w:sz w:val="24"/>
                <w:szCs w:val="24"/>
              </w:rPr>
              <w:t>Valid N (listwise)</w:t>
            </w:r>
          </w:p>
        </w:tc>
        <w:tc>
          <w:tcPr>
            <w:tcW w:w="1143" w:type="dxa"/>
            <w:tcBorders>
              <w:bottom w:val="single" w:color="auto" w:sz="4" w:space="0"/>
            </w:tcBorders>
            <w:shd w:val="clear" w:color="auto" w:fill="auto"/>
          </w:tcPr>
          <w:p>
            <w:pPr>
              <w:spacing w:before="90"/>
              <w:ind w:right="57"/>
              <w:jc w:val="right"/>
              <w:rPr>
                <w:color w:val="000000"/>
                <w:sz w:val="24"/>
                <w:szCs w:val="24"/>
              </w:rPr>
            </w:pPr>
            <w:r>
              <w:rPr>
                <w:color w:val="000000"/>
                <w:sz w:val="24"/>
                <w:szCs w:val="24"/>
              </w:rPr>
              <w:t>98</w:t>
            </w:r>
          </w:p>
        </w:tc>
        <w:tc>
          <w:tcPr>
            <w:tcW w:w="1198" w:type="dxa"/>
            <w:tcBorders>
              <w:bottom w:val="single" w:color="auto" w:sz="4" w:space="0"/>
            </w:tcBorders>
            <w:shd w:val="clear" w:color="auto" w:fill="auto"/>
          </w:tcPr>
          <w:p>
            <w:pPr>
              <w:rPr>
                <w:color w:val="000000"/>
                <w:sz w:val="24"/>
                <w:szCs w:val="24"/>
              </w:rPr>
            </w:pPr>
          </w:p>
        </w:tc>
        <w:tc>
          <w:tcPr>
            <w:tcW w:w="1232" w:type="dxa"/>
            <w:tcBorders>
              <w:bottom w:val="single" w:color="auto" w:sz="4" w:space="0"/>
            </w:tcBorders>
            <w:shd w:val="clear" w:color="auto" w:fill="auto"/>
          </w:tcPr>
          <w:p>
            <w:pPr>
              <w:rPr>
                <w:color w:val="000000"/>
                <w:sz w:val="24"/>
                <w:szCs w:val="24"/>
              </w:rPr>
            </w:pPr>
          </w:p>
        </w:tc>
        <w:tc>
          <w:tcPr>
            <w:tcW w:w="1146" w:type="dxa"/>
            <w:tcBorders>
              <w:bottom w:val="single" w:color="auto" w:sz="4" w:space="0"/>
            </w:tcBorders>
            <w:shd w:val="clear" w:color="auto" w:fill="auto"/>
          </w:tcPr>
          <w:p>
            <w:pPr>
              <w:rPr>
                <w:color w:val="000000"/>
                <w:sz w:val="24"/>
                <w:szCs w:val="24"/>
              </w:rPr>
            </w:pPr>
          </w:p>
        </w:tc>
        <w:tc>
          <w:tcPr>
            <w:tcW w:w="1945" w:type="dxa"/>
            <w:tcBorders>
              <w:bottom w:val="single" w:color="auto" w:sz="4" w:space="0"/>
            </w:tcBorders>
            <w:shd w:val="clear" w:color="auto" w:fill="auto"/>
          </w:tcPr>
          <w:p>
            <w:pPr>
              <w:rPr>
                <w:color w:val="000000"/>
                <w:sz w:val="24"/>
                <w:szCs w:val="24"/>
              </w:rPr>
            </w:pPr>
          </w:p>
        </w:tc>
      </w:tr>
    </w:tbl>
    <w:p>
      <w:pPr>
        <w:ind w:firstLine="720"/>
        <w:jc w:val="both"/>
        <w:rPr>
          <w:color w:val="000000"/>
          <w:sz w:val="24"/>
          <w:szCs w:val="24"/>
          <w:lang w:val="id-ID"/>
        </w:rPr>
      </w:pPr>
    </w:p>
    <w:p>
      <w:pPr>
        <w:ind w:firstLine="720"/>
        <w:jc w:val="both"/>
        <w:rPr>
          <w:color w:val="000000"/>
          <w:sz w:val="24"/>
          <w:szCs w:val="24"/>
          <w:lang w:val="id-ID"/>
        </w:rPr>
      </w:pPr>
      <w:r>
        <w:rPr>
          <w:color w:val="000000"/>
          <w:sz w:val="24"/>
          <w:szCs w:val="24"/>
        </w:rPr>
        <w:t>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shown</w:t>
      </w:r>
      <w:r>
        <w:rPr>
          <w:color w:val="000000"/>
          <w:sz w:val="24"/>
          <w:szCs w:val="24"/>
          <w:lang w:val="id-ID"/>
        </w:rPr>
        <w:t xml:space="preserve"> above.</w:t>
      </w:r>
    </w:p>
    <w:p>
      <w:pPr>
        <w:jc w:val="both"/>
        <w:rPr>
          <w:color w:val="000000"/>
          <w:sz w:val="24"/>
          <w:szCs w:val="24"/>
          <w:lang w:val="id-ID"/>
        </w:rPr>
      </w:pPr>
    </w:p>
    <w:p>
      <w:pPr>
        <w:jc w:val="both"/>
        <w:rPr>
          <w:b/>
          <w:i/>
          <w:color w:val="000000"/>
          <w:sz w:val="24"/>
          <w:szCs w:val="24"/>
          <w:lang w:val="id-ID"/>
        </w:rPr>
      </w:pPr>
      <w:r>
        <w:rPr>
          <w:b/>
          <w:i/>
          <w:color w:val="000000"/>
          <w:sz w:val="24"/>
          <w:szCs w:val="24"/>
          <w:lang w:val="id-ID"/>
        </w:rPr>
        <w:t>Reading comprehension achievement</w:t>
      </w:r>
    </w:p>
    <w:p>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pPr>
        <w:jc w:val="both"/>
        <w:rPr>
          <w:color w:val="000000"/>
          <w:sz w:val="24"/>
          <w:szCs w:val="24"/>
          <w:lang w:val="id-ID"/>
        </w:rPr>
      </w:pPr>
    </w:p>
    <w:p>
      <w:pPr>
        <w:rPr>
          <w:color w:val="000000"/>
          <w:sz w:val="24"/>
          <w:szCs w:val="24"/>
          <w:lang w:val="id-ID"/>
        </w:rPr>
      </w:pPr>
      <w:r>
        <w:rPr>
          <w:i/>
          <w:iCs/>
          <w:color w:val="000000"/>
          <w:sz w:val="24"/>
          <w:szCs w:val="24"/>
          <w:lang w:val="id-ID"/>
        </w:rPr>
        <w:t>Table 3</w:t>
      </w:r>
      <w:r>
        <w:rPr>
          <w:color w:val="000000"/>
          <w:sz w:val="24"/>
          <w:szCs w:val="24"/>
          <w:lang w:val="id-ID"/>
        </w:rPr>
        <w:t>. Distribution of Reading Comprehension Achievement</w:t>
      </w:r>
    </w:p>
    <w:p>
      <w:pPr>
        <w:jc w:val="both"/>
        <w:rPr>
          <w:color w:val="000000"/>
          <w:sz w:val="24"/>
          <w:szCs w:val="24"/>
          <w:lang w:val="id-ID"/>
        </w:rPr>
      </w:pPr>
    </w:p>
    <w:tbl>
      <w:tblPr>
        <w:tblStyle w:val="3"/>
        <w:tblW w:w="8644" w:type="dxa"/>
        <w:tblInd w:w="0" w:type="dxa"/>
        <w:tblLayout w:type="fixed"/>
        <w:tblCellMar>
          <w:top w:w="0" w:type="dxa"/>
          <w:left w:w="108" w:type="dxa"/>
          <w:bottom w:w="0" w:type="dxa"/>
          <w:right w:w="108" w:type="dxa"/>
        </w:tblCellMar>
      </w:tblPr>
      <w:tblGrid>
        <w:gridCol w:w="2017"/>
        <w:gridCol w:w="3192"/>
        <w:gridCol w:w="3435"/>
      </w:tblGrid>
      <w:tr>
        <w:tblPrEx>
          <w:tblCellMar>
            <w:top w:w="0" w:type="dxa"/>
            <w:left w:w="108" w:type="dxa"/>
            <w:bottom w:w="0" w:type="dxa"/>
            <w:right w:w="108" w:type="dxa"/>
          </w:tblCellMar>
        </w:tblPrEx>
        <w:trPr>
          <w:trHeight w:val="280" w:hRule="atLeast"/>
        </w:trPr>
        <w:tc>
          <w:tcPr>
            <w:tcW w:w="2017" w:type="dxa"/>
            <w:tcBorders>
              <w:top w:val="single" w:color="auto" w:sz="4" w:space="0"/>
              <w:bottom w:val="single" w:color="auto" w:sz="4" w:space="0"/>
            </w:tcBorders>
            <w:shd w:val="clear" w:color="auto" w:fill="auto"/>
          </w:tcPr>
          <w:p>
            <w:pPr>
              <w:spacing w:before="2" w:line="258" w:lineRule="auto"/>
              <w:ind w:right="110"/>
              <w:jc w:val="center"/>
              <w:rPr>
                <w:b/>
                <w:sz w:val="24"/>
                <w:szCs w:val="24"/>
              </w:rPr>
            </w:pPr>
            <w:r>
              <w:rPr>
                <w:b/>
                <w:sz w:val="24"/>
                <w:szCs w:val="24"/>
              </w:rPr>
              <w:t>Categories</w:t>
            </w:r>
          </w:p>
        </w:tc>
        <w:tc>
          <w:tcPr>
            <w:tcW w:w="3192" w:type="dxa"/>
            <w:tcBorders>
              <w:top w:val="single" w:color="auto" w:sz="4" w:space="0"/>
              <w:bottom w:val="single" w:color="auto" w:sz="4" w:space="0"/>
            </w:tcBorders>
            <w:shd w:val="clear" w:color="auto" w:fill="auto"/>
          </w:tcPr>
          <w:p>
            <w:pPr>
              <w:spacing w:before="2" w:line="258" w:lineRule="auto"/>
              <w:ind w:right="52"/>
              <w:jc w:val="center"/>
              <w:rPr>
                <w:b/>
                <w:sz w:val="24"/>
                <w:szCs w:val="24"/>
              </w:rPr>
            </w:pPr>
            <w:r>
              <w:rPr>
                <w:b/>
                <w:sz w:val="24"/>
                <w:szCs w:val="24"/>
              </w:rPr>
              <w:t>Frequency</w:t>
            </w:r>
          </w:p>
        </w:tc>
        <w:tc>
          <w:tcPr>
            <w:tcW w:w="3435" w:type="dxa"/>
            <w:tcBorders>
              <w:top w:val="single" w:color="auto" w:sz="4" w:space="0"/>
              <w:bottom w:val="single" w:color="auto" w:sz="4" w:space="0"/>
            </w:tcBorders>
            <w:shd w:val="clear" w:color="auto" w:fill="auto"/>
          </w:tcPr>
          <w:p>
            <w:pPr>
              <w:spacing w:before="2" w:line="258" w:lineRule="auto"/>
              <w:jc w:val="center"/>
              <w:rPr>
                <w:b/>
                <w:sz w:val="24"/>
                <w:szCs w:val="24"/>
              </w:rPr>
            </w:pPr>
            <w:r>
              <w:rPr>
                <w:b/>
                <w:sz w:val="24"/>
                <w:szCs w:val="24"/>
              </w:rPr>
              <w:t>Percentage</w:t>
            </w:r>
          </w:p>
        </w:tc>
      </w:tr>
      <w:tr>
        <w:tblPrEx>
          <w:tblCellMar>
            <w:top w:w="0" w:type="dxa"/>
            <w:left w:w="108" w:type="dxa"/>
            <w:bottom w:w="0" w:type="dxa"/>
            <w:right w:w="108" w:type="dxa"/>
          </w:tblCellMar>
        </w:tblPrEx>
        <w:trPr>
          <w:trHeight w:val="279" w:hRule="atLeast"/>
        </w:trPr>
        <w:tc>
          <w:tcPr>
            <w:tcW w:w="2017" w:type="dxa"/>
            <w:tcBorders>
              <w:top w:val="single" w:color="auto" w:sz="4" w:space="0"/>
            </w:tcBorders>
            <w:shd w:val="clear" w:color="auto" w:fill="auto"/>
          </w:tcPr>
          <w:p>
            <w:pPr>
              <w:spacing w:line="259" w:lineRule="auto"/>
              <w:jc w:val="center"/>
              <w:rPr>
                <w:color w:val="000000"/>
                <w:sz w:val="24"/>
                <w:szCs w:val="24"/>
              </w:rPr>
            </w:pPr>
            <w:r>
              <w:rPr>
                <w:color w:val="000000"/>
                <w:sz w:val="24"/>
                <w:szCs w:val="24"/>
              </w:rPr>
              <w:t>Excellent</w:t>
            </w:r>
          </w:p>
        </w:tc>
        <w:tc>
          <w:tcPr>
            <w:tcW w:w="3192" w:type="dxa"/>
            <w:tcBorders>
              <w:top w:val="single" w:color="auto" w:sz="4" w:space="0"/>
            </w:tcBorders>
            <w:shd w:val="clear" w:color="auto" w:fill="auto"/>
          </w:tcPr>
          <w:p>
            <w:pPr>
              <w:spacing w:line="259" w:lineRule="auto"/>
              <w:ind w:right="536"/>
              <w:jc w:val="center"/>
              <w:rPr>
                <w:color w:val="000000"/>
                <w:sz w:val="24"/>
                <w:szCs w:val="24"/>
              </w:rPr>
            </w:pPr>
            <w:r>
              <w:rPr>
                <w:color w:val="000000"/>
                <w:sz w:val="24"/>
                <w:szCs w:val="24"/>
              </w:rPr>
              <w:t>5</w:t>
            </w:r>
          </w:p>
        </w:tc>
        <w:tc>
          <w:tcPr>
            <w:tcW w:w="3435" w:type="dxa"/>
            <w:tcBorders>
              <w:top w:val="single" w:color="auto" w:sz="4" w:space="0"/>
            </w:tcBorders>
            <w:shd w:val="clear" w:color="auto" w:fill="auto"/>
          </w:tcPr>
          <w:p>
            <w:pPr>
              <w:spacing w:line="259" w:lineRule="auto"/>
              <w:jc w:val="center"/>
              <w:rPr>
                <w:color w:val="000000"/>
                <w:sz w:val="24"/>
                <w:szCs w:val="24"/>
              </w:rPr>
            </w:pPr>
            <w:r>
              <w:rPr>
                <w:color w:val="000000"/>
                <w:sz w:val="24"/>
                <w:szCs w:val="24"/>
              </w:rPr>
              <w:t>5.1%</w:t>
            </w:r>
          </w:p>
        </w:tc>
      </w:tr>
      <w:tr>
        <w:tblPrEx>
          <w:tblCellMar>
            <w:top w:w="0" w:type="dxa"/>
            <w:left w:w="108" w:type="dxa"/>
            <w:bottom w:w="0" w:type="dxa"/>
            <w:right w:w="108" w:type="dxa"/>
          </w:tblCellMar>
        </w:tblPrEx>
        <w:trPr>
          <w:trHeight w:val="276" w:hRule="atLeast"/>
        </w:trPr>
        <w:tc>
          <w:tcPr>
            <w:tcW w:w="2017" w:type="dxa"/>
            <w:shd w:val="clear" w:color="auto" w:fill="auto"/>
          </w:tcPr>
          <w:p>
            <w:pPr>
              <w:spacing w:line="256" w:lineRule="auto"/>
              <w:jc w:val="center"/>
              <w:rPr>
                <w:color w:val="000000"/>
                <w:sz w:val="24"/>
                <w:szCs w:val="24"/>
              </w:rPr>
            </w:pPr>
            <w:r>
              <w:rPr>
                <w:color w:val="000000"/>
                <w:sz w:val="24"/>
                <w:szCs w:val="24"/>
              </w:rPr>
              <w:t>Good</w:t>
            </w:r>
          </w:p>
        </w:tc>
        <w:tc>
          <w:tcPr>
            <w:tcW w:w="3192" w:type="dxa"/>
            <w:shd w:val="clear" w:color="auto" w:fill="auto"/>
          </w:tcPr>
          <w:p>
            <w:pPr>
              <w:spacing w:line="256" w:lineRule="auto"/>
              <w:ind w:right="476"/>
              <w:jc w:val="center"/>
              <w:rPr>
                <w:color w:val="000000"/>
                <w:sz w:val="24"/>
                <w:szCs w:val="24"/>
              </w:rPr>
            </w:pPr>
            <w:r>
              <w:rPr>
                <w:color w:val="000000"/>
                <w:sz w:val="24"/>
                <w:szCs w:val="24"/>
              </w:rPr>
              <w:t>14</w:t>
            </w:r>
          </w:p>
        </w:tc>
        <w:tc>
          <w:tcPr>
            <w:tcW w:w="3435" w:type="dxa"/>
            <w:shd w:val="clear" w:color="auto" w:fill="auto"/>
          </w:tcPr>
          <w:p>
            <w:pPr>
              <w:spacing w:line="256" w:lineRule="auto"/>
              <w:jc w:val="center"/>
              <w:rPr>
                <w:color w:val="000000"/>
                <w:sz w:val="24"/>
                <w:szCs w:val="24"/>
              </w:rPr>
            </w:pPr>
            <w:r>
              <w:rPr>
                <w:color w:val="000000"/>
                <w:sz w:val="24"/>
                <w:szCs w:val="24"/>
              </w:rPr>
              <w:t>14.3%</w:t>
            </w:r>
          </w:p>
        </w:tc>
      </w:tr>
      <w:tr>
        <w:tblPrEx>
          <w:tblCellMar>
            <w:top w:w="0" w:type="dxa"/>
            <w:left w:w="108" w:type="dxa"/>
            <w:bottom w:w="0" w:type="dxa"/>
            <w:right w:w="108" w:type="dxa"/>
          </w:tblCellMar>
        </w:tblPrEx>
        <w:trPr>
          <w:trHeight w:val="276" w:hRule="atLeast"/>
        </w:trPr>
        <w:tc>
          <w:tcPr>
            <w:tcW w:w="2017" w:type="dxa"/>
            <w:shd w:val="clear" w:color="auto" w:fill="auto"/>
          </w:tcPr>
          <w:p>
            <w:pPr>
              <w:spacing w:line="256" w:lineRule="auto"/>
              <w:jc w:val="center"/>
              <w:rPr>
                <w:color w:val="000000"/>
                <w:sz w:val="24"/>
                <w:szCs w:val="24"/>
              </w:rPr>
            </w:pPr>
            <w:r>
              <w:rPr>
                <w:color w:val="000000"/>
                <w:sz w:val="24"/>
                <w:szCs w:val="24"/>
              </w:rPr>
              <w:t>Fair</w:t>
            </w:r>
          </w:p>
        </w:tc>
        <w:tc>
          <w:tcPr>
            <w:tcW w:w="3192" w:type="dxa"/>
            <w:shd w:val="clear" w:color="auto" w:fill="auto"/>
          </w:tcPr>
          <w:p>
            <w:pPr>
              <w:spacing w:line="256" w:lineRule="auto"/>
              <w:ind w:right="536"/>
              <w:jc w:val="center"/>
              <w:rPr>
                <w:color w:val="000000"/>
                <w:sz w:val="24"/>
                <w:szCs w:val="24"/>
              </w:rPr>
            </w:pPr>
            <w:r>
              <w:rPr>
                <w:color w:val="000000"/>
                <w:sz w:val="24"/>
                <w:szCs w:val="24"/>
              </w:rPr>
              <w:t>5</w:t>
            </w:r>
          </w:p>
        </w:tc>
        <w:tc>
          <w:tcPr>
            <w:tcW w:w="3435" w:type="dxa"/>
            <w:shd w:val="clear" w:color="auto" w:fill="auto"/>
          </w:tcPr>
          <w:p>
            <w:pPr>
              <w:spacing w:line="256" w:lineRule="auto"/>
              <w:jc w:val="center"/>
              <w:rPr>
                <w:color w:val="000000"/>
                <w:sz w:val="24"/>
                <w:szCs w:val="24"/>
              </w:rPr>
            </w:pPr>
            <w:r>
              <w:rPr>
                <w:color w:val="000000"/>
                <w:sz w:val="24"/>
                <w:szCs w:val="24"/>
              </w:rPr>
              <w:t>5.1%</w:t>
            </w:r>
          </w:p>
        </w:tc>
      </w:tr>
      <w:tr>
        <w:tblPrEx>
          <w:tblCellMar>
            <w:top w:w="0" w:type="dxa"/>
            <w:left w:w="108" w:type="dxa"/>
            <w:bottom w:w="0" w:type="dxa"/>
            <w:right w:w="108" w:type="dxa"/>
          </w:tblCellMar>
        </w:tblPrEx>
        <w:trPr>
          <w:trHeight w:val="275" w:hRule="atLeast"/>
        </w:trPr>
        <w:tc>
          <w:tcPr>
            <w:tcW w:w="2017" w:type="dxa"/>
            <w:shd w:val="clear" w:color="auto" w:fill="auto"/>
          </w:tcPr>
          <w:p>
            <w:pPr>
              <w:spacing w:line="256" w:lineRule="auto"/>
              <w:jc w:val="center"/>
              <w:rPr>
                <w:color w:val="000000"/>
                <w:sz w:val="24"/>
                <w:szCs w:val="24"/>
              </w:rPr>
            </w:pPr>
            <w:r>
              <w:rPr>
                <w:color w:val="000000"/>
                <w:sz w:val="24"/>
                <w:szCs w:val="24"/>
              </w:rPr>
              <w:t>Poor</w:t>
            </w:r>
          </w:p>
        </w:tc>
        <w:tc>
          <w:tcPr>
            <w:tcW w:w="3192" w:type="dxa"/>
            <w:shd w:val="clear" w:color="auto" w:fill="auto"/>
          </w:tcPr>
          <w:p>
            <w:pPr>
              <w:spacing w:line="256" w:lineRule="auto"/>
              <w:ind w:right="476"/>
              <w:jc w:val="center"/>
              <w:rPr>
                <w:color w:val="000000"/>
                <w:sz w:val="24"/>
                <w:szCs w:val="24"/>
              </w:rPr>
            </w:pPr>
            <w:r>
              <w:rPr>
                <w:color w:val="000000"/>
                <w:sz w:val="24"/>
                <w:szCs w:val="24"/>
              </w:rPr>
              <w:t>19</w:t>
            </w:r>
          </w:p>
        </w:tc>
        <w:tc>
          <w:tcPr>
            <w:tcW w:w="3435" w:type="dxa"/>
            <w:shd w:val="clear" w:color="auto" w:fill="auto"/>
          </w:tcPr>
          <w:p>
            <w:pPr>
              <w:spacing w:line="256" w:lineRule="auto"/>
              <w:jc w:val="center"/>
              <w:rPr>
                <w:color w:val="000000"/>
                <w:sz w:val="24"/>
                <w:szCs w:val="24"/>
              </w:rPr>
            </w:pPr>
            <w:r>
              <w:rPr>
                <w:color w:val="000000"/>
                <w:sz w:val="24"/>
                <w:szCs w:val="24"/>
              </w:rPr>
              <w:t>19.4%</w:t>
            </w:r>
          </w:p>
        </w:tc>
      </w:tr>
      <w:tr>
        <w:tblPrEx>
          <w:tblCellMar>
            <w:top w:w="0" w:type="dxa"/>
            <w:left w:w="108" w:type="dxa"/>
            <w:bottom w:w="0" w:type="dxa"/>
            <w:right w:w="108" w:type="dxa"/>
          </w:tblCellMar>
        </w:tblPrEx>
        <w:trPr>
          <w:trHeight w:val="276" w:hRule="atLeast"/>
        </w:trPr>
        <w:tc>
          <w:tcPr>
            <w:tcW w:w="2017" w:type="dxa"/>
            <w:shd w:val="clear" w:color="auto" w:fill="auto"/>
          </w:tcPr>
          <w:p>
            <w:pPr>
              <w:spacing w:line="256" w:lineRule="auto"/>
              <w:jc w:val="center"/>
              <w:rPr>
                <w:color w:val="000000"/>
                <w:sz w:val="24"/>
                <w:szCs w:val="24"/>
              </w:rPr>
            </w:pPr>
            <w:r>
              <w:rPr>
                <w:color w:val="000000"/>
                <w:sz w:val="24"/>
                <w:szCs w:val="24"/>
              </w:rPr>
              <w:t>Fail</w:t>
            </w:r>
          </w:p>
        </w:tc>
        <w:tc>
          <w:tcPr>
            <w:tcW w:w="3192" w:type="dxa"/>
            <w:shd w:val="clear" w:color="auto" w:fill="auto"/>
          </w:tcPr>
          <w:p>
            <w:pPr>
              <w:spacing w:line="256" w:lineRule="auto"/>
              <w:ind w:right="476"/>
              <w:jc w:val="center"/>
              <w:rPr>
                <w:color w:val="000000"/>
                <w:sz w:val="24"/>
                <w:szCs w:val="24"/>
              </w:rPr>
            </w:pPr>
            <w:r>
              <w:rPr>
                <w:color w:val="000000"/>
                <w:sz w:val="24"/>
                <w:szCs w:val="24"/>
              </w:rPr>
              <w:t>55</w:t>
            </w:r>
          </w:p>
        </w:tc>
        <w:tc>
          <w:tcPr>
            <w:tcW w:w="3435" w:type="dxa"/>
            <w:shd w:val="clear" w:color="auto" w:fill="auto"/>
          </w:tcPr>
          <w:p>
            <w:pPr>
              <w:spacing w:line="256" w:lineRule="auto"/>
              <w:jc w:val="center"/>
              <w:rPr>
                <w:color w:val="000000"/>
                <w:sz w:val="24"/>
                <w:szCs w:val="24"/>
              </w:rPr>
            </w:pPr>
            <w:r>
              <w:rPr>
                <w:color w:val="000000"/>
                <w:sz w:val="24"/>
                <w:szCs w:val="24"/>
              </w:rPr>
              <w:t>56.1%</w:t>
            </w:r>
          </w:p>
        </w:tc>
      </w:tr>
      <w:tr>
        <w:tblPrEx>
          <w:tblCellMar>
            <w:top w:w="0" w:type="dxa"/>
            <w:left w:w="108" w:type="dxa"/>
            <w:bottom w:w="0" w:type="dxa"/>
            <w:right w:w="108" w:type="dxa"/>
          </w:tblCellMar>
        </w:tblPrEx>
        <w:trPr>
          <w:trHeight w:val="275" w:hRule="atLeast"/>
        </w:trPr>
        <w:tc>
          <w:tcPr>
            <w:tcW w:w="2017" w:type="dxa"/>
            <w:tcBorders>
              <w:bottom w:val="single" w:color="auto" w:sz="4" w:space="0"/>
            </w:tcBorders>
            <w:shd w:val="clear" w:color="auto" w:fill="auto"/>
          </w:tcPr>
          <w:p>
            <w:pPr>
              <w:spacing w:line="256" w:lineRule="auto"/>
              <w:jc w:val="center"/>
              <w:rPr>
                <w:b/>
                <w:color w:val="000000"/>
                <w:sz w:val="24"/>
                <w:szCs w:val="24"/>
              </w:rPr>
            </w:pPr>
            <w:r>
              <w:rPr>
                <w:b/>
                <w:color w:val="000000"/>
                <w:sz w:val="24"/>
                <w:szCs w:val="24"/>
              </w:rPr>
              <w:t>Total</w:t>
            </w:r>
          </w:p>
        </w:tc>
        <w:tc>
          <w:tcPr>
            <w:tcW w:w="3192" w:type="dxa"/>
            <w:tcBorders>
              <w:bottom w:val="single" w:color="auto" w:sz="4" w:space="0"/>
            </w:tcBorders>
            <w:shd w:val="clear" w:color="auto" w:fill="auto"/>
          </w:tcPr>
          <w:p>
            <w:pPr>
              <w:spacing w:line="256" w:lineRule="auto"/>
              <w:ind w:right="476"/>
              <w:jc w:val="center"/>
              <w:rPr>
                <w:color w:val="000000"/>
                <w:sz w:val="24"/>
                <w:szCs w:val="24"/>
              </w:rPr>
            </w:pPr>
            <w:r>
              <w:rPr>
                <w:color w:val="000000"/>
                <w:sz w:val="24"/>
                <w:szCs w:val="24"/>
              </w:rPr>
              <w:t>98</w:t>
            </w:r>
          </w:p>
        </w:tc>
        <w:tc>
          <w:tcPr>
            <w:tcW w:w="3435" w:type="dxa"/>
            <w:tcBorders>
              <w:bottom w:val="single" w:color="auto" w:sz="4" w:space="0"/>
            </w:tcBorders>
            <w:shd w:val="clear" w:color="auto" w:fill="auto"/>
          </w:tcPr>
          <w:p>
            <w:pPr>
              <w:spacing w:line="256" w:lineRule="auto"/>
              <w:jc w:val="center"/>
              <w:rPr>
                <w:color w:val="000000"/>
                <w:sz w:val="24"/>
                <w:szCs w:val="24"/>
              </w:rPr>
            </w:pPr>
            <w:r>
              <w:rPr>
                <w:color w:val="000000"/>
                <w:sz w:val="24"/>
                <w:szCs w:val="24"/>
              </w:rPr>
              <w:t>100%</w:t>
            </w:r>
          </w:p>
        </w:tc>
      </w:tr>
    </w:tbl>
    <w:p>
      <w:pPr>
        <w:jc w:val="both"/>
        <w:rPr>
          <w:color w:val="000000"/>
          <w:sz w:val="24"/>
          <w:szCs w:val="24"/>
          <w:lang w:val="id-ID"/>
        </w:rPr>
      </w:pPr>
    </w:p>
    <w:p>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pPr>
        <w:jc w:val="both"/>
        <w:rPr>
          <w:color w:val="000000"/>
          <w:sz w:val="24"/>
          <w:szCs w:val="24"/>
          <w:lang w:val="id-ID"/>
        </w:rPr>
      </w:pPr>
    </w:p>
    <w:p>
      <w:pPr>
        <w:rPr>
          <w:color w:val="000000"/>
          <w:sz w:val="24"/>
          <w:szCs w:val="24"/>
          <w:lang w:val="id-ID"/>
        </w:rPr>
      </w:pPr>
      <w:r>
        <w:rPr>
          <w:i/>
          <w:iCs/>
          <w:color w:val="000000"/>
          <w:sz w:val="24"/>
          <w:szCs w:val="24"/>
          <w:lang w:val="id-ID"/>
        </w:rPr>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pPr>
        <w:jc w:val="both"/>
        <w:rPr>
          <w:color w:val="000000"/>
          <w:sz w:val="24"/>
          <w:szCs w:val="24"/>
          <w:lang w:val="id-ID"/>
        </w:rPr>
      </w:pPr>
    </w:p>
    <w:tbl>
      <w:tblPr>
        <w:tblStyle w:val="3"/>
        <w:tblW w:w="8188" w:type="dxa"/>
        <w:tblInd w:w="0" w:type="dxa"/>
        <w:tblLayout w:type="fixed"/>
        <w:tblCellMar>
          <w:top w:w="0" w:type="dxa"/>
          <w:left w:w="108" w:type="dxa"/>
          <w:bottom w:w="0" w:type="dxa"/>
          <w:right w:w="108" w:type="dxa"/>
        </w:tblCellMar>
      </w:tblPr>
      <w:tblGrid>
        <w:gridCol w:w="1939"/>
        <w:gridCol w:w="1164"/>
        <w:gridCol w:w="1220"/>
        <w:gridCol w:w="1349"/>
        <w:gridCol w:w="1071"/>
        <w:gridCol w:w="1445"/>
      </w:tblGrid>
      <w:tr>
        <w:tblPrEx>
          <w:tblCellMar>
            <w:top w:w="0" w:type="dxa"/>
            <w:left w:w="108" w:type="dxa"/>
            <w:bottom w:w="0" w:type="dxa"/>
            <w:right w:w="108" w:type="dxa"/>
          </w:tblCellMar>
        </w:tblPrEx>
        <w:trPr>
          <w:trHeight w:val="476" w:hRule="atLeast"/>
        </w:trPr>
        <w:tc>
          <w:tcPr>
            <w:tcW w:w="3103" w:type="dxa"/>
            <w:gridSpan w:val="2"/>
            <w:tcBorders>
              <w:top w:val="single" w:color="auto" w:sz="4" w:space="0"/>
              <w:bottom w:val="single" w:color="auto" w:sz="4" w:space="0"/>
            </w:tcBorders>
            <w:shd w:val="clear" w:color="auto" w:fill="auto"/>
          </w:tcPr>
          <w:p>
            <w:pPr>
              <w:spacing w:before="89"/>
              <w:ind w:right="436"/>
              <w:jc w:val="right"/>
              <w:rPr>
                <w:color w:val="000000"/>
                <w:sz w:val="24"/>
                <w:szCs w:val="24"/>
              </w:rPr>
            </w:pPr>
            <w:r>
              <w:rPr>
                <w:color w:val="000000"/>
                <w:sz w:val="24"/>
                <w:szCs w:val="24"/>
              </w:rPr>
              <w:t>N</w:t>
            </w:r>
          </w:p>
        </w:tc>
        <w:tc>
          <w:tcPr>
            <w:tcW w:w="1220" w:type="dxa"/>
            <w:tcBorders>
              <w:top w:val="single" w:color="auto" w:sz="4" w:space="0"/>
              <w:bottom w:val="single" w:color="auto" w:sz="4" w:space="0"/>
            </w:tcBorders>
            <w:shd w:val="clear" w:color="auto" w:fill="auto"/>
          </w:tcPr>
          <w:p>
            <w:pPr>
              <w:spacing w:before="89"/>
              <w:jc w:val="center"/>
              <w:rPr>
                <w:color w:val="000000"/>
                <w:sz w:val="24"/>
                <w:szCs w:val="24"/>
              </w:rPr>
            </w:pPr>
            <w:r>
              <w:rPr>
                <w:color w:val="000000"/>
                <w:sz w:val="24"/>
                <w:szCs w:val="24"/>
              </w:rPr>
              <w:t>Mini</w:t>
            </w:r>
            <w:r>
              <w:rPr>
                <w:color w:val="000000"/>
                <w:sz w:val="24"/>
                <w:szCs w:val="24"/>
                <w:lang w:val="id-ID"/>
              </w:rPr>
              <w:t>m</w:t>
            </w:r>
            <w:r>
              <w:rPr>
                <w:color w:val="000000"/>
                <w:sz w:val="24"/>
                <w:szCs w:val="24"/>
              </w:rPr>
              <w:t>um</w:t>
            </w:r>
          </w:p>
        </w:tc>
        <w:tc>
          <w:tcPr>
            <w:tcW w:w="1349" w:type="dxa"/>
            <w:tcBorders>
              <w:top w:val="single" w:color="auto" w:sz="4" w:space="0"/>
              <w:bottom w:val="single" w:color="auto" w:sz="4" w:space="0"/>
            </w:tcBorders>
            <w:shd w:val="clear" w:color="auto" w:fill="auto"/>
          </w:tcPr>
          <w:p>
            <w:pPr>
              <w:spacing w:before="89"/>
              <w:ind w:right="127"/>
              <w:jc w:val="center"/>
              <w:rPr>
                <w:color w:val="000000"/>
                <w:sz w:val="24"/>
                <w:szCs w:val="24"/>
                <w:lang w:val="id-ID"/>
              </w:rPr>
            </w:pPr>
            <w:r>
              <w:rPr>
                <w:color w:val="000000"/>
                <w:sz w:val="24"/>
                <w:szCs w:val="24"/>
              </w:rPr>
              <w:t>Maximu</w:t>
            </w:r>
            <w:r>
              <w:rPr>
                <w:color w:val="000000"/>
                <w:sz w:val="24"/>
                <w:szCs w:val="24"/>
                <w:lang w:val="id-ID"/>
              </w:rPr>
              <w:t>m</w:t>
            </w:r>
          </w:p>
        </w:tc>
        <w:tc>
          <w:tcPr>
            <w:tcW w:w="1071" w:type="dxa"/>
            <w:tcBorders>
              <w:top w:val="single" w:color="auto" w:sz="4" w:space="0"/>
              <w:bottom w:val="single" w:color="auto" w:sz="4" w:space="0"/>
            </w:tcBorders>
            <w:shd w:val="clear" w:color="auto" w:fill="auto"/>
          </w:tcPr>
          <w:p>
            <w:pPr>
              <w:spacing w:before="89"/>
              <w:jc w:val="center"/>
              <w:rPr>
                <w:color w:val="000000"/>
                <w:sz w:val="24"/>
                <w:szCs w:val="24"/>
              </w:rPr>
            </w:pPr>
            <w:r>
              <w:rPr>
                <w:color w:val="000000"/>
                <w:sz w:val="24"/>
                <w:szCs w:val="24"/>
              </w:rPr>
              <w:t>Mean</w:t>
            </w:r>
          </w:p>
        </w:tc>
        <w:tc>
          <w:tcPr>
            <w:tcW w:w="1445" w:type="dxa"/>
            <w:tcBorders>
              <w:top w:val="single" w:color="auto" w:sz="4" w:space="0"/>
              <w:bottom w:val="single" w:color="auto" w:sz="4" w:space="0"/>
            </w:tcBorders>
            <w:shd w:val="clear" w:color="auto" w:fill="auto"/>
          </w:tcPr>
          <w:p>
            <w:pPr>
              <w:spacing w:before="89"/>
              <w:ind w:left="140"/>
              <w:rPr>
                <w:color w:val="000000"/>
                <w:sz w:val="24"/>
                <w:szCs w:val="24"/>
              </w:rPr>
            </w:pPr>
            <w:r>
              <w:rPr>
                <w:color w:val="000000"/>
                <w:sz w:val="24"/>
                <w:szCs w:val="24"/>
              </w:rPr>
              <w:t>Std. Deviation</w:t>
            </w:r>
          </w:p>
        </w:tc>
      </w:tr>
      <w:tr>
        <w:tblPrEx>
          <w:tblCellMar>
            <w:top w:w="0" w:type="dxa"/>
            <w:left w:w="108" w:type="dxa"/>
            <w:bottom w:w="0" w:type="dxa"/>
            <w:right w:w="108" w:type="dxa"/>
          </w:tblCellMar>
        </w:tblPrEx>
        <w:trPr>
          <w:trHeight w:val="477" w:hRule="atLeast"/>
        </w:trPr>
        <w:tc>
          <w:tcPr>
            <w:tcW w:w="1939" w:type="dxa"/>
            <w:tcBorders>
              <w:top w:val="single" w:color="auto" w:sz="4" w:space="0"/>
            </w:tcBorders>
            <w:shd w:val="clear" w:color="auto" w:fill="auto"/>
          </w:tcPr>
          <w:p>
            <w:pPr>
              <w:spacing w:before="89"/>
              <w:ind w:left="62"/>
              <w:jc w:val="center"/>
              <w:rPr>
                <w:color w:val="000000"/>
                <w:sz w:val="24"/>
                <w:szCs w:val="24"/>
              </w:rPr>
            </w:pPr>
            <w:r>
              <w:rPr>
                <w:color w:val="000000"/>
                <w:sz w:val="24"/>
                <w:szCs w:val="24"/>
              </w:rPr>
              <w:t>RAC</w:t>
            </w:r>
          </w:p>
        </w:tc>
        <w:tc>
          <w:tcPr>
            <w:tcW w:w="1164" w:type="dxa"/>
            <w:tcBorders>
              <w:top w:val="single" w:color="auto" w:sz="4" w:space="0"/>
            </w:tcBorders>
            <w:shd w:val="clear" w:color="auto" w:fill="auto"/>
          </w:tcPr>
          <w:p>
            <w:pPr>
              <w:spacing w:before="89"/>
              <w:ind w:right="57"/>
              <w:jc w:val="center"/>
              <w:rPr>
                <w:color w:val="000000"/>
                <w:sz w:val="24"/>
                <w:szCs w:val="24"/>
              </w:rPr>
            </w:pPr>
            <w:r>
              <w:rPr>
                <w:color w:val="000000"/>
                <w:sz w:val="24"/>
                <w:szCs w:val="24"/>
              </w:rPr>
              <w:t>98</w:t>
            </w:r>
          </w:p>
        </w:tc>
        <w:tc>
          <w:tcPr>
            <w:tcW w:w="1220" w:type="dxa"/>
            <w:tcBorders>
              <w:top w:val="single" w:color="auto" w:sz="4" w:space="0"/>
            </w:tcBorders>
            <w:shd w:val="clear" w:color="auto" w:fill="auto"/>
          </w:tcPr>
          <w:p>
            <w:pPr>
              <w:spacing w:before="89"/>
              <w:ind w:right="58"/>
              <w:jc w:val="center"/>
              <w:rPr>
                <w:sz w:val="24"/>
                <w:szCs w:val="24"/>
              </w:rPr>
            </w:pPr>
            <w:r>
              <w:rPr>
                <w:sz w:val="24"/>
                <w:szCs w:val="24"/>
              </w:rPr>
              <w:t>14</w:t>
            </w:r>
          </w:p>
        </w:tc>
        <w:tc>
          <w:tcPr>
            <w:tcW w:w="1349" w:type="dxa"/>
            <w:tcBorders>
              <w:top w:val="single" w:color="auto" w:sz="4" w:space="0"/>
            </w:tcBorders>
            <w:shd w:val="clear" w:color="auto" w:fill="auto"/>
          </w:tcPr>
          <w:p>
            <w:pPr>
              <w:spacing w:before="89"/>
              <w:ind w:right="58"/>
              <w:jc w:val="center"/>
              <w:rPr>
                <w:sz w:val="24"/>
                <w:szCs w:val="24"/>
              </w:rPr>
            </w:pPr>
            <w:r>
              <w:rPr>
                <w:sz w:val="24"/>
                <w:szCs w:val="24"/>
              </w:rPr>
              <w:t>92</w:t>
            </w:r>
          </w:p>
        </w:tc>
        <w:tc>
          <w:tcPr>
            <w:tcW w:w="1071" w:type="dxa"/>
            <w:tcBorders>
              <w:top w:val="single" w:color="auto" w:sz="4" w:space="0"/>
            </w:tcBorders>
            <w:shd w:val="clear" w:color="auto" w:fill="auto"/>
          </w:tcPr>
          <w:p>
            <w:pPr>
              <w:spacing w:before="89"/>
              <w:jc w:val="center"/>
              <w:rPr>
                <w:sz w:val="24"/>
                <w:szCs w:val="24"/>
              </w:rPr>
            </w:pPr>
            <w:r>
              <w:rPr>
                <w:sz w:val="24"/>
                <w:szCs w:val="24"/>
              </w:rPr>
              <w:t>43.12</w:t>
            </w:r>
          </w:p>
        </w:tc>
        <w:tc>
          <w:tcPr>
            <w:tcW w:w="1445" w:type="dxa"/>
            <w:tcBorders>
              <w:top w:val="single" w:color="auto" w:sz="4" w:space="0"/>
            </w:tcBorders>
            <w:shd w:val="clear" w:color="auto" w:fill="auto"/>
          </w:tcPr>
          <w:p>
            <w:pPr>
              <w:spacing w:before="89"/>
              <w:jc w:val="center"/>
              <w:rPr>
                <w:sz w:val="24"/>
                <w:szCs w:val="24"/>
              </w:rPr>
            </w:pPr>
            <w:r>
              <w:rPr>
                <w:sz w:val="24"/>
                <w:szCs w:val="24"/>
              </w:rPr>
              <w:t>23.579</w:t>
            </w:r>
          </w:p>
        </w:tc>
      </w:tr>
      <w:tr>
        <w:tblPrEx>
          <w:tblCellMar>
            <w:top w:w="0" w:type="dxa"/>
            <w:left w:w="108" w:type="dxa"/>
            <w:bottom w:w="0" w:type="dxa"/>
            <w:right w:w="108" w:type="dxa"/>
          </w:tblCellMar>
        </w:tblPrEx>
        <w:trPr>
          <w:trHeight w:val="477" w:hRule="atLeast"/>
        </w:trPr>
        <w:tc>
          <w:tcPr>
            <w:tcW w:w="1939" w:type="dxa"/>
            <w:tcBorders>
              <w:bottom w:val="single" w:color="auto" w:sz="4" w:space="0"/>
            </w:tcBorders>
            <w:shd w:val="clear" w:color="auto" w:fill="auto"/>
          </w:tcPr>
          <w:p>
            <w:pPr>
              <w:spacing w:before="90"/>
              <w:ind w:left="62"/>
              <w:jc w:val="center"/>
              <w:rPr>
                <w:color w:val="000000"/>
                <w:sz w:val="24"/>
                <w:szCs w:val="24"/>
              </w:rPr>
            </w:pPr>
            <w:r>
              <w:rPr>
                <w:color w:val="000000"/>
                <w:sz w:val="24"/>
                <w:szCs w:val="24"/>
              </w:rPr>
              <w:t>Valid N (listwise)</w:t>
            </w:r>
          </w:p>
        </w:tc>
        <w:tc>
          <w:tcPr>
            <w:tcW w:w="1164" w:type="dxa"/>
            <w:tcBorders>
              <w:bottom w:val="single" w:color="auto" w:sz="4" w:space="0"/>
            </w:tcBorders>
            <w:shd w:val="clear" w:color="auto" w:fill="auto"/>
          </w:tcPr>
          <w:p>
            <w:pPr>
              <w:spacing w:before="90"/>
              <w:ind w:right="57"/>
              <w:jc w:val="center"/>
              <w:rPr>
                <w:color w:val="000000"/>
                <w:sz w:val="24"/>
                <w:szCs w:val="24"/>
              </w:rPr>
            </w:pPr>
            <w:r>
              <w:rPr>
                <w:color w:val="000000"/>
                <w:sz w:val="24"/>
                <w:szCs w:val="24"/>
              </w:rPr>
              <w:t>98</w:t>
            </w:r>
          </w:p>
        </w:tc>
        <w:tc>
          <w:tcPr>
            <w:tcW w:w="1220" w:type="dxa"/>
            <w:tcBorders>
              <w:bottom w:val="single" w:color="auto" w:sz="4" w:space="0"/>
            </w:tcBorders>
            <w:shd w:val="clear" w:color="auto" w:fill="auto"/>
          </w:tcPr>
          <w:p>
            <w:pPr>
              <w:jc w:val="center"/>
              <w:rPr>
                <w:color w:val="000000"/>
                <w:sz w:val="24"/>
                <w:szCs w:val="24"/>
              </w:rPr>
            </w:pPr>
          </w:p>
        </w:tc>
        <w:tc>
          <w:tcPr>
            <w:tcW w:w="1349" w:type="dxa"/>
            <w:tcBorders>
              <w:bottom w:val="single" w:color="auto" w:sz="4" w:space="0"/>
            </w:tcBorders>
            <w:shd w:val="clear" w:color="auto" w:fill="auto"/>
          </w:tcPr>
          <w:p>
            <w:pPr>
              <w:jc w:val="center"/>
              <w:rPr>
                <w:color w:val="000000"/>
                <w:sz w:val="24"/>
                <w:szCs w:val="24"/>
              </w:rPr>
            </w:pPr>
          </w:p>
        </w:tc>
        <w:tc>
          <w:tcPr>
            <w:tcW w:w="1071" w:type="dxa"/>
            <w:tcBorders>
              <w:bottom w:val="single" w:color="auto" w:sz="4" w:space="0"/>
            </w:tcBorders>
            <w:shd w:val="clear" w:color="auto" w:fill="auto"/>
          </w:tcPr>
          <w:p>
            <w:pPr>
              <w:jc w:val="center"/>
              <w:rPr>
                <w:color w:val="000000"/>
                <w:sz w:val="24"/>
                <w:szCs w:val="24"/>
              </w:rPr>
            </w:pPr>
          </w:p>
        </w:tc>
        <w:tc>
          <w:tcPr>
            <w:tcW w:w="1445" w:type="dxa"/>
            <w:tcBorders>
              <w:bottom w:val="single" w:color="auto" w:sz="4" w:space="0"/>
            </w:tcBorders>
            <w:shd w:val="clear" w:color="auto" w:fill="auto"/>
          </w:tcPr>
          <w:p>
            <w:pPr>
              <w:jc w:val="center"/>
              <w:rPr>
                <w:color w:val="000000"/>
                <w:sz w:val="24"/>
                <w:szCs w:val="24"/>
              </w:rPr>
            </w:pPr>
          </w:p>
        </w:tc>
      </w:tr>
    </w:tbl>
    <w:p>
      <w:pPr>
        <w:jc w:val="center"/>
        <w:rPr>
          <w:color w:val="000000"/>
          <w:sz w:val="24"/>
          <w:szCs w:val="24"/>
          <w:lang w:val="id-ID"/>
        </w:rPr>
      </w:pPr>
    </w:p>
    <w:p>
      <w:pPr>
        <w:jc w:val="both"/>
        <w:rPr>
          <w:color w:val="000000"/>
          <w:sz w:val="24"/>
          <w:szCs w:val="24"/>
          <w:lang w:val="id-ID"/>
        </w:rPr>
      </w:pPr>
    </w:p>
    <w:p>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pPr>
        <w:jc w:val="both"/>
        <w:rPr>
          <w:color w:val="000000"/>
          <w:sz w:val="24"/>
          <w:szCs w:val="24"/>
          <w:lang w:val="id-ID"/>
        </w:rPr>
      </w:pPr>
    </w:p>
    <w:p>
      <w:pPr>
        <w:jc w:val="both"/>
        <w:rPr>
          <w:b/>
          <w:color w:val="000000"/>
          <w:sz w:val="24"/>
          <w:szCs w:val="24"/>
          <w:lang w:val="id-ID"/>
        </w:rPr>
      </w:pPr>
      <w:r>
        <w:rPr>
          <w:b/>
          <w:color w:val="000000"/>
          <w:sz w:val="24"/>
          <w:szCs w:val="24"/>
          <w:lang w:val="id-ID"/>
        </w:rPr>
        <w:t>Correlation between Students’ Reading Attitude and Their Reading Comprehension Achievement</w:t>
      </w:r>
    </w:p>
    <w:p>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pPr>
        <w:jc w:val="both"/>
        <w:rPr>
          <w:color w:val="000000"/>
          <w:sz w:val="24"/>
          <w:szCs w:val="24"/>
          <w:lang w:val="id-ID"/>
        </w:rPr>
      </w:pPr>
    </w:p>
    <w:p>
      <w:pPr>
        <w:rPr>
          <w:color w:val="000000"/>
          <w:sz w:val="24"/>
          <w:szCs w:val="24"/>
          <w:lang w:val="id-ID"/>
        </w:rPr>
      </w:pPr>
      <w:r>
        <w:rPr>
          <w:i/>
          <w:iCs/>
          <w:color w:val="000000"/>
          <w:sz w:val="24"/>
          <w:szCs w:val="24"/>
          <w:lang w:val="id-ID"/>
        </w:rPr>
        <w:t>Table. 5</w:t>
      </w:r>
      <w:r>
        <w:rPr>
          <w:color w:val="000000"/>
          <w:sz w:val="24"/>
          <w:szCs w:val="24"/>
          <w:lang w:val="id-ID"/>
        </w:rPr>
        <w:t xml:space="preserve"> Correlation</w:t>
      </w:r>
    </w:p>
    <w:p>
      <w:pPr>
        <w:ind w:firstLine="720"/>
        <w:jc w:val="both"/>
        <w:rPr>
          <w:color w:val="000000"/>
          <w:sz w:val="24"/>
          <w:szCs w:val="24"/>
          <w:lang w:val="id-ID"/>
        </w:rPr>
      </w:pPr>
    </w:p>
    <w:tbl>
      <w:tblPr>
        <w:tblStyle w:val="3"/>
        <w:tblW w:w="8599" w:type="dxa"/>
        <w:tblInd w:w="0" w:type="dxa"/>
        <w:tblLayout w:type="fixed"/>
        <w:tblCellMar>
          <w:top w:w="0" w:type="dxa"/>
          <w:left w:w="108" w:type="dxa"/>
          <w:bottom w:w="0" w:type="dxa"/>
          <w:right w:w="108" w:type="dxa"/>
        </w:tblCellMar>
      </w:tblPr>
      <w:tblGrid>
        <w:gridCol w:w="1928"/>
        <w:gridCol w:w="874"/>
        <w:gridCol w:w="2827"/>
        <w:gridCol w:w="1440"/>
        <w:gridCol w:w="1530"/>
      </w:tblGrid>
      <w:tr>
        <w:tblPrEx>
          <w:tblCellMar>
            <w:top w:w="0" w:type="dxa"/>
            <w:left w:w="108" w:type="dxa"/>
            <w:bottom w:w="0" w:type="dxa"/>
            <w:right w:w="108" w:type="dxa"/>
          </w:tblCellMar>
        </w:tblPrEx>
        <w:trPr>
          <w:trHeight w:val="341" w:hRule="atLeast"/>
        </w:trPr>
        <w:tc>
          <w:tcPr>
            <w:tcW w:w="7069" w:type="dxa"/>
            <w:gridSpan w:val="4"/>
            <w:tcBorders>
              <w:top w:val="single" w:color="auto" w:sz="4" w:space="0"/>
              <w:bottom w:val="single" w:color="auto" w:sz="4" w:space="0"/>
            </w:tcBorders>
            <w:shd w:val="clear" w:color="auto" w:fill="auto"/>
          </w:tcPr>
          <w:p>
            <w:pPr>
              <w:spacing w:before="133" w:line="360" w:lineRule="auto"/>
              <w:ind w:right="407"/>
              <w:jc w:val="right"/>
              <w:rPr>
                <w:sz w:val="24"/>
                <w:szCs w:val="24"/>
              </w:rPr>
            </w:pPr>
            <w:r>
              <w:rPr>
                <w:sz w:val="24"/>
                <w:szCs w:val="24"/>
              </w:rPr>
              <w:t>RAQ</w:t>
            </w:r>
          </w:p>
        </w:tc>
        <w:tc>
          <w:tcPr>
            <w:tcW w:w="1530" w:type="dxa"/>
            <w:tcBorders>
              <w:top w:val="single" w:color="auto" w:sz="4" w:space="0"/>
              <w:bottom w:val="single" w:color="auto" w:sz="4" w:space="0"/>
            </w:tcBorders>
            <w:shd w:val="clear" w:color="auto" w:fill="auto"/>
          </w:tcPr>
          <w:p>
            <w:pPr>
              <w:spacing w:before="133" w:line="360" w:lineRule="auto"/>
              <w:jc w:val="center"/>
              <w:rPr>
                <w:sz w:val="24"/>
                <w:szCs w:val="24"/>
              </w:rPr>
            </w:pPr>
            <w:r>
              <w:rPr>
                <w:sz w:val="24"/>
                <w:szCs w:val="24"/>
              </w:rPr>
              <w:t>RAC</w:t>
            </w:r>
          </w:p>
        </w:tc>
      </w:tr>
      <w:tr>
        <w:tblPrEx>
          <w:tblCellMar>
            <w:top w:w="0" w:type="dxa"/>
            <w:left w:w="108" w:type="dxa"/>
            <w:bottom w:w="0" w:type="dxa"/>
            <w:right w:w="108" w:type="dxa"/>
          </w:tblCellMar>
        </w:tblPrEx>
        <w:trPr>
          <w:trHeight w:val="265" w:hRule="atLeast"/>
        </w:trPr>
        <w:tc>
          <w:tcPr>
            <w:tcW w:w="1928" w:type="dxa"/>
            <w:vMerge w:val="restart"/>
            <w:tcBorders>
              <w:top w:val="single" w:color="auto" w:sz="4" w:space="0"/>
            </w:tcBorders>
            <w:shd w:val="clear" w:color="auto" w:fill="auto"/>
          </w:tcPr>
          <w:p>
            <w:pPr>
              <w:spacing w:line="360" w:lineRule="auto"/>
              <w:ind w:left="62"/>
              <w:rPr>
                <w:color w:val="000000"/>
                <w:sz w:val="24"/>
                <w:szCs w:val="24"/>
              </w:rPr>
            </w:pPr>
            <w:r>
              <w:rPr>
                <w:color w:val="000000"/>
                <w:sz w:val="24"/>
                <w:szCs w:val="24"/>
              </w:rPr>
              <w:t>Spearman's rho</w:t>
            </w:r>
          </w:p>
          <w:p>
            <w:pPr>
              <w:spacing w:line="360" w:lineRule="auto"/>
              <w:ind w:left="62"/>
              <w:rPr>
                <w:color w:val="000000"/>
                <w:sz w:val="24"/>
                <w:szCs w:val="24"/>
              </w:rPr>
            </w:pPr>
          </w:p>
          <w:p>
            <w:pPr>
              <w:spacing w:line="360" w:lineRule="auto"/>
              <w:ind w:left="62"/>
              <w:rPr>
                <w:color w:val="000000"/>
                <w:sz w:val="24"/>
                <w:szCs w:val="24"/>
              </w:rPr>
            </w:pPr>
          </w:p>
          <w:p>
            <w:pPr>
              <w:spacing w:line="360" w:lineRule="auto"/>
              <w:ind w:left="62"/>
              <w:rPr>
                <w:color w:val="000000"/>
                <w:sz w:val="24"/>
                <w:szCs w:val="24"/>
              </w:rPr>
            </w:pPr>
          </w:p>
          <w:p>
            <w:pPr>
              <w:spacing w:line="360" w:lineRule="auto"/>
              <w:ind w:left="62"/>
              <w:rPr>
                <w:color w:val="000000"/>
                <w:sz w:val="24"/>
                <w:szCs w:val="24"/>
              </w:rPr>
            </w:pPr>
          </w:p>
          <w:p>
            <w:pPr>
              <w:spacing w:line="360" w:lineRule="auto"/>
              <w:rPr>
                <w:color w:val="000000"/>
                <w:sz w:val="24"/>
                <w:szCs w:val="24"/>
              </w:rPr>
            </w:pPr>
          </w:p>
        </w:tc>
        <w:tc>
          <w:tcPr>
            <w:tcW w:w="874" w:type="dxa"/>
            <w:vMerge w:val="restart"/>
            <w:tcBorders>
              <w:top w:val="single" w:color="auto" w:sz="4" w:space="0"/>
            </w:tcBorders>
            <w:shd w:val="clear" w:color="auto" w:fill="auto"/>
          </w:tcPr>
          <w:p>
            <w:pPr>
              <w:spacing w:line="360" w:lineRule="auto"/>
              <w:ind w:left="59"/>
              <w:rPr>
                <w:sz w:val="24"/>
                <w:szCs w:val="24"/>
              </w:rPr>
            </w:pPr>
            <w:r>
              <w:rPr>
                <w:sz w:val="24"/>
                <w:szCs w:val="24"/>
              </w:rPr>
              <w:t>RAQ</w:t>
            </w:r>
          </w:p>
        </w:tc>
        <w:tc>
          <w:tcPr>
            <w:tcW w:w="2827" w:type="dxa"/>
            <w:tcBorders>
              <w:top w:val="single" w:color="auto" w:sz="4" w:space="0"/>
            </w:tcBorders>
            <w:shd w:val="clear" w:color="auto" w:fill="auto"/>
          </w:tcPr>
          <w:p>
            <w:pPr>
              <w:spacing w:line="360" w:lineRule="auto"/>
              <w:ind w:left="60"/>
              <w:rPr>
                <w:sz w:val="24"/>
                <w:szCs w:val="24"/>
              </w:rPr>
            </w:pPr>
            <w:r>
              <w:rPr>
                <w:sz w:val="24"/>
                <w:szCs w:val="24"/>
              </w:rPr>
              <w:t>Correlation Coefficient</w:t>
            </w:r>
          </w:p>
        </w:tc>
        <w:tc>
          <w:tcPr>
            <w:tcW w:w="1440" w:type="dxa"/>
            <w:tcBorders>
              <w:top w:val="single" w:color="auto" w:sz="4" w:space="0"/>
            </w:tcBorders>
            <w:shd w:val="clear" w:color="auto" w:fill="auto"/>
          </w:tcPr>
          <w:p>
            <w:pPr>
              <w:spacing w:line="360" w:lineRule="auto"/>
              <w:ind w:right="56"/>
              <w:jc w:val="right"/>
              <w:rPr>
                <w:sz w:val="24"/>
                <w:szCs w:val="24"/>
              </w:rPr>
            </w:pPr>
            <w:r>
              <w:rPr>
                <w:sz w:val="24"/>
                <w:szCs w:val="24"/>
              </w:rPr>
              <w:t>1.000</w:t>
            </w:r>
          </w:p>
        </w:tc>
        <w:tc>
          <w:tcPr>
            <w:tcW w:w="1530" w:type="dxa"/>
            <w:tcBorders>
              <w:top w:val="single" w:color="auto" w:sz="4" w:space="0"/>
            </w:tcBorders>
            <w:shd w:val="clear" w:color="auto" w:fill="auto"/>
          </w:tcPr>
          <w:p>
            <w:pPr>
              <w:spacing w:line="360" w:lineRule="auto"/>
              <w:ind w:right="56"/>
              <w:jc w:val="right"/>
              <w:rPr>
                <w:sz w:val="24"/>
                <w:szCs w:val="24"/>
              </w:rPr>
            </w:pPr>
            <w:r>
              <w:rPr>
                <w:sz w:val="24"/>
                <w:szCs w:val="24"/>
              </w:rPr>
              <w:t>.011</w:t>
            </w:r>
          </w:p>
        </w:tc>
      </w:tr>
      <w:tr>
        <w:tblPrEx>
          <w:tblCellMar>
            <w:top w:w="0" w:type="dxa"/>
            <w:left w:w="108" w:type="dxa"/>
            <w:bottom w:w="0" w:type="dxa"/>
            <w:right w:w="108" w:type="dxa"/>
          </w:tblCellMar>
        </w:tblPrEx>
        <w:trPr>
          <w:trHeight w:val="265" w:hRule="atLeast"/>
        </w:trPr>
        <w:tc>
          <w:tcPr>
            <w:tcW w:w="1928" w:type="dxa"/>
            <w:vMerge w:val="continue"/>
            <w:shd w:val="clear" w:color="auto" w:fill="auto"/>
          </w:tcPr>
          <w:p>
            <w:pPr>
              <w:spacing w:line="276" w:lineRule="auto"/>
              <w:rPr>
                <w:color w:val="000000"/>
                <w:sz w:val="24"/>
                <w:szCs w:val="24"/>
              </w:rPr>
            </w:pPr>
          </w:p>
        </w:tc>
        <w:tc>
          <w:tcPr>
            <w:tcW w:w="874" w:type="dxa"/>
            <w:vMerge w:val="continue"/>
            <w:shd w:val="clear" w:color="auto" w:fill="auto"/>
          </w:tcPr>
          <w:p>
            <w:pPr>
              <w:spacing w:line="276" w:lineRule="auto"/>
              <w:rPr>
                <w:sz w:val="24"/>
                <w:szCs w:val="24"/>
              </w:rPr>
            </w:pPr>
          </w:p>
        </w:tc>
        <w:tc>
          <w:tcPr>
            <w:tcW w:w="2827" w:type="dxa"/>
            <w:shd w:val="clear" w:color="auto" w:fill="auto"/>
          </w:tcPr>
          <w:p>
            <w:pPr>
              <w:spacing w:line="360" w:lineRule="auto"/>
              <w:ind w:left="60"/>
              <w:rPr>
                <w:sz w:val="24"/>
                <w:szCs w:val="24"/>
              </w:rPr>
            </w:pPr>
            <w:r>
              <w:rPr>
                <w:sz w:val="24"/>
                <w:szCs w:val="24"/>
              </w:rPr>
              <w:t>Sig. (2-tailed)</w:t>
            </w:r>
          </w:p>
        </w:tc>
        <w:tc>
          <w:tcPr>
            <w:tcW w:w="1440" w:type="dxa"/>
            <w:shd w:val="clear" w:color="auto" w:fill="auto"/>
          </w:tcPr>
          <w:p>
            <w:pPr>
              <w:spacing w:line="360" w:lineRule="auto"/>
              <w:ind w:right="59"/>
              <w:jc w:val="right"/>
              <w:rPr>
                <w:sz w:val="24"/>
                <w:szCs w:val="24"/>
              </w:rPr>
            </w:pPr>
            <w:r>
              <w:rPr>
                <w:sz w:val="24"/>
                <w:szCs w:val="24"/>
              </w:rPr>
              <w:t>.</w:t>
            </w:r>
          </w:p>
        </w:tc>
        <w:tc>
          <w:tcPr>
            <w:tcW w:w="1530" w:type="dxa"/>
            <w:shd w:val="clear" w:color="auto" w:fill="auto"/>
          </w:tcPr>
          <w:p>
            <w:pPr>
              <w:spacing w:line="360" w:lineRule="auto"/>
              <w:ind w:right="56"/>
              <w:jc w:val="right"/>
              <w:rPr>
                <w:sz w:val="24"/>
                <w:szCs w:val="24"/>
              </w:rPr>
            </w:pPr>
            <w:r>
              <w:rPr>
                <w:sz w:val="24"/>
                <w:szCs w:val="24"/>
              </w:rPr>
              <w:t>.913</w:t>
            </w:r>
          </w:p>
        </w:tc>
      </w:tr>
      <w:tr>
        <w:tblPrEx>
          <w:tblCellMar>
            <w:top w:w="0" w:type="dxa"/>
            <w:left w:w="108" w:type="dxa"/>
            <w:bottom w:w="0" w:type="dxa"/>
            <w:right w:w="108" w:type="dxa"/>
          </w:tblCellMar>
        </w:tblPrEx>
        <w:trPr>
          <w:trHeight w:val="265" w:hRule="atLeast"/>
        </w:trPr>
        <w:tc>
          <w:tcPr>
            <w:tcW w:w="1928" w:type="dxa"/>
            <w:vMerge w:val="continue"/>
            <w:shd w:val="clear" w:color="auto" w:fill="auto"/>
          </w:tcPr>
          <w:p>
            <w:pPr>
              <w:spacing w:line="276" w:lineRule="auto"/>
              <w:rPr>
                <w:color w:val="000000"/>
                <w:sz w:val="24"/>
                <w:szCs w:val="24"/>
              </w:rPr>
            </w:pPr>
          </w:p>
        </w:tc>
        <w:tc>
          <w:tcPr>
            <w:tcW w:w="874" w:type="dxa"/>
            <w:vMerge w:val="continue"/>
            <w:shd w:val="clear" w:color="auto" w:fill="auto"/>
          </w:tcPr>
          <w:p>
            <w:pPr>
              <w:spacing w:line="276" w:lineRule="auto"/>
              <w:rPr>
                <w:sz w:val="24"/>
                <w:szCs w:val="24"/>
              </w:rPr>
            </w:pPr>
          </w:p>
        </w:tc>
        <w:tc>
          <w:tcPr>
            <w:tcW w:w="2827" w:type="dxa"/>
            <w:shd w:val="clear" w:color="auto" w:fill="auto"/>
          </w:tcPr>
          <w:p>
            <w:pPr>
              <w:spacing w:line="360" w:lineRule="auto"/>
              <w:ind w:left="60"/>
              <w:rPr>
                <w:sz w:val="24"/>
                <w:szCs w:val="24"/>
              </w:rPr>
            </w:pPr>
            <w:r>
              <w:rPr>
                <w:sz w:val="24"/>
                <w:szCs w:val="24"/>
              </w:rPr>
              <w:t>N</w:t>
            </w:r>
          </w:p>
        </w:tc>
        <w:tc>
          <w:tcPr>
            <w:tcW w:w="1440" w:type="dxa"/>
            <w:shd w:val="clear" w:color="auto" w:fill="auto"/>
          </w:tcPr>
          <w:p>
            <w:pPr>
              <w:spacing w:line="360" w:lineRule="auto"/>
              <w:ind w:right="56"/>
              <w:jc w:val="right"/>
              <w:rPr>
                <w:sz w:val="24"/>
                <w:szCs w:val="24"/>
              </w:rPr>
            </w:pPr>
            <w:r>
              <w:rPr>
                <w:sz w:val="24"/>
                <w:szCs w:val="24"/>
              </w:rPr>
              <w:t>98</w:t>
            </w:r>
          </w:p>
        </w:tc>
        <w:tc>
          <w:tcPr>
            <w:tcW w:w="1530" w:type="dxa"/>
            <w:shd w:val="clear" w:color="auto" w:fill="auto"/>
          </w:tcPr>
          <w:p>
            <w:pPr>
              <w:spacing w:line="360" w:lineRule="auto"/>
              <w:ind w:right="56"/>
              <w:jc w:val="right"/>
              <w:rPr>
                <w:sz w:val="24"/>
                <w:szCs w:val="24"/>
              </w:rPr>
            </w:pPr>
            <w:r>
              <w:rPr>
                <w:sz w:val="24"/>
                <w:szCs w:val="24"/>
              </w:rPr>
              <w:t>98</w:t>
            </w:r>
          </w:p>
        </w:tc>
      </w:tr>
      <w:tr>
        <w:tblPrEx>
          <w:tblCellMar>
            <w:top w:w="0" w:type="dxa"/>
            <w:left w:w="108" w:type="dxa"/>
            <w:bottom w:w="0" w:type="dxa"/>
            <w:right w:w="108" w:type="dxa"/>
          </w:tblCellMar>
        </w:tblPrEx>
        <w:trPr>
          <w:trHeight w:val="265" w:hRule="atLeast"/>
        </w:trPr>
        <w:tc>
          <w:tcPr>
            <w:tcW w:w="1928" w:type="dxa"/>
            <w:vMerge w:val="continue"/>
            <w:tcBorders>
              <w:bottom w:val="single" w:color="auto" w:sz="4" w:space="0"/>
            </w:tcBorders>
            <w:shd w:val="clear" w:color="auto" w:fill="auto"/>
          </w:tcPr>
          <w:p>
            <w:pPr>
              <w:spacing w:line="276" w:lineRule="auto"/>
              <w:rPr>
                <w:color w:val="000000"/>
                <w:sz w:val="24"/>
                <w:szCs w:val="24"/>
              </w:rPr>
            </w:pPr>
          </w:p>
        </w:tc>
        <w:tc>
          <w:tcPr>
            <w:tcW w:w="874" w:type="dxa"/>
            <w:vMerge w:val="restart"/>
            <w:tcBorders>
              <w:bottom w:val="single" w:color="auto" w:sz="4" w:space="0"/>
            </w:tcBorders>
            <w:shd w:val="clear" w:color="auto" w:fill="auto"/>
          </w:tcPr>
          <w:p>
            <w:pPr>
              <w:spacing w:line="360" w:lineRule="auto"/>
              <w:ind w:left="59"/>
              <w:rPr>
                <w:sz w:val="24"/>
                <w:szCs w:val="24"/>
              </w:rPr>
            </w:pPr>
            <w:r>
              <w:rPr>
                <w:sz w:val="24"/>
                <w:szCs w:val="24"/>
              </w:rPr>
              <w:t>RAC</w:t>
            </w:r>
          </w:p>
        </w:tc>
        <w:tc>
          <w:tcPr>
            <w:tcW w:w="2827" w:type="dxa"/>
            <w:shd w:val="clear" w:color="auto" w:fill="auto"/>
          </w:tcPr>
          <w:p>
            <w:pPr>
              <w:spacing w:line="360" w:lineRule="auto"/>
              <w:ind w:left="60"/>
              <w:rPr>
                <w:sz w:val="24"/>
                <w:szCs w:val="24"/>
              </w:rPr>
            </w:pPr>
            <w:r>
              <w:rPr>
                <w:sz w:val="24"/>
                <w:szCs w:val="24"/>
              </w:rPr>
              <w:t>Correlation Coefficient</w:t>
            </w:r>
          </w:p>
        </w:tc>
        <w:tc>
          <w:tcPr>
            <w:tcW w:w="1440" w:type="dxa"/>
            <w:shd w:val="clear" w:color="auto" w:fill="auto"/>
          </w:tcPr>
          <w:p>
            <w:pPr>
              <w:spacing w:line="360" w:lineRule="auto"/>
              <w:ind w:right="58"/>
              <w:jc w:val="right"/>
              <w:rPr>
                <w:sz w:val="24"/>
                <w:szCs w:val="24"/>
              </w:rPr>
            </w:pPr>
            <w:r>
              <w:rPr>
                <w:sz w:val="24"/>
                <w:szCs w:val="24"/>
              </w:rPr>
              <w:t>.011</w:t>
            </w:r>
          </w:p>
        </w:tc>
        <w:tc>
          <w:tcPr>
            <w:tcW w:w="1530" w:type="dxa"/>
            <w:shd w:val="clear" w:color="auto" w:fill="auto"/>
          </w:tcPr>
          <w:p>
            <w:pPr>
              <w:spacing w:line="360" w:lineRule="auto"/>
              <w:ind w:right="56"/>
              <w:jc w:val="right"/>
              <w:rPr>
                <w:sz w:val="24"/>
                <w:szCs w:val="24"/>
              </w:rPr>
            </w:pPr>
            <w:r>
              <w:rPr>
                <w:sz w:val="24"/>
                <w:szCs w:val="24"/>
              </w:rPr>
              <w:t>1.000</w:t>
            </w:r>
          </w:p>
        </w:tc>
      </w:tr>
      <w:tr>
        <w:tblPrEx>
          <w:tblCellMar>
            <w:top w:w="0" w:type="dxa"/>
            <w:left w:w="108" w:type="dxa"/>
            <w:bottom w:w="0" w:type="dxa"/>
            <w:right w:w="108" w:type="dxa"/>
          </w:tblCellMar>
        </w:tblPrEx>
        <w:trPr>
          <w:trHeight w:val="265" w:hRule="atLeast"/>
        </w:trPr>
        <w:tc>
          <w:tcPr>
            <w:tcW w:w="1928" w:type="dxa"/>
            <w:vMerge w:val="continue"/>
            <w:tcBorders>
              <w:top w:val="single" w:color="auto" w:sz="4" w:space="0"/>
              <w:bottom w:val="single" w:color="auto" w:sz="4" w:space="0"/>
            </w:tcBorders>
            <w:shd w:val="clear" w:color="auto" w:fill="auto"/>
          </w:tcPr>
          <w:p>
            <w:pPr>
              <w:spacing w:line="276" w:lineRule="auto"/>
              <w:rPr>
                <w:color w:val="000000"/>
                <w:sz w:val="24"/>
                <w:szCs w:val="24"/>
              </w:rPr>
            </w:pPr>
          </w:p>
        </w:tc>
        <w:tc>
          <w:tcPr>
            <w:tcW w:w="874" w:type="dxa"/>
            <w:vMerge w:val="continue"/>
            <w:tcBorders>
              <w:top w:val="single" w:color="auto" w:sz="4" w:space="0"/>
              <w:bottom w:val="single" w:color="auto" w:sz="4" w:space="0"/>
            </w:tcBorders>
            <w:shd w:val="clear" w:color="auto" w:fill="auto"/>
          </w:tcPr>
          <w:p>
            <w:pPr>
              <w:spacing w:line="276" w:lineRule="auto"/>
              <w:rPr>
                <w:sz w:val="24"/>
                <w:szCs w:val="24"/>
              </w:rPr>
            </w:pPr>
          </w:p>
        </w:tc>
        <w:tc>
          <w:tcPr>
            <w:tcW w:w="2827" w:type="dxa"/>
            <w:shd w:val="clear" w:color="auto" w:fill="auto"/>
          </w:tcPr>
          <w:p>
            <w:pPr>
              <w:spacing w:line="360" w:lineRule="auto"/>
              <w:ind w:left="60"/>
              <w:rPr>
                <w:sz w:val="24"/>
                <w:szCs w:val="24"/>
              </w:rPr>
            </w:pPr>
            <w:r>
              <w:rPr>
                <w:sz w:val="24"/>
                <w:szCs w:val="24"/>
              </w:rPr>
              <w:t>Sig. (2-tailed)</w:t>
            </w:r>
          </w:p>
        </w:tc>
        <w:tc>
          <w:tcPr>
            <w:tcW w:w="1440" w:type="dxa"/>
            <w:shd w:val="clear" w:color="auto" w:fill="auto"/>
          </w:tcPr>
          <w:p>
            <w:pPr>
              <w:spacing w:line="360" w:lineRule="auto"/>
              <w:ind w:right="58"/>
              <w:jc w:val="right"/>
              <w:rPr>
                <w:sz w:val="24"/>
                <w:szCs w:val="24"/>
              </w:rPr>
            </w:pPr>
            <w:r>
              <w:rPr>
                <w:sz w:val="24"/>
                <w:szCs w:val="24"/>
              </w:rPr>
              <w:t>.913</w:t>
            </w:r>
          </w:p>
        </w:tc>
        <w:tc>
          <w:tcPr>
            <w:tcW w:w="1530" w:type="dxa"/>
            <w:shd w:val="clear" w:color="auto" w:fill="auto"/>
          </w:tcPr>
          <w:p>
            <w:pPr>
              <w:spacing w:line="360" w:lineRule="auto"/>
              <w:ind w:right="58"/>
              <w:jc w:val="right"/>
              <w:rPr>
                <w:sz w:val="24"/>
                <w:szCs w:val="24"/>
              </w:rPr>
            </w:pPr>
            <w:r>
              <w:rPr>
                <w:sz w:val="24"/>
                <w:szCs w:val="24"/>
              </w:rPr>
              <w:t>.</w:t>
            </w:r>
          </w:p>
        </w:tc>
      </w:tr>
      <w:tr>
        <w:tblPrEx>
          <w:tblCellMar>
            <w:top w:w="0" w:type="dxa"/>
            <w:left w:w="108" w:type="dxa"/>
            <w:bottom w:w="0" w:type="dxa"/>
            <w:right w:w="108" w:type="dxa"/>
          </w:tblCellMar>
        </w:tblPrEx>
        <w:trPr>
          <w:trHeight w:val="287" w:hRule="atLeast"/>
        </w:trPr>
        <w:tc>
          <w:tcPr>
            <w:tcW w:w="1928" w:type="dxa"/>
            <w:vMerge w:val="continue"/>
            <w:tcBorders>
              <w:top w:val="single" w:color="auto" w:sz="4" w:space="0"/>
              <w:bottom w:val="single" w:color="auto" w:sz="4" w:space="0"/>
            </w:tcBorders>
            <w:shd w:val="clear" w:color="auto" w:fill="auto"/>
          </w:tcPr>
          <w:p>
            <w:pPr>
              <w:spacing w:line="276" w:lineRule="auto"/>
              <w:rPr>
                <w:color w:val="000000"/>
                <w:sz w:val="24"/>
                <w:szCs w:val="24"/>
              </w:rPr>
            </w:pPr>
          </w:p>
        </w:tc>
        <w:tc>
          <w:tcPr>
            <w:tcW w:w="874" w:type="dxa"/>
            <w:vMerge w:val="continue"/>
            <w:tcBorders>
              <w:top w:val="single" w:color="auto" w:sz="4" w:space="0"/>
              <w:bottom w:val="single" w:color="auto" w:sz="4" w:space="0"/>
            </w:tcBorders>
            <w:shd w:val="clear" w:color="auto" w:fill="auto"/>
          </w:tcPr>
          <w:p>
            <w:pPr>
              <w:spacing w:line="276" w:lineRule="auto"/>
              <w:rPr>
                <w:sz w:val="24"/>
                <w:szCs w:val="24"/>
              </w:rPr>
            </w:pPr>
          </w:p>
        </w:tc>
        <w:tc>
          <w:tcPr>
            <w:tcW w:w="2827" w:type="dxa"/>
            <w:tcBorders>
              <w:bottom w:val="single" w:color="auto" w:sz="4" w:space="0"/>
            </w:tcBorders>
            <w:shd w:val="clear" w:color="auto" w:fill="auto"/>
          </w:tcPr>
          <w:p>
            <w:pPr>
              <w:spacing w:line="360" w:lineRule="auto"/>
              <w:ind w:left="60"/>
              <w:rPr>
                <w:sz w:val="24"/>
                <w:szCs w:val="24"/>
              </w:rPr>
            </w:pPr>
            <w:r>
              <w:rPr>
                <w:sz w:val="24"/>
                <w:szCs w:val="24"/>
              </w:rPr>
              <w:t>N</w:t>
            </w:r>
          </w:p>
        </w:tc>
        <w:tc>
          <w:tcPr>
            <w:tcW w:w="1440" w:type="dxa"/>
            <w:tcBorders>
              <w:bottom w:val="single" w:color="auto" w:sz="4" w:space="0"/>
            </w:tcBorders>
            <w:shd w:val="clear" w:color="auto" w:fill="auto"/>
          </w:tcPr>
          <w:p>
            <w:pPr>
              <w:spacing w:line="360" w:lineRule="auto"/>
              <w:ind w:right="56"/>
              <w:jc w:val="right"/>
              <w:rPr>
                <w:sz w:val="24"/>
                <w:szCs w:val="24"/>
              </w:rPr>
            </w:pPr>
            <w:r>
              <w:rPr>
                <w:sz w:val="24"/>
                <w:szCs w:val="24"/>
              </w:rPr>
              <w:t>98</w:t>
            </w:r>
          </w:p>
        </w:tc>
        <w:tc>
          <w:tcPr>
            <w:tcW w:w="1530" w:type="dxa"/>
            <w:tcBorders>
              <w:bottom w:val="single" w:color="auto" w:sz="4" w:space="0"/>
            </w:tcBorders>
            <w:shd w:val="clear" w:color="auto" w:fill="auto"/>
          </w:tcPr>
          <w:p>
            <w:pPr>
              <w:spacing w:line="360" w:lineRule="auto"/>
              <w:ind w:right="56"/>
              <w:jc w:val="right"/>
              <w:rPr>
                <w:sz w:val="24"/>
                <w:szCs w:val="24"/>
              </w:rPr>
            </w:pPr>
            <w:r>
              <w:rPr>
                <w:sz w:val="24"/>
                <w:szCs w:val="24"/>
              </w:rPr>
              <w:t>98</w:t>
            </w:r>
          </w:p>
        </w:tc>
      </w:tr>
    </w:tbl>
    <w:p>
      <w:pPr>
        <w:jc w:val="both"/>
        <w:rPr>
          <w:color w:val="000000"/>
          <w:sz w:val="24"/>
          <w:szCs w:val="24"/>
          <w:lang w:val="id-ID"/>
        </w:rPr>
      </w:pPr>
      <w:bookmarkStart w:id="0" w:name="_GoBack"/>
      <w:bookmarkEnd w:id="0"/>
    </w:p>
    <w:p>
      <w:pPr>
        <w:ind w:firstLine="720"/>
        <w:jc w:val="both"/>
        <w:rPr>
          <w:color w:val="000000"/>
          <w:sz w:val="24"/>
          <w:szCs w:val="24"/>
          <w:lang w:val="id-ID"/>
        </w:rPr>
      </w:pPr>
      <w:r>
        <w:rPr>
          <w:color w:val="000000"/>
          <w:sz w:val="24"/>
          <w:szCs w:val="24"/>
          <w:lang w:val="id-ID"/>
        </w:rPr>
        <w:t>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reading achievement, the relationship is weak and statistically significant. Consequently, the null hypothesis (Ho) is accepted, while the alternative hypothesis (Hα) is rejected.</w:t>
      </w:r>
    </w:p>
    <w:p>
      <w:pPr>
        <w:jc w:val="both"/>
        <w:rPr>
          <w:b/>
          <w:bCs/>
          <w:color w:val="000000"/>
          <w:sz w:val="24"/>
          <w:szCs w:val="24"/>
        </w:rPr>
      </w:pPr>
    </w:p>
    <w:p>
      <w:pPr>
        <w:widowControl/>
        <w:autoSpaceDE/>
        <w:autoSpaceDN/>
        <w:rPr>
          <w:b/>
          <w:color w:val="000000"/>
          <w:sz w:val="24"/>
          <w:szCs w:val="24"/>
          <w:lang w:val="id-ID"/>
        </w:rPr>
      </w:pPr>
      <w:r>
        <w:rPr>
          <w:b/>
          <w:color w:val="000000"/>
          <w:sz w:val="24"/>
          <w:szCs w:val="24"/>
          <w:lang w:val="id-ID"/>
        </w:rPr>
        <w:br w:type="page"/>
      </w:r>
    </w:p>
    <w:p>
      <w:pPr>
        <w:jc w:val="both"/>
        <w:rPr>
          <w:b/>
          <w:color w:val="000000"/>
          <w:sz w:val="24"/>
          <w:szCs w:val="24"/>
          <w:lang w:val="id-ID"/>
        </w:rPr>
      </w:pPr>
      <w:r>
        <w:rPr>
          <w:b/>
          <w:color w:val="000000"/>
          <w:sz w:val="24"/>
          <w:szCs w:val="24"/>
          <w:lang w:val="id-ID"/>
        </w:rPr>
        <w:t>CONCLUSIONS</w:t>
      </w:r>
    </w:p>
    <w:p>
      <w:pPr>
        <w:ind w:firstLine="348"/>
        <w:jc w:val="both"/>
        <w:rPr>
          <w:rFonts w:hint="default"/>
          <w:color w:val="000000"/>
          <w:sz w:val="24"/>
          <w:szCs w:val="24"/>
          <w:lang w:val="id-ID"/>
        </w:rPr>
      </w:pPr>
      <w:r>
        <w:rPr>
          <w:rFonts w:hint="default"/>
          <w:color w:val="000000"/>
          <w:sz w:val="24"/>
          <w:szCs w:val="24"/>
          <w:lang w:val="id-ID"/>
        </w:rPr>
        <w:t xml:space="preserve">A study of grade XI students at MAN 1 Lahat found a weak correlation between reading attitude and reading comprehension achievement, but this correlation was not statistically significant. Despite a p-value of 0.011, lower than the critical r-table value of 0.196, indicating a relationship, it did not meet the threshold for significance. Additionally, the negligible contribution of reading attitudes to reading comprehension (a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 </w:t>
      </w:r>
    </w:p>
    <w:p>
      <w:pPr>
        <w:ind w:firstLine="348"/>
        <w:jc w:val="both"/>
        <w:rPr>
          <w:rFonts w:hint="default"/>
          <w:color w:val="000000"/>
          <w:sz w:val="24"/>
          <w:szCs w:val="24"/>
          <w:lang w:val="id-ID"/>
        </w:rPr>
      </w:pPr>
      <w:r>
        <w:rPr>
          <w:rFonts w:hint="default"/>
          <w:color w:val="000000"/>
          <w:sz w:val="24"/>
          <w:szCs w:val="24"/>
          <w:lang w:val="id-ID"/>
        </w:rPr>
        <w:t xml:space="preserve">The researcher identified several factors influencing the reading achievement of eleventh-grade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 </w:t>
      </w:r>
    </w:p>
    <w:p>
      <w:pPr>
        <w:ind w:firstLine="348"/>
        <w:jc w:val="both"/>
        <w:rPr>
          <w:rFonts w:hint="default"/>
          <w:color w:val="000000"/>
          <w:sz w:val="24"/>
          <w:szCs w:val="24"/>
          <w:lang w:val="id-ID"/>
        </w:rPr>
      </w:pPr>
      <w:r>
        <w:rPr>
          <w:rFonts w:hint="default"/>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pPr>
        <w:ind w:firstLine="348"/>
        <w:jc w:val="both"/>
        <w:rPr>
          <w:rFonts w:hint="default"/>
          <w:color w:val="000000"/>
          <w:sz w:val="24"/>
          <w:szCs w:val="24"/>
          <w:lang w:val="id-ID"/>
        </w:rPr>
      </w:pPr>
    </w:p>
    <w:p>
      <w:pPr>
        <w:spacing w:before="1"/>
        <w:jc w:val="both"/>
        <w:rPr>
          <w:b/>
          <w:sz w:val="24"/>
          <w:lang w:val="id-ID"/>
        </w:rPr>
      </w:pPr>
      <w:r>
        <w:rPr>
          <w:b/>
          <w:sz w:val="24"/>
          <w:lang w:val="id-ID"/>
        </w:rPr>
        <w:t>REFERENCES</w:t>
      </w:r>
    </w:p>
    <w:p>
      <w:pPr>
        <w:spacing w:before="1"/>
        <w:ind w:left="348" w:firstLine="720"/>
        <w:jc w:val="center"/>
        <w:rPr>
          <w:sz w:val="24"/>
          <w:lang w:val="id-ID"/>
        </w:rPr>
      </w:pPr>
    </w:p>
    <w:p>
      <w:pPr>
        <w:spacing w:before="1"/>
        <w:jc w:val="both"/>
        <w:rPr>
          <w:spacing w:val="-2"/>
          <w:sz w:val="24"/>
          <w:szCs w:val="24"/>
          <w:highlight w:val="none"/>
        </w:rPr>
      </w:pPr>
    </w:p>
    <w:p>
      <w:pPr>
        <w:spacing w:before="1"/>
        <w:jc w:val="both"/>
        <w:rPr>
          <w:rFonts w:hint="default"/>
          <w:spacing w:val="-2"/>
          <w:sz w:val="24"/>
          <w:szCs w:val="24"/>
          <w:highlight w:val="none"/>
          <w:lang w:val="en-US"/>
        </w:rPr>
      </w:pPr>
      <w:r>
        <w:rPr>
          <w:sz w:val="24"/>
          <w:szCs w:val="24"/>
          <w:highlight w:val="none"/>
        </w:rPr>
        <w:t>Al-Jawi,</w:t>
      </w:r>
      <w:r>
        <w:rPr>
          <w:spacing w:val="-8"/>
          <w:sz w:val="24"/>
          <w:szCs w:val="24"/>
          <w:highlight w:val="none"/>
        </w:rPr>
        <w:t xml:space="preserve"> </w:t>
      </w:r>
      <w:r>
        <w:rPr>
          <w:sz w:val="24"/>
          <w:szCs w:val="24"/>
          <w:highlight w:val="none"/>
        </w:rPr>
        <w:t>F.</w:t>
      </w:r>
      <w:r>
        <w:rPr>
          <w:spacing w:val="-7"/>
          <w:sz w:val="24"/>
          <w:szCs w:val="24"/>
          <w:highlight w:val="none"/>
        </w:rPr>
        <w:t xml:space="preserve"> </w:t>
      </w:r>
      <w:r>
        <w:rPr>
          <w:sz w:val="24"/>
          <w:szCs w:val="24"/>
          <w:highlight w:val="none"/>
        </w:rPr>
        <w:t>D.</w:t>
      </w:r>
      <w:r>
        <w:rPr>
          <w:spacing w:val="-5"/>
          <w:sz w:val="24"/>
          <w:szCs w:val="24"/>
          <w:highlight w:val="none"/>
        </w:rPr>
        <w:t xml:space="preserve"> </w:t>
      </w:r>
      <w:r>
        <w:rPr>
          <w:sz w:val="24"/>
          <w:szCs w:val="24"/>
          <w:highlight w:val="none"/>
        </w:rPr>
        <w:t>(2010).</w:t>
      </w:r>
      <w:r>
        <w:rPr>
          <w:spacing w:val="-7"/>
          <w:sz w:val="24"/>
          <w:szCs w:val="24"/>
          <w:highlight w:val="none"/>
        </w:rPr>
        <w:t xml:space="preserve"> </w:t>
      </w:r>
      <w:r>
        <w:rPr>
          <w:sz w:val="24"/>
          <w:szCs w:val="24"/>
          <w:highlight w:val="none"/>
        </w:rPr>
        <w:t>Teaching</w:t>
      </w:r>
      <w:r>
        <w:rPr>
          <w:spacing w:val="-5"/>
          <w:sz w:val="24"/>
          <w:szCs w:val="24"/>
          <w:highlight w:val="none"/>
        </w:rPr>
        <w:t xml:space="preserve"> </w:t>
      </w:r>
      <w:r>
        <w:rPr>
          <w:sz w:val="24"/>
          <w:szCs w:val="24"/>
          <w:highlight w:val="none"/>
        </w:rPr>
        <w:t>the</w:t>
      </w:r>
      <w:r>
        <w:rPr>
          <w:spacing w:val="-5"/>
          <w:sz w:val="24"/>
          <w:szCs w:val="24"/>
          <w:highlight w:val="none"/>
        </w:rPr>
        <w:t xml:space="preserve"> </w:t>
      </w:r>
      <w:r>
        <w:rPr>
          <w:sz w:val="24"/>
          <w:szCs w:val="24"/>
          <w:highlight w:val="none"/>
        </w:rPr>
        <w:t>receptive</w:t>
      </w:r>
      <w:r>
        <w:rPr>
          <w:spacing w:val="-4"/>
          <w:sz w:val="24"/>
          <w:szCs w:val="24"/>
          <w:highlight w:val="none"/>
        </w:rPr>
        <w:t xml:space="preserve"> </w:t>
      </w:r>
      <w:r>
        <w:rPr>
          <w:sz w:val="24"/>
          <w:szCs w:val="24"/>
          <w:highlight w:val="none"/>
        </w:rPr>
        <w:t>skills.</w:t>
      </w:r>
      <w:r>
        <w:rPr>
          <w:spacing w:val="-5"/>
          <w:sz w:val="24"/>
          <w:szCs w:val="24"/>
          <w:highlight w:val="none"/>
        </w:rPr>
        <w:t xml:space="preserve"> </w:t>
      </w:r>
      <w:r>
        <w:rPr>
          <w:i/>
          <w:sz w:val="24"/>
          <w:szCs w:val="24"/>
          <w:highlight w:val="none"/>
        </w:rPr>
        <w:t>Retrieved</w:t>
      </w:r>
      <w:r>
        <w:rPr>
          <w:i/>
          <w:spacing w:val="-2"/>
          <w:sz w:val="24"/>
          <w:szCs w:val="24"/>
          <w:highlight w:val="none"/>
        </w:rPr>
        <w:t xml:space="preserve"> </w:t>
      </w:r>
      <w:r>
        <w:rPr>
          <w:i/>
          <w:sz w:val="24"/>
          <w:szCs w:val="24"/>
          <w:highlight w:val="none"/>
        </w:rPr>
        <w:t>June</w:t>
      </w:r>
      <w:r>
        <w:rPr>
          <w:sz w:val="24"/>
          <w:szCs w:val="24"/>
          <w:highlight w:val="none"/>
        </w:rPr>
        <w:t>,</w:t>
      </w:r>
      <w:r>
        <w:rPr>
          <w:spacing w:val="-5"/>
          <w:sz w:val="24"/>
          <w:szCs w:val="24"/>
          <w:highlight w:val="none"/>
        </w:rPr>
        <w:t xml:space="preserve"> </w:t>
      </w:r>
      <w:r>
        <w:rPr>
          <w:i/>
          <w:sz w:val="24"/>
          <w:szCs w:val="24"/>
          <w:highlight w:val="none"/>
        </w:rPr>
        <w:t>17</w:t>
      </w:r>
      <w:r>
        <w:rPr>
          <w:sz w:val="24"/>
          <w:szCs w:val="24"/>
          <w:highlight w:val="none"/>
        </w:rPr>
        <w:t>,</w:t>
      </w:r>
      <w:r>
        <w:rPr>
          <w:spacing w:val="-4"/>
          <w:sz w:val="24"/>
          <w:szCs w:val="24"/>
          <w:highlight w:val="none"/>
        </w:rPr>
        <w:t xml:space="preserve"> </w:t>
      </w:r>
      <w:r>
        <w:rPr>
          <w:spacing w:val="-2"/>
          <w:sz w:val="24"/>
          <w:szCs w:val="24"/>
          <w:highlight w:val="none"/>
        </w:rPr>
        <w:t>2017.</w:t>
      </w:r>
    </w:p>
    <w:p>
      <w:pPr>
        <w:spacing w:before="1"/>
        <w:ind w:left="658" w:leftChars="0" w:hanging="658" w:hangingChars="279"/>
        <w:jc w:val="both"/>
        <w:rPr>
          <w:rFonts w:hint="default"/>
          <w:spacing w:val="-2"/>
          <w:sz w:val="24"/>
          <w:szCs w:val="24"/>
          <w:highlight w:val="none"/>
          <w:lang w:val="id-ID"/>
        </w:rPr>
      </w:pPr>
      <w:r>
        <w:rPr>
          <w:rFonts w:hint="default"/>
          <w:spacing w:val="-2"/>
          <w:sz w:val="24"/>
          <w:szCs w:val="24"/>
          <w:highlight w:val="none"/>
          <w:lang w:val="id-ID"/>
        </w:rPr>
        <w:t xml:space="preserve">Altun, D., Tantekin Erden, F., &amp; Hartman, D. K. (2022). Preliterate young children’s reading attitudes: Connections to the home literacy environment and maternal factors. </w:t>
      </w:r>
      <w:r>
        <w:rPr>
          <w:rFonts w:hint="default"/>
          <w:i/>
          <w:iCs/>
          <w:spacing w:val="-2"/>
          <w:sz w:val="24"/>
          <w:szCs w:val="24"/>
          <w:highlight w:val="none"/>
          <w:lang w:val="id-ID"/>
        </w:rPr>
        <w:t>Early Childhood Education Journal, 50</w:t>
      </w:r>
      <w:r>
        <w:rPr>
          <w:rFonts w:hint="default"/>
          <w:spacing w:val="-2"/>
          <w:sz w:val="24"/>
          <w:szCs w:val="24"/>
          <w:highlight w:val="none"/>
          <w:lang w:val="id-ID"/>
        </w:rPr>
        <w:t>(4), 567–578.</w:t>
      </w:r>
    </w:p>
    <w:p>
      <w:pPr>
        <w:spacing w:before="1"/>
        <w:ind w:left="658" w:leftChars="0" w:hanging="658" w:hangingChars="279"/>
        <w:jc w:val="both"/>
        <w:rPr>
          <w:rFonts w:hint="default"/>
          <w:spacing w:val="-2"/>
          <w:sz w:val="24"/>
          <w:szCs w:val="24"/>
          <w:highlight w:val="none"/>
          <w:lang w:val="en-US"/>
        </w:rPr>
      </w:pPr>
      <w:r>
        <w:rPr>
          <w:rFonts w:hint="default"/>
          <w:spacing w:val="-2"/>
          <w:sz w:val="24"/>
          <w:szCs w:val="24"/>
          <w:highlight w:val="none"/>
        </w:rPr>
        <w:t>Andini, M. S., &amp; Yukamana, H. (2024). The correlation between reading attitude and reading achievement of the students in the English classroom.</w:t>
      </w:r>
      <w:r>
        <w:rPr>
          <w:rFonts w:hint="default"/>
          <w:i/>
          <w:iCs/>
          <w:spacing w:val="-2"/>
          <w:sz w:val="24"/>
          <w:szCs w:val="24"/>
          <w:highlight w:val="none"/>
        </w:rPr>
        <w:t xml:space="preserve"> JPG: Jurnal Pendidikan Guru, </w:t>
      </w:r>
      <w:r>
        <w:rPr>
          <w:rFonts w:hint="default"/>
          <w:spacing w:val="-2"/>
          <w:sz w:val="24"/>
          <w:szCs w:val="24"/>
          <w:highlight w:val="none"/>
        </w:rPr>
        <w:t>5(2), 207-215</w:t>
      </w:r>
      <w:r>
        <w:rPr>
          <w:rFonts w:hint="default"/>
          <w:spacing w:val="-2"/>
          <w:sz w:val="24"/>
          <w:szCs w:val="24"/>
          <w:highlight w:val="none"/>
          <w:lang w:val="en-US"/>
        </w:rPr>
        <w:t>.</w:t>
      </w:r>
    </w:p>
    <w:p>
      <w:pPr>
        <w:spacing w:before="1"/>
        <w:ind w:left="669" w:leftChars="0" w:hanging="669" w:hangingChars="279"/>
        <w:jc w:val="both"/>
        <w:rPr>
          <w:sz w:val="24"/>
          <w:szCs w:val="24"/>
          <w:highlight w:val="none"/>
        </w:rPr>
      </w:pPr>
      <w:r>
        <w:rPr>
          <w:sz w:val="24"/>
          <w:szCs w:val="24"/>
          <w:highlight w:val="none"/>
        </w:rPr>
        <w:t>Bastug, M. (2014). The structural relationship of reading attitude, reading comprehension</w:t>
      </w:r>
      <w:r>
        <w:rPr>
          <w:spacing w:val="-5"/>
          <w:sz w:val="24"/>
          <w:szCs w:val="24"/>
          <w:highlight w:val="none"/>
        </w:rPr>
        <w:t xml:space="preserve"> </w:t>
      </w:r>
      <w:r>
        <w:rPr>
          <w:sz w:val="24"/>
          <w:szCs w:val="24"/>
          <w:highlight w:val="none"/>
        </w:rPr>
        <w:t>and</w:t>
      </w:r>
      <w:r>
        <w:rPr>
          <w:spacing w:val="-3"/>
          <w:sz w:val="24"/>
          <w:szCs w:val="24"/>
          <w:highlight w:val="none"/>
        </w:rPr>
        <w:t xml:space="preserve"> </w:t>
      </w:r>
      <w:r>
        <w:rPr>
          <w:sz w:val="24"/>
          <w:szCs w:val="24"/>
          <w:highlight w:val="none"/>
        </w:rPr>
        <w:t>academic</w:t>
      </w:r>
      <w:r>
        <w:rPr>
          <w:spacing w:val="-4"/>
          <w:sz w:val="24"/>
          <w:szCs w:val="24"/>
          <w:highlight w:val="none"/>
        </w:rPr>
        <w:t xml:space="preserve"> </w:t>
      </w:r>
      <w:r>
        <w:rPr>
          <w:sz w:val="24"/>
          <w:szCs w:val="24"/>
          <w:highlight w:val="none"/>
        </w:rPr>
        <w:t>achievement.</w:t>
      </w:r>
      <w:r>
        <w:rPr>
          <w:spacing w:val="-5"/>
          <w:sz w:val="24"/>
          <w:szCs w:val="24"/>
          <w:highlight w:val="none"/>
        </w:rPr>
        <w:t xml:space="preserve"> </w:t>
      </w:r>
      <w:r>
        <w:rPr>
          <w:i/>
          <w:sz w:val="24"/>
          <w:szCs w:val="24"/>
          <w:highlight w:val="none"/>
        </w:rPr>
        <w:t>International</w:t>
      </w:r>
      <w:r>
        <w:rPr>
          <w:i/>
          <w:spacing w:val="-5"/>
          <w:sz w:val="24"/>
          <w:szCs w:val="24"/>
          <w:highlight w:val="none"/>
        </w:rPr>
        <w:t xml:space="preserve"> </w:t>
      </w:r>
      <w:r>
        <w:rPr>
          <w:i/>
          <w:sz w:val="24"/>
          <w:szCs w:val="24"/>
          <w:highlight w:val="none"/>
        </w:rPr>
        <w:t>Journal</w:t>
      </w:r>
      <w:r>
        <w:rPr>
          <w:i/>
          <w:spacing w:val="-3"/>
          <w:sz w:val="24"/>
          <w:szCs w:val="24"/>
          <w:highlight w:val="none"/>
        </w:rPr>
        <w:t xml:space="preserve"> </w:t>
      </w:r>
      <w:r>
        <w:rPr>
          <w:i/>
          <w:sz w:val="24"/>
          <w:szCs w:val="24"/>
          <w:highlight w:val="none"/>
        </w:rPr>
        <w:t>of</w:t>
      </w:r>
      <w:r>
        <w:rPr>
          <w:i/>
          <w:spacing w:val="-5"/>
          <w:sz w:val="24"/>
          <w:szCs w:val="24"/>
          <w:highlight w:val="none"/>
        </w:rPr>
        <w:t xml:space="preserve"> </w:t>
      </w:r>
      <w:r>
        <w:rPr>
          <w:i/>
          <w:sz w:val="24"/>
          <w:szCs w:val="24"/>
          <w:highlight w:val="none"/>
        </w:rPr>
        <w:t>Social Sciences and Education</w:t>
      </w:r>
      <w:r>
        <w:rPr>
          <w:sz w:val="24"/>
          <w:szCs w:val="24"/>
          <w:highlight w:val="none"/>
        </w:rPr>
        <w:t xml:space="preserve">, </w:t>
      </w:r>
      <w:r>
        <w:rPr>
          <w:i/>
          <w:sz w:val="24"/>
          <w:szCs w:val="24"/>
          <w:highlight w:val="none"/>
        </w:rPr>
        <w:t>4</w:t>
      </w:r>
      <w:r>
        <w:rPr>
          <w:sz w:val="24"/>
          <w:szCs w:val="24"/>
          <w:highlight w:val="none"/>
        </w:rPr>
        <w:t>(4), 931-946.</w:t>
      </w:r>
    </w:p>
    <w:p>
      <w:pPr>
        <w:spacing w:before="1"/>
        <w:ind w:left="669" w:leftChars="0" w:hanging="669" w:hangingChars="279"/>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Etikan, I., Musa, S. A., &amp; Alkassim, R. S. (2016). Comparison of convenience sampling and purposive sampling. </w:t>
      </w:r>
      <w:r>
        <w:rPr>
          <w:rFonts w:hint="default" w:ascii="Times New Roman" w:hAnsi="Times New Roman" w:eastAsia="SimSun" w:cs="Times New Roman"/>
          <w:i/>
          <w:iCs/>
          <w:sz w:val="24"/>
          <w:szCs w:val="24"/>
        </w:rPr>
        <w:t xml:space="preserve">American journal of theoretical and applied statistics, </w:t>
      </w:r>
      <w:r>
        <w:rPr>
          <w:rFonts w:hint="default" w:ascii="Times New Roman" w:hAnsi="Times New Roman" w:eastAsia="SimSun" w:cs="Times New Roman"/>
          <w:sz w:val="24"/>
          <w:szCs w:val="24"/>
        </w:rPr>
        <w:t>5(1), 1-4.</w:t>
      </w:r>
    </w:p>
    <w:p>
      <w:pPr>
        <w:spacing w:before="1"/>
        <w:ind w:left="669" w:leftChars="0" w:hanging="669" w:hangingChars="279"/>
        <w:jc w:val="both"/>
        <w:rPr>
          <w:spacing w:val="-2"/>
          <w:sz w:val="24"/>
          <w:szCs w:val="24"/>
          <w:highlight w:val="none"/>
        </w:rPr>
      </w:pPr>
      <w:r>
        <w:rPr>
          <w:sz w:val="24"/>
          <w:szCs w:val="24"/>
          <w:highlight w:val="none"/>
        </w:rPr>
        <w:t xml:space="preserve">Gregory, R J. (2014). </w:t>
      </w:r>
      <w:r>
        <w:rPr>
          <w:i/>
          <w:iCs/>
          <w:sz w:val="24"/>
          <w:szCs w:val="24"/>
          <w:highlight w:val="none"/>
        </w:rPr>
        <w:t>Psychological testing: history, principles, and application</w:t>
      </w:r>
      <w:r>
        <w:rPr>
          <w:sz w:val="24"/>
          <w:szCs w:val="24"/>
          <w:highlight w:val="none"/>
        </w:rPr>
        <w:t>. (7th ed.). New</w:t>
      </w:r>
      <w:r>
        <w:rPr>
          <w:spacing w:val="-4"/>
          <w:sz w:val="24"/>
          <w:szCs w:val="24"/>
          <w:highlight w:val="none"/>
        </w:rPr>
        <w:t xml:space="preserve"> </w:t>
      </w:r>
      <w:r>
        <w:rPr>
          <w:sz w:val="24"/>
          <w:szCs w:val="24"/>
          <w:highlight w:val="none"/>
        </w:rPr>
        <w:t>York, NY:</w:t>
      </w:r>
      <w:r>
        <w:rPr>
          <w:spacing w:val="-2"/>
          <w:sz w:val="24"/>
          <w:szCs w:val="24"/>
          <w:highlight w:val="none"/>
        </w:rPr>
        <w:t xml:space="preserve"> </w:t>
      </w:r>
      <w:r>
        <w:rPr>
          <w:sz w:val="24"/>
          <w:szCs w:val="24"/>
          <w:highlight w:val="none"/>
        </w:rPr>
        <w:t xml:space="preserve">Pearson Education </w:t>
      </w:r>
      <w:r>
        <w:rPr>
          <w:spacing w:val="-2"/>
          <w:sz w:val="24"/>
          <w:szCs w:val="24"/>
          <w:highlight w:val="none"/>
        </w:rPr>
        <w:t>Group</w:t>
      </w:r>
    </w:p>
    <w:p>
      <w:pPr>
        <w:spacing w:before="1"/>
        <w:ind w:left="669" w:leftChars="0" w:hanging="669" w:hangingChars="279"/>
        <w:jc w:val="both"/>
        <w:rPr>
          <w:sz w:val="24"/>
          <w:szCs w:val="24"/>
          <w:highlight w:val="none"/>
        </w:rPr>
      </w:pPr>
      <w:r>
        <w:rPr>
          <w:sz w:val="24"/>
          <w:szCs w:val="24"/>
          <w:highlight w:val="none"/>
        </w:rPr>
        <w:t xml:space="preserve">Hagan, E. (2013). </w:t>
      </w:r>
      <w:r>
        <w:rPr>
          <w:i/>
          <w:sz w:val="24"/>
          <w:szCs w:val="24"/>
          <w:highlight w:val="none"/>
        </w:rPr>
        <w:t xml:space="preserve">Student reading attitudes in relation to the instructional approach </w:t>
      </w:r>
      <w:r>
        <w:rPr>
          <w:sz w:val="24"/>
          <w:szCs w:val="24"/>
          <w:highlight w:val="none"/>
        </w:rPr>
        <w:t>(Doctoral dissertation, Northwest Missouri State University).</w:t>
      </w:r>
    </w:p>
    <w:p>
      <w:pPr>
        <w:spacing w:before="1"/>
        <w:ind w:left="669" w:leftChars="0" w:hanging="669" w:hangingChars="279"/>
        <w:jc w:val="both"/>
        <w:rPr>
          <w:sz w:val="24"/>
          <w:szCs w:val="24"/>
          <w:highlight w:val="none"/>
        </w:rPr>
      </w:pPr>
      <w:r>
        <w:rPr>
          <w:sz w:val="24"/>
          <w:szCs w:val="24"/>
          <w:highlight w:val="none"/>
          <w:lang w:val="sv-SE"/>
        </w:rPr>
        <w:t xml:space="preserve">Hapsari, A. P. (2019). Identifikasi Faktor-Faktor Penyebab Kesulitan Membaca Siswa Kelas III. </w:t>
      </w:r>
      <w:r>
        <w:rPr>
          <w:i/>
          <w:sz w:val="24"/>
          <w:szCs w:val="24"/>
          <w:highlight w:val="none"/>
        </w:rPr>
        <w:t>Basic Education</w:t>
      </w:r>
      <w:r>
        <w:rPr>
          <w:sz w:val="24"/>
          <w:szCs w:val="24"/>
          <w:highlight w:val="none"/>
        </w:rPr>
        <w:t xml:space="preserve">, </w:t>
      </w:r>
      <w:r>
        <w:rPr>
          <w:i/>
          <w:sz w:val="24"/>
          <w:szCs w:val="24"/>
          <w:highlight w:val="none"/>
        </w:rPr>
        <w:t>8</w:t>
      </w:r>
      <w:r>
        <w:rPr>
          <w:sz w:val="24"/>
          <w:szCs w:val="24"/>
          <w:highlight w:val="none"/>
        </w:rPr>
        <w:t>(17), 1-631.</w:t>
      </w:r>
    </w:p>
    <w:p>
      <w:pPr>
        <w:spacing w:before="1"/>
        <w:ind w:left="669" w:leftChars="0" w:hanging="669" w:hangingChars="279"/>
        <w:jc w:val="both"/>
        <w:rPr>
          <w:sz w:val="24"/>
          <w:szCs w:val="24"/>
          <w:highlight w:val="none"/>
        </w:rPr>
      </w:pPr>
      <w:r>
        <w:rPr>
          <w:sz w:val="24"/>
          <w:szCs w:val="24"/>
          <w:highlight w:val="none"/>
        </w:rPr>
        <w:t xml:space="preserve">Hidayati, D. (2018). </w:t>
      </w:r>
      <w:r>
        <w:rPr>
          <w:i/>
          <w:sz w:val="24"/>
          <w:szCs w:val="24"/>
          <w:highlight w:val="none"/>
        </w:rPr>
        <w:t>Students difficulties in reading comprehension at the first grade of SMAN 1 Darussalam</w:t>
      </w:r>
      <w:r>
        <w:rPr>
          <w:i/>
          <w:spacing w:val="-3"/>
          <w:sz w:val="24"/>
          <w:szCs w:val="24"/>
          <w:highlight w:val="none"/>
        </w:rPr>
        <w:t xml:space="preserve"> </w:t>
      </w:r>
      <w:r>
        <w:rPr>
          <w:i/>
          <w:sz w:val="24"/>
          <w:szCs w:val="24"/>
          <w:highlight w:val="none"/>
        </w:rPr>
        <w:t xml:space="preserve">Aceh Besar </w:t>
      </w:r>
      <w:r>
        <w:rPr>
          <w:sz w:val="24"/>
          <w:szCs w:val="24"/>
          <w:highlight w:val="none"/>
        </w:rPr>
        <w:t>(Doctoral dissertation, UIN</w:t>
      </w:r>
      <w:r>
        <w:rPr>
          <w:spacing w:val="-5"/>
          <w:sz w:val="24"/>
          <w:szCs w:val="24"/>
          <w:highlight w:val="none"/>
        </w:rPr>
        <w:t xml:space="preserve"> </w:t>
      </w:r>
      <w:r>
        <w:rPr>
          <w:sz w:val="24"/>
          <w:szCs w:val="24"/>
          <w:highlight w:val="none"/>
        </w:rPr>
        <w:t>Ar- Raniry Banda Aceh).</w:t>
      </w:r>
    </w:p>
    <w:p>
      <w:pPr>
        <w:spacing w:before="1"/>
        <w:ind w:left="669" w:leftChars="0" w:hanging="669" w:hangingChars="279"/>
        <w:jc w:val="both"/>
        <w:rPr>
          <w:sz w:val="24"/>
          <w:szCs w:val="24"/>
          <w:highlight w:val="none"/>
        </w:rPr>
      </w:pPr>
      <w:r>
        <w:rPr>
          <w:sz w:val="24"/>
          <w:szCs w:val="24"/>
          <w:highlight w:val="none"/>
        </w:rPr>
        <w:t>Horiba, Y., &amp; Fukaya, K. (2015). Reading and learning from L2 text: Effects of reading goal, topic familiarity, and language proficiency.</w:t>
      </w:r>
    </w:p>
    <w:p>
      <w:pPr>
        <w:spacing w:before="1"/>
        <w:ind w:left="669" w:leftChars="0" w:hanging="669" w:hangingChars="279"/>
        <w:jc w:val="both"/>
        <w:rPr>
          <w:sz w:val="24"/>
          <w:szCs w:val="24"/>
          <w:highlight w:val="none"/>
        </w:rPr>
      </w:pPr>
      <w:r>
        <w:rPr>
          <w:sz w:val="24"/>
          <w:szCs w:val="24"/>
          <w:highlight w:val="none"/>
        </w:rPr>
        <w:t xml:space="preserve">Hossain, M. I. (2015). </w:t>
      </w:r>
      <w:r>
        <w:rPr>
          <w:i/>
          <w:sz w:val="24"/>
          <w:szCs w:val="24"/>
          <w:highlight w:val="none"/>
        </w:rPr>
        <w:t xml:space="preserve">Teaching productive skills to the students: a secondary level scenario </w:t>
      </w:r>
      <w:r>
        <w:rPr>
          <w:sz w:val="24"/>
          <w:szCs w:val="24"/>
          <w:highlight w:val="none"/>
        </w:rPr>
        <w:t>(Doctoral dissertation, BRAC University).</w:t>
      </w:r>
    </w:p>
    <w:p>
      <w:pPr>
        <w:spacing w:before="1"/>
        <w:ind w:left="669" w:leftChars="0" w:hanging="669" w:hangingChars="279"/>
        <w:jc w:val="both"/>
        <w:rPr>
          <w:rFonts w:hint="default"/>
          <w:sz w:val="24"/>
          <w:szCs w:val="24"/>
          <w:highlight w:val="none"/>
          <w:lang w:val="en-US"/>
        </w:rPr>
      </w:pPr>
      <w:r>
        <w:rPr>
          <w:sz w:val="24"/>
          <w:szCs w:val="24"/>
          <w:highlight w:val="none"/>
        </w:rPr>
        <w:t>Nunan,</w:t>
      </w:r>
      <w:r>
        <w:rPr>
          <w:spacing w:val="-5"/>
          <w:sz w:val="24"/>
          <w:szCs w:val="24"/>
          <w:highlight w:val="none"/>
        </w:rPr>
        <w:t xml:space="preserve"> </w:t>
      </w:r>
      <w:r>
        <w:rPr>
          <w:sz w:val="24"/>
          <w:szCs w:val="24"/>
          <w:highlight w:val="none"/>
        </w:rPr>
        <w:t>(2003).</w:t>
      </w:r>
      <w:r>
        <w:rPr>
          <w:spacing w:val="-3"/>
          <w:sz w:val="24"/>
          <w:szCs w:val="24"/>
          <w:highlight w:val="none"/>
        </w:rPr>
        <w:t xml:space="preserve"> </w:t>
      </w:r>
      <w:r>
        <w:rPr>
          <w:rFonts w:hint="default"/>
          <w:i/>
          <w:iCs/>
          <w:spacing w:val="-3"/>
          <w:sz w:val="24"/>
          <w:szCs w:val="24"/>
          <w:highlight w:val="none"/>
          <w:lang w:val="en-US"/>
        </w:rPr>
        <w:t>T</w:t>
      </w:r>
      <w:r>
        <w:rPr>
          <w:i/>
          <w:iCs/>
          <w:sz w:val="24"/>
          <w:szCs w:val="24"/>
          <w:highlight w:val="none"/>
        </w:rPr>
        <w:t>eaching</w:t>
      </w:r>
      <w:r>
        <w:rPr>
          <w:i/>
          <w:iCs/>
          <w:spacing w:val="-3"/>
          <w:sz w:val="24"/>
          <w:szCs w:val="24"/>
          <w:highlight w:val="none"/>
        </w:rPr>
        <w:t xml:space="preserve"> </w:t>
      </w:r>
      <w:r>
        <w:rPr>
          <w:i/>
          <w:iCs/>
          <w:sz w:val="24"/>
          <w:szCs w:val="24"/>
          <w:highlight w:val="none"/>
        </w:rPr>
        <w:t>Practical</w:t>
      </w:r>
      <w:r>
        <w:rPr>
          <w:i/>
          <w:iCs/>
          <w:spacing w:val="-5"/>
          <w:sz w:val="24"/>
          <w:szCs w:val="24"/>
          <w:highlight w:val="none"/>
        </w:rPr>
        <w:t xml:space="preserve"> </w:t>
      </w:r>
      <w:r>
        <w:rPr>
          <w:i/>
          <w:iCs/>
          <w:sz w:val="24"/>
          <w:szCs w:val="24"/>
          <w:highlight w:val="none"/>
        </w:rPr>
        <w:t>English</w:t>
      </w:r>
      <w:r>
        <w:rPr>
          <w:i/>
          <w:iCs/>
          <w:spacing w:val="-5"/>
          <w:sz w:val="24"/>
          <w:szCs w:val="24"/>
          <w:highlight w:val="none"/>
        </w:rPr>
        <w:t xml:space="preserve"> </w:t>
      </w:r>
      <w:r>
        <w:rPr>
          <w:i/>
          <w:iCs/>
          <w:sz w:val="24"/>
          <w:szCs w:val="24"/>
          <w:highlight w:val="none"/>
        </w:rPr>
        <w:t>language</w:t>
      </w:r>
      <w:r>
        <w:rPr>
          <w:spacing w:val="-1"/>
          <w:sz w:val="24"/>
          <w:szCs w:val="24"/>
          <w:highlight w:val="none"/>
        </w:rPr>
        <w:t xml:space="preserve"> </w:t>
      </w:r>
      <w:r>
        <w:rPr>
          <w:sz w:val="24"/>
          <w:szCs w:val="24"/>
          <w:highlight w:val="none"/>
        </w:rPr>
        <w:t>(1st</w:t>
      </w:r>
      <w:r>
        <w:rPr>
          <w:spacing w:val="-7"/>
          <w:sz w:val="24"/>
          <w:szCs w:val="24"/>
          <w:highlight w:val="none"/>
        </w:rPr>
        <w:t xml:space="preserve"> </w:t>
      </w:r>
      <w:r>
        <w:rPr>
          <w:sz w:val="24"/>
          <w:szCs w:val="24"/>
          <w:highlight w:val="none"/>
        </w:rPr>
        <w:t>Ed.).</w:t>
      </w:r>
      <w:r>
        <w:rPr>
          <w:rFonts w:hint="default"/>
          <w:sz w:val="24"/>
          <w:szCs w:val="24"/>
          <w:highlight w:val="none"/>
          <w:lang w:val="en-US"/>
        </w:rPr>
        <w:t xml:space="preserve"> </w:t>
      </w:r>
      <w:r>
        <w:rPr>
          <w:sz w:val="24"/>
          <w:szCs w:val="24"/>
          <w:highlight w:val="none"/>
        </w:rPr>
        <w:t>McGraw Hill</w:t>
      </w:r>
      <w:r>
        <w:rPr>
          <w:rFonts w:hint="default"/>
          <w:sz w:val="24"/>
          <w:szCs w:val="24"/>
          <w:highlight w:val="none"/>
          <w:lang w:val="en-US"/>
        </w:rPr>
        <w:t>.</w:t>
      </w:r>
    </w:p>
    <w:p>
      <w:pPr>
        <w:spacing w:before="1"/>
        <w:ind w:left="669" w:leftChars="0" w:hanging="669" w:hangingChars="279"/>
        <w:jc w:val="both"/>
        <w:rPr>
          <w:sz w:val="24"/>
          <w:szCs w:val="24"/>
          <w:highlight w:val="none"/>
          <w:lang w:val="id-ID"/>
        </w:rPr>
      </w:pPr>
      <w:r>
        <w:rPr>
          <w:rFonts w:hint="default"/>
          <w:sz w:val="24"/>
          <w:szCs w:val="24"/>
          <w:highlight w:val="none"/>
          <w:lang w:val="id-ID"/>
        </w:rPr>
        <w:t xml:space="preserve">Pramita, D., &amp; Anam, S. Y. A. F. I. U. L. (2019). Indonesian senior high school students reading attitude: In relation to comprehension and school setting. </w:t>
      </w:r>
      <w:r>
        <w:rPr>
          <w:rFonts w:hint="default"/>
          <w:i/>
          <w:iCs/>
          <w:sz w:val="24"/>
          <w:szCs w:val="24"/>
          <w:highlight w:val="none"/>
          <w:lang w:val="id-ID"/>
        </w:rPr>
        <w:t>RETAIN</w:t>
      </w:r>
      <w:r>
        <w:rPr>
          <w:rFonts w:hint="default"/>
          <w:sz w:val="24"/>
          <w:szCs w:val="24"/>
          <w:highlight w:val="none"/>
          <w:lang w:val="id-ID"/>
        </w:rPr>
        <w:t>, 7(2), 1-9</w:t>
      </w:r>
    </w:p>
    <w:p>
      <w:pPr>
        <w:spacing w:before="1"/>
        <w:ind w:left="669" w:leftChars="0" w:hanging="669" w:hangingChars="279"/>
        <w:jc w:val="both"/>
        <w:rPr>
          <w:sz w:val="24"/>
          <w:szCs w:val="24"/>
          <w:highlight w:val="none"/>
        </w:rPr>
      </w:pPr>
      <w:r>
        <w:rPr>
          <w:sz w:val="24"/>
          <w:szCs w:val="24"/>
          <w:highlight w:val="none"/>
        </w:rPr>
        <w:t xml:space="preserve">Sartika, E. (2014). </w:t>
      </w:r>
      <w:r>
        <w:rPr>
          <w:i/>
          <w:iCs/>
          <w:sz w:val="24"/>
          <w:szCs w:val="24"/>
          <w:highlight w:val="none"/>
        </w:rPr>
        <w:t>Survey on students reading attitudes, reading habit and reading comprehension achievement of PGRI University Palembang</w:t>
      </w:r>
      <w:r>
        <w:rPr>
          <w:sz w:val="24"/>
          <w:szCs w:val="24"/>
          <w:highlight w:val="none"/>
        </w:rPr>
        <w:t xml:space="preserve">. </w:t>
      </w:r>
      <w:r>
        <w:rPr>
          <w:rFonts w:hint="default"/>
          <w:sz w:val="24"/>
          <w:szCs w:val="24"/>
          <w:highlight w:val="none"/>
          <w:lang w:val="en-US"/>
        </w:rPr>
        <w:t>(</w:t>
      </w:r>
      <w:r>
        <w:rPr>
          <w:sz w:val="24"/>
          <w:szCs w:val="24"/>
          <w:highlight w:val="none"/>
        </w:rPr>
        <w:t xml:space="preserve">Unpublished </w:t>
      </w:r>
      <w:r>
        <w:rPr>
          <w:rFonts w:hint="default"/>
          <w:sz w:val="24"/>
          <w:szCs w:val="24"/>
          <w:highlight w:val="none"/>
          <w:lang w:val="en-US"/>
        </w:rPr>
        <w:t>m</w:t>
      </w:r>
      <w:r>
        <w:rPr>
          <w:sz w:val="24"/>
          <w:szCs w:val="24"/>
          <w:highlight w:val="none"/>
        </w:rPr>
        <w:t>aster</w:t>
      </w:r>
      <w:r>
        <w:rPr>
          <w:rFonts w:hint="default"/>
          <w:sz w:val="24"/>
          <w:szCs w:val="24"/>
          <w:highlight w:val="none"/>
          <w:lang w:val="en-US"/>
        </w:rPr>
        <w:t>’s</w:t>
      </w:r>
      <w:r>
        <w:rPr>
          <w:sz w:val="24"/>
          <w:szCs w:val="24"/>
          <w:highlight w:val="none"/>
        </w:rPr>
        <w:t xml:space="preserve"> </w:t>
      </w:r>
      <w:r>
        <w:rPr>
          <w:rFonts w:hint="default"/>
          <w:sz w:val="24"/>
          <w:szCs w:val="24"/>
          <w:highlight w:val="none"/>
          <w:lang w:val="en-US"/>
        </w:rPr>
        <w:t>t</w:t>
      </w:r>
      <w:r>
        <w:rPr>
          <w:sz w:val="24"/>
          <w:szCs w:val="24"/>
          <w:highlight w:val="none"/>
        </w:rPr>
        <w:t>hesis</w:t>
      </w:r>
      <w:r>
        <w:rPr>
          <w:rFonts w:hint="default"/>
          <w:sz w:val="24"/>
          <w:szCs w:val="24"/>
          <w:highlight w:val="none"/>
          <w:lang w:val="en-US"/>
        </w:rPr>
        <w:t>)</w:t>
      </w:r>
      <w:r>
        <w:rPr>
          <w:sz w:val="24"/>
          <w:szCs w:val="24"/>
          <w:highlight w:val="none"/>
        </w:rPr>
        <w:t>. Universitas Sriwijaya, Palembang, Indonesia.</w:t>
      </w:r>
    </w:p>
    <w:p>
      <w:pPr>
        <w:spacing w:before="1"/>
        <w:ind w:left="669" w:leftChars="0" w:hanging="669" w:hangingChars="279"/>
        <w:jc w:val="both"/>
        <w:rPr>
          <w:sz w:val="24"/>
          <w:szCs w:val="24"/>
          <w:highlight w:val="none"/>
        </w:rPr>
      </w:pPr>
      <w:r>
        <w:rPr>
          <w:sz w:val="24"/>
          <w:szCs w:val="24"/>
          <w:highlight w:val="none"/>
        </w:rPr>
        <w:t>Sartika, E. (2023).</w:t>
      </w:r>
      <w:r>
        <w:rPr>
          <w:i w:val="0"/>
          <w:iCs w:val="0"/>
          <w:sz w:val="24"/>
          <w:szCs w:val="24"/>
          <w:highlight w:val="none"/>
        </w:rPr>
        <w:t xml:space="preserve"> A closer look on student-teachers’ attitudes, habits, and their</w:t>
      </w:r>
      <w:r>
        <w:rPr>
          <w:i w:val="0"/>
          <w:iCs w:val="0"/>
          <w:spacing w:val="80"/>
          <w:sz w:val="24"/>
          <w:szCs w:val="24"/>
          <w:highlight w:val="none"/>
        </w:rPr>
        <w:t xml:space="preserve"> </w:t>
      </w:r>
      <w:r>
        <w:rPr>
          <w:i w:val="0"/>
          <w:iCs w:val="0"/>
          <w:sz w:val="24"/>
          <w:szCs w:val="24"/>
          <w:highlight w:val="none"/>
        </w:rPr>
        <w:t>comprehension</w:t>
      </w:r>
      <w:r>
        <w:rPr>
          <w:i w:val="0"/>
          <w:iCs w:val="0"/>
          <w:spacing w:val="80"/>
          <w:sz w:val="24"/>
          <w:szCs w:val="24"/>
          <w:highlight w:val="none"/>
        </w:rPr>
        <w:t xml:space="preserve"> </w:t>
      </w:r>
      <w:r>
        <w:rPr>
          <w:i w:val="0"/>
          <w:iCs w:val="0"/>
          <w:sz w:val="24"/>
          <w:szCs w:val="24"/>
          <w:highlight w:val="none"/>
        </w:rPr>
        <w:t>achievement</w:t>
      </w:r>
      <w:r>
        <w:rPr>
          <w:i w:val="0"/>
          <w:iCs w:val="0"/>
          <w:spacing w:val="80"/>
          <w:sz w:val="24"/>
          <w:szCs w:val="24"/>
          <w:highlight w:val="none"/>
        </w:rPr>
        <w:t xml:space="preserve"> </w:t>
      </w:r>
      <w:r>
        <w:rPr>
          <w:i w:val="0"/>
          <w:iCs w:val="0"/>
          <w:sz w:val="24"/>
          <w:szCs w:val="24"/>
          <w:highlight w:val="none"/>
        </w:rPr>
        <w:t>toward</w:t>
      </w:r>
      <w:r>
        <w:rPr>
          <w:i w:val="0"/>
          <w:iCs w:val="0"/>
          <w:spacing w:val="80"/>
          <w:sz w:val="24"/>
          <w:szCs w:val="24"/>
          <w:highlight w:val="none"/>
        </w:rPr>
        <w:t xml:space="preserve"> </w:t>
      </w:r>
      <w:r>
        <w:rPr>
          <w:i w:val="0"/>
          <w:iCs w:val="0"/>
          <w:sz w:val="24"/>
          <w:szCs w:val="24"/>
          <w:highlight w:val="none"/>
        </w:rPr>
        <w:t>reading</w:t>
      </w:r>
      <w:r>
        <w:rPr>
          <w:i w:val="0"/>
          <w:iCs w:val="0"/>
          <w:spacing w:val="80"/>
          <w:sz w:val="24"/>
          <w:szCs w:val="24"/>
          <w:highlight w:val="none"/>
        </w:rPr>
        <w:t xml:space="preserve"> </w:t>
      </w:r>
      <w:r>
        <w:rPr>
          <w:i w:val="0"/>
          <w:iCs w:val="0"/>
          <w:sz w:val="24"/>
          <w:szCs w:val="24"/>
          <w:highlight w:val="none"/>
        </w:rPr>
        <w:t>of</w:t>
      </w:r>
      <w:r>
        <w:rPr>
          <w:i w:val="0"/>
          <w:iCs w:val="0"/>
          <w:spacing w:val="80"/>
          <w:sz w:val="24"/>
          <w:szCs w:val="24"/>
          <w:highlight w:val="none"/>
        </w:rPr>
        <w:t xml:space="preserve"> </w:t>
      </w:r>
      <w:r>
        <w:rPr>
          <w:i w:val="0"/>
          <w:iCs w:val="0"/>
          <w:sz w:val="24"/>
          <w:szCs w:val="24"/>
          <w:highlight w:val="none"/>
        </w:rPr>
        <w:t>tertiary level</w:t>
      </w:r>
      <w:r>
        <w:rPr>
          <w:sz w:val="24"/>
          <w:szCs w:val="24"/>
          <w:highlight w:val="none"/>
        </w:rPr>
        <w:t xml:space="preserve">. </w:t>
      </w:r>
      <w:r>
        <w:rPr>
          <w:i/>
          <w:sz w:val="24"/>
          <w:szCs w:val="24"/>
          <w:highlight w:val="none"/>
        </w:rPr>
        <w:t>ENGLISH FRANCA: Academic Journal of English Language and Education</w:t>
      </w:r>
      <w:r>
        <w:rPr>
          <w:sz w:val="24"/>
          <w:szCs w:val="24"/>
          <w:highlight w:val="none"/>
        </w:rPr>
        <w:t xml:space="preserve">, </w:t>
      </w:r>
      <w:r>
        <w:rPr>
          <w:i/>
          <w:sz w:val="24"/>
          <w:szCs w:val="24"/>
          <w:highlight w:val="none"/>
        </w:rPr>
        <w:t>7</w:t>
      </w:r>
      <w:r>
        <w:rPr>
          <w:sz w:val="24"/>
          <w:szCs w:val="24"/>
          <w:highlight w:val="none"/>
        </w:rPr>
        <w:t>(1), 1-16.</w:t>
      </w:r>
    </w:p>
    <w:p>
      <w:pPr>
        <w:spacing w:before="1"/>
        <w:ind w:left="669" w:leftChars="0" w:hanging="669" w:hangingChars="279"/>
        <w:jc w:val="both"/>
        <w:rPr>
          <w:rFonts w:hint="default"/>
          <w:sz w:val="24"/>
          <w:szCs w:val="24"/>
          <w:highlight w:val="none"/>
          <w:lang w:val="id-ID"/>
        </w:rPr>
      </w:pPr>
      <w:r>
        <w:rPr>
          <w:rFonts w:hint="default"/>
          <w:sz w:val="24"/>
          <w:szCs w:val="24"/>
          <w:highlight w:val="none"/>
          <w:lang w:val="id-ID"/>
        </w:rPr>
        <w:t xml:space="preserve">Septianingsi, P. (2021). The correlation between reading attitude and reading comprehension of the tenth grade students of </w:t>
      </w:r>
      <w:r>
        <w:rPr>
          <w:rFonts w:hint="default"/>
          <w:sz w:val="24"/>
          <w:szCs w:val="24"/>
          <w:highlight w:val="none"/>
          <w:lang w:val="en-US"/>
        </w:rPr>
        <w:t>M</w:t>
      </w:r>
      <w:r>
        <w:rPr>
          <w:rFonts w:hint="default"/>
          <w:sz w:val="24"/>
          <w:szCs w:val="24"/>
          <w:highlight w:val="none"/>
          <w:lang w:val="id-ID"/>
        </w:rPr>
        <w:t xml:space="preserve">adrasah </w:t>
      </w:r>
      <w:r>
        <w:rPr>
          <w:rFonts w:hint="default"/>
          <w:sz w:val="24"/>
          <w:szCs w:val="24"/>
          <w:highlight w:val="none"/>
          <w:lang w:val="en-US"/>
        </w:rPr>
        <w:t>A</w:t>
      </w:r>
      <w:r>
        <w:rPr>
          <w:rFonts w:hint="default"/>
          <w:sz w:val="24"/>
          <w:szCs w:val="24"/>
          <w:highlight w:val="none"/>
          <w:lang w:val="id-ID"/>
        </w:rPr>
        <w:t xml:space="preserve">liyah </w:t>
      </w:r>
      <w:r>
        <w:rPr>
          <w:rFonts w:hint="default"/>
          <w:sz w:val="24"/>
          <w:szCs w:val="24"/>
          <w:highlight w:val="none"/>
          <w:lang w:val="en-US"/>
        </w:rPr>
        <w:t>N</w:t>
      </w:r>
      <w:r>
        <w:rPr>
          <w:rFonts w:hint="default"/>
          <w:sz w:val="24"/>
          <w:szCs w:val="24"/>
          <w:highlight w:val="none"/>
          <w:lang w:val="id-ID"/>
        </w:rPr>
        <w:t xml:space="preserve">egeri 2 </w:t>
      </w:r>
      <w:r>
        <w:rPr>
          <w:rFonts w:hint="default"/>
          <w:sz w:val="24"/>
          <w:szCs w:val="24"/>
          <w:highlight w:val="none"/>
          <w:lang w:val="en-US"/>
        </w:rPr>
        <w:t>P</w:t>
      </w:r>
      <w:r>
        <w:rPr>
          <w:rFonts w:hint="default"/>
          <w:sz w:val="24"/>
          <w:szCs w:val="24"/>
          <w:highlight w:val="none"/>
          <w:lang w:val="id-ID"/>
        </w:rPr>
        <w:t>alembang (Doctoral dissertation, Universitas Tridinanti).</w:t>
      </w:r>
    </w:p>
    <w:p>
      <w:pPr>
        <w:spacing w:before="1"/>
        <w:ind w:left="669" w:leftChars="0" w:hanging="669" w:hangingChars="279"/>
        <w:jc w:val="both"/>
        <w:rPr>
          <w:sz w:val="24"/>
          <w:szCs w:val="24"/>
          <w:highlight w:val="none"/>
          <w:lang w:val="id-ID"/>
        </w:rPr>
      </w:pPr>
      <w:r>
        <w:rPr>
          <w:sz w:val="24"/>
          <w:szCs w:val="24"/>
          <w:highlight w:val="none"/>
          <w:lang w:val="id-ID"/>
        </w:rPr>
        <w:t xml:space="preserve">Soliba, B. L., Pelila, J. R. O., Casuga, D. M. H., Villanueva, J. K. M., Bueno, M. G., Caligtan, J. A., ... &amp; Pangilinan, A. P. (2020). JLEET. </w:t>
      </w:r>
      <w:r>
        <w:rPr>
          <w:i/>
          <w:sz w:val="24"/>
          <w:szCs w:val="24"/>
          <w:highlight w:val="none"/>
          <w:lang w:val="id-ID"/>
        </w:rPr>
        <w:t>Journal of Language Education and Educational Technology</w:t>
      </w:r>
      <w:r>
        <w:rPr>
          <w:sz w:val="24"/>
          <w:szCs w:val="24"/>
          <w:highlight w:val="none"/>
          <w:lang w:val="id-ID"/>
        </w:rPr>
        <w:t xml:space="preserve"> Vol, 5(1), 1.</w:t>
      </w:r>
    </w:p>
    <w:p>
      <w:pPr>
        <w:spacing w:before="1"/>
        <w:ind w:left="669" w:leftChars="0" w:hanging="669" w:hangingChars="279"/>
        <w:jc w:val="both"/>
        <w:rPr>
          <w:sz w:val="24"/>
          <w:szCs w:val="24"/>
          <w:highlight w:val="none"/>
          <w:lang w:val="sv-SE"/>
        </w:rPr>
      </w:pPr>
      <w:r>
        <w:rPr>
          <w:sz w:val="24"/>
          <w:szCs w:val="24"/>
          <w:highlight w:val="none"/>
          <w:lang w:val="sv-SE"/>
        </w:rPr>
        <w:t xml:space="preserve">Sugiono. (2011). </w:t>
      </w:r>
      <w:r>
        <w:rPr>
          <w:i/>
          <w:iCs/>
          <w:sz w:val="24"/>
          <w:szCs w:val="24"/>
          <w:highlight w:val="none"/>
          <w:lang w:val="sv-SE"/>
        </w:rPr>
        <w:t>Metode</w:t>
      </w:r>
      <w:r>
        <w:rPr>
          <w:i/>
          <w:iCs/>
          <w:sz w:val="24"/>
          <w:szCs w:val="24"/>
          <w:highlight w:val="none"/>
          <w:lang w:val="id-ID"/>
        </w:rPr>
        <w:t xml:space="preserve"> </w:t>
      </w:r>
      <w:r>
        <w:rPr>
          <w:i/>
          <w:iCs/>
          <w:sz w:val="24"/>
          <w:szCs w:val="24"/>
          <w:highlight w:val="none"/>
          <w:lang w:val="sv-SE"/>
        </w:rPr>
        <w:t>penelitian</w:t>
      </w:r>
      <w:r>
        <w:rPr>
          <w:i/>
          <w:iCs/>
          <w:sz w:val="24"/>
          <w:szCs w:val="24"/>
          <w:highlight w:val="none"/>
          <w:lang w:val="id-ID"/>
        </w:rPr>
        <w:t xml:space="preserve"> </w:t>
      </w:r>
      <w:r>
        <w:rPr>
          <w:i/>
          <w:iCs/>
          <w:sz w:val="24"/>
          <w:szCs w:val="24"/>
          <w:highlight w:val="none"/>
          <w:lang w:val="sv-SE"/>
        </w:rPr>
        <w:t>pendidikan: Pendekatan</w:t>
      </w:r>
      <w:r>
        <w:rPr>
          <w:i/>
          <w:iCs/>
          <w:sz w:val="24"/>
          <w:szCs w:val="24"/>
          <w:highlight w:val="none"/>
          <w:lang w:val="id-ID"/>
        </w:rPr>
        <w:t xml:space="preserve"> </w:t>
      </w:r>
      <w:r>
        <w:rPr>
          <w:i/>
          <w:iCs/>
          <w:sz w:val="24"/>
          <w:szCs w:val="24"/>
          <w:highlight w:val="none"/>
          <w:lang w:val="sv-SE"/>
        </w:rPr>
        <w:t>kuantitatif, kualitatif, dan R&amp;D</w:t>
      </w:r>
      <w:r>
        <w:rPr>
          <w:sz w:val="24"/>
          <w:szCs w:val="24"/>
          <w:highlight w:val="none"/>
          <w:lang w:val="sv-SE"/>
        </w:rPr>
        <w:t>. Alfabeta</w:t>
      </w:r>
    </w:p>
    <w:p>
      <w:pPr>
        <w:spacing w:before="1"/>
        <w:ind w:left="669" w:leftChars="0" w:hanging="669" w:hangingChars="279"/>
        <w:jc w:val="both"/>
        <w:rPr>
          <w:sz w:val="24"/>
          <w:szCs w:val="24"/>
          <w:highlight w:val="none"/>
        </w:rPr>
      </w:pPr>
      <w:r>
        <w:rPr>
          <w:sz w:val="24"/>
          <w:szCs w:val="24"/>
          <w:highlight w:val="none"/>
          <w:lang w:val="sv-SE"/>
        </w:rPr>
        <w:t xml:space="preserve">Tunde-Awe, B. M. (2014). </w:t>
      </w:r>
      <w:r>
        <w:rPr>
          <w:sz w:val="24"/>
          <w:szCs w:val="24"/>
          <w:highlight w:val="none"/>
        </w:rPr>
        <w:t xml:space="preserve">Relationship between reading attitudes and reading comprehension performance of secondary school students in Kwara State, Nigeria. </w:t>
      </w:r>
      <w:r>
        <w:rPr>
          <w:i/>
          <w:sz w:val="24"/>
          <w:szCs w:val="24"/>
          <w:highlight w:val="none"/>
        </w:rPr>
        <w:t>Review of Arts and Humanities</w:t>
      </w:r>
      <w:r>
        <w:rPr>
          <w:sz w:val="24"/>
          <w:szCs w:val="24"/>
          <w:highlight w:val="none"/>
        </w:rPr>
        <w:t xml:space="preserve">, </w:t>
      </w:r>
      <w:r>
        <w:rPr>
          <w:i/>
          <w:sz w:val="24"/>
          <w:szCs w:val="24"/>
          <w:highlight w:val="none"/>
        </w:rPr>
        <w:t>3</w:t>
      </w:r>
      <w:r>
        <w:rPr>
          <w:sz w:val="24"/>
          <w:szCs w:val="24"/>
          <w:highlight w:val="none"/>
        </w:rPr>
        <w:t>(2), 203-215.</w:t>
      </w:r>
    </w:p>
    <w:p>
      <w:pPr>
        <w:pStyle w:val="4"/>
        <w:spacing w:before="240" w:line="360" w:lineRule="auto"/>
        <w:ind w:left="1788" w:right="1019" w:hanging="720"/>
        <w:jc w:val="both"/>
        <w:rPr>
          <w:lang w:val="id-ID"/>
        </w:rPr>
      </w:pPr>
    </w:p>
    <w:p>
      <w:pPr>
        <w:spacing w:before="239" w:line="360" w:lineRule="auto"/>
        <w:ind w:left="1788" w:right="1019" w:hanging="720"/>
        <w:jc w:val="both"/>
        <w:rPr>
          <w:sz w:val="24"/>
          <w:lang w:val="id-ID"/>
        </w:rPr>
      </w:pPr>
    </w:p>
    <w:p>
      <w:pPr>
        <w:spacing w:before="239" w:line="360" w:lineRule="auto"/>
        <w:ind w:left="1788" w:right="1019" w:hanging="720"/>
        <w:jc w:val="both"/>
        <w:rPr>
          <w:sz w:val="24"/>
          <w:lang w:val="id-ID"/>
        </w:rPr>
      </w:pPr>
    </w:p>
    <w:p>
      <w:pPr>
        <w:pStyle w:val="4"/>
        <w:spacing w:before="239" w:line="360" w:lineRule="auto"/>
        <w:ind w:left="1788" w:right="1021" w:hanging="720"/>
        <w:jc w:val="both"/>
        <w:rPr>
          <w:lang w:val="id-ID"/>
        </w:rPr>
      </w:pPr>
    </w:p>
    <w:sectPr>
      <w:footerReference r:id="rId3" w:type="default"/>
      <w:pgSz w:w="11906" w:h="16838"/>
      <w:pgMar w:top="1701" w:right="1701" w:bottom="1701" w:left="1701"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200182"/>
      <w:docPartObj>
        <w:docPartGallery w:val="autotext"/>
      </w:docPartObj>
    </w:sdtPr>
    <w:sdtContent>
      <w:p>
        <w:pPr>
          <w:pStyle w:val="8"/>
          <w:jc w:val="right"/>
        </w:pPr>
        <w:r>
          <w:fldChar w:fldCharType="begin"/>
        </w:r>
        <w:r>
          <w:instrText xml:space="preserve">PAGE   \* MERGEFORMAT</w:instrText>
        </w:r>
        <w:r>
          <w:fldChar w:fldCharType="separate"/>
        </w:r>
        <w:r>
          <w:rPr>
            <w:lang w:val="id-ID"/>
          </w:rPr>
          <w:t>2</w:t>
        </w:r>
        <w:r>
          <w:fldChar w:fldCharType="end"/>
        </w:r>
      </w:p>
    </w:sdtContent>
  </w:sdt>
  <w:p>
    <w:pPr>
      <w:pStyle w:val="8"/>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2"/>
  </w:compat>
  <w:rsids>
    <w:rsidRoot w:val="00777ECF"/>
    <w:rsid w:val="00006007"/>
    <w:rsid w:val="000550D4"/>
    <w:rsid w:val="0009115A"/>
    <w:rsid w:val="000D2BAA"/>
    <w:rsid w:val="000D38A6"/>
    <w:rsid w:val="000F5BE6"/>
    <w:rsid w:val="001E7C3D"/>
    <w:rsid w:val="00290E09"/>
    <w:rsid w:val="00306269"/>
    <w:rsid w:val="00324A0B"/>
    <w:rsid w:val="00352173"/>
    <w:rsid w:val="003B3318"/>
    <w:rsid w:val="003E70D0"/>
    <w:rsid w:val="00473163"/>
    <w:rsid w:val="004F1469"/>
    <w:rsid w:val="004F3BF4"/>
    <w:rsid w:val="0051471B"/>
    <w:rsid w:val="0054459C"/>
    <w:rsid w:val="005A46E4"/>
    <w:rsid w:val="005B67FE"/>
    <w:rsid w:val="005D27F8"/>
    <w:rsid w:val="006C1F95"/>
    <w:rsid w:val="006D2029"/>
    <w:rsid w:val="00727C92"/>
    <w:rsid w:val="007468F1"/>
    <w:rsid w:val="00770FA4"/>
    <w:rsid w:val="00777ECF"/>
    <w:rsid w:val="008254DC"/>
    <w:rsid w:val="00835409"/>
    <w:rsid w:val="00843434"/>
    <w:rsid w:val="008C6161"/>
    <w:rsid w:val="008D468A"/>
    <w:rsid w:val="00956A08"/>
    <w:rsid w:val="009E0DBC"/>
    <w:rsid w:val="00AB2BBD"/>
    <w:rsid w:val="00AD4338"/>
    <w:rsid w:val="00AF1214"/>
    <w:rsid w:val="00B23D6B"/>
    <w:rsid w:val="00BA1C7E"/>
    <w:rsid w:val="00BE2EA7"/>
    <w:rsid w:val="00C35BA8"/>
    <w:rsid w:val="00C44E02"/>
    <w:rsid w:val="00C77072"/>
    <w:rsid w:val="00CB6545"/>
    <w:rsid w:val="00D40EA7"/>
    <w:rsid w:val="00D53316"/>
    <w:rsid w:val="00DF130C"/>
    <w:rsid w:val="00E45D70"/>
    <w:rsid w:val="00EA704C"/>
    <w:rsid w:val="00ED67B5"/>
    <w:rsid w:val="00EE11C9"/>
    <w:rsid w:val="00F662C4"/>
    <w:rsid w:val="00FA6F8F"/>
    <w:rsid w:val="112F624C"/>
    <w:rsid w:val="19AD5996"/>
    <w:rsid w:val="3F65641E"/>
    <w:rsid w:val="53461250"/>
    <w:rsid w:val="59DD429F"/>
    <w:rsid w:val="638F30AD"/>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3"/>
    <w:qFormat/>
    <w:uiPriority w:val="1"/>
    <w:rPr>
      <w:sz w:val="24"/>
      <w:szCs w:val="24"/>
    </w:rPr>
  </w:style>
  <w:style w:type="character" w:styleId="5">
    <w:name w:val="annotation reference"/>
    <w:basedOn w:val="2"/>
    <w:semiHidden/>
    <w:unhideWhenUsed/>
    <w:uiPriority w:val="99"/>
    <w:rPr>
      <w:sz w:val="16"/>
      <w:szCs w:val="16"/>
    </w:rPr>
  </w:style>
  <w:style w:type="paragraph" w:styleId="6">
    <w:name w:val="annotation text"/>
    <w:basedOn w:val="1"/>
    <w:link w:val="14"/>
    <w:unhideWhenUsed/>
    <w:uiPriority w:val="99"/>
    <w:rPr>
      <w:sz w:val="20"/>
      <w:szCs w:val="20"/>
    </w:rPr>
  </w:style>
  <w:style w:type="paragraph" w:styleId="7">
    <w:name w:val="annotation subject"/>
    <w:basedOn w:val="6"/>
    <w:next w:val="6"/>
    <w:link w:val="15"/>
    <w:semiHidden/>
    <w:unhideWhenUsed/>
    <w:uiPriority w:val="99"/>
    <w:rPr>
      <w:b/>
      <w:bCs/>
    </w:rPr>
  </w:style>
  <w:style w:type="paragraph" w:styleId="8">
    <w:name w:val="footer"/>
    <w:basedOn w:val="1"/>
    <w:link w:val="17"/>
    <w:unhideWhenUsed/>
    <w:uiPriority w:val="99"/>
    <w:pPr>
      <w:tabs>
        <w:tab w:val="center" w:pos="4513"/>
        <w:tab w:val="right" w:pos="9026"/>
      </w:tabs>
    </w:pPr>
  </w:style>
  <w:style w:type="paragraph" w:styleId="9">
    <w:name w:val="header"/>
    <w:basedOn w:val="1"/>
    <w:link w:val="16"/>
    <w:unhideWhenUsed/>
    <w:uiPriority w:val="99"/>
    <w:pPr>
      <w:tabs>
        <w:tab w:val="center" w:pos="4513"/>
        <w:tab w:val="right" w:pos="9026"/>
      </w:tabs>
    </w:pPr>
  </w:style>
  <w:style w:type="character" w:styleId="10">
    <w:name w:val="Hyperlink"/>
    <w:basedOn w:val="2"/>
    <w:unhideWhenUsed/>
    <w:qFormat/>
    <w:uiPriority w:val="99"/>
    <w:rPr>
      <w:color w:val="0000FF" w:themeColor="hyperlink"/>
      <w:u w:val="single"/>
    </w:rPr>
  </w:style>
  <w:style w:type="paragraph" w:styleId="1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Body Text Char"/>
    <w:basedOn w:val="2"/>
    <w:link w:val="4"/>
    <w:qFormat/>
    <w:uiPriority w:val="1"/>
    <w:rPr>
      <w:rFonts w:ascii="Times New Roman" w:hAnsi="Times New Roman" w:eastAsia="Times New Roman" w:cs="Times New Roman"/>
      <w:kern w:val="0"/>
      <w:sz w:val="24"/>
      <w:szCs w:val="24"/>
      <w:lang w:val="en-US"/>
    </w:rPr>
  </w:style>
  <w:style w:type="character" w:customStyle="1" w:styleId="14">
    <w:name w:val="Comment Text Char"/>
    <w:basedOn w:val="2"/>
    <w:link w:val="6"/>
    <w:uiPriority w:val="99"/>
    <w:rPr>
      <w:rFonts w:ascii="Times New Roman" w:hAnsi="Times New Roman" w:eastAsia="Times New Roman" w:cs="Times New Roman"/>
      <w:lang w:val="en-US" w:eastAsia="en-US"/>
    </w:rPr>
  </w:style>
  <w:style w:type="character" w:customStyle="1" w:styleId="15">
    <w:name w:val="Comment Subject Char"/>
    <w:basedOn w:val="14"/>
    <w:link w:val="7"/>
    <w:semiHidden/>
    <w:uiPriority w:val="99"/>
    <w:rPr>
      <w:rFonts w:ascii="Times New Roman" w:hAnsi="Times New Roman" w:eastAsia="Times New Roman" w:cs="Times New Roman"/>
      <w:b/>
      <w:bCs/>
      <w:lang w:val="en-US" w:eastAsia="en-US"/>
    </w:rPr>
  </w:style>
  <w:style w:type="character" w:customStyle="1" w:styleId="16">
    <w:name w:val="Header Char"/>
    <w:basedOn w:val="2"/>
    <w:link w:val="9"/>
    <w:uiPriority w:val="99"/>
    <w:rPr>
      <w:rFonts w:ascii="Times New Roman" w:hAnsi="Times New Roman" w:eastAsia="Times New Roman" w:cs="Times New Roman"/>
      <w:sz w:val="22"/>
      <w:szCs w:val="22"/>
      <w:lang w:val="en-US" w:eastAsia="en-US"/>
    </w:rPr>
  </w:style>
  <w:style w:type="character" w:customStyle="1" w:styleId="17">
    <w:name w:val="Footer Char"/>
    <w:basedOn w:val="2"/>
    <w:link w:val="8"/>
    <w:uiPriority w:val="99"/>
    <w:rPr>
      <w:rFonts w:ascii="Times New Roman" w:hAnsi="Times New Roman" w:eastAsia="Times New Roman" w:cs="Times New Roman"/>
      <w:sz w:val="22"/>
      <w:szCs w:val="22"/>
      <w:lang w:val="en-US" w:eastAsia="en-US"/>
    </w:rPr>
  </w:style>
  <w:style w:type="character" w:customStyle="1" w:styleId="1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82DA1-F621-420F-850C-4F4068778F5C}">
  <ds:schemaRefs/>
</ds:datastoreItem>
</file>

<file path=docProps/app.xml><?xml version="1.0" encoding="utf-8"?>
<Properties xmlns="http://schemas.openxmlformats.org/officeDocument/2006/extended-properties" xmlns:vt="http://schemas.openxmlformats.org/officeDocument/2006/docPropsVTypes">
  <Template>Normal.dotm</Template>
  <Pages>8</Pages>
  <Words>2431</Words>
  <Characters>14588</Characters>
  <Lines>405</Lines>
  <Paragraphs>171</Paragraphs>
  <TotalTime>8</TotalTime>
  <ScaleCrop>false</ScaleCrop>
  <LinksUpToDate>false</LinksUpToDate>
  <CharactersWithSpaces>16848</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2024-06-22T04:16:00Z</dcterms:created>
  <dc:creator>Asus</dc:creator>
  <cp:lastModifiedBy>Renny Nur Ferlyanti</cp:lastModifiedBy>
  <dcterms:modified xsi:type="dcterms:W3CDTF">2024-11-03T02:35:28Z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