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15E5A">
      <w:pPr>
        <w:jc w:val="center"/>
        <w:rPr>
          <w:b/>
          <w:sz w:val="24"/>
          <w:szCs w:val="24"/>
          <w:lang w:val="id-ID"/>
        </w:rPr>
      </w:pPr>
      <w:r>
        <w:rPr>
          <w:b/>
          <w:sz w:val="24"/>
          <w:szCs w:val="24"/>
        </w:rPr>
        <w:t xml:space="preserve">SELF-ESTEEM AND READING COMPREHENSION: A CORRELATIONAL STUDY OF TENTH GRADERS </w:t>
      </w:r>
      <w:r>
        <w:rPr>
          <w:rStyle w:val="5"/>
        </w:rPr>
        <w:commentReference w:id="0"/>
      </w:r>
    </w:p>
    <w:p w14:paraId="2764A119">
      <w:pPr>
        <w:jc w:val="center"/>
        <w:rPr>
          <w:b/>
        </w:rPr>
      </w:pPr>
      <w:r>
        <w:rPr>
          <w:b/>
          <w:sz w:val="28"/>
          <w:szCs w:val="28"/>
        </w:rPr>
        <w:br w:type="textWrapping"/>
      </w:r>
      <w:r>
        <w:rPr>
          <w:b/>
        </w:rPr>
        <w:t>Aisya Perdana Asmaja</w:t>
      </w:r>
      <w:r>
        <w:rPr>
          <w:b/>
          <w:vertAlign w:val="superscript"/>
        </w:rPr>
        <w:t>1</w:t>
      </w:r>
      <w:r>
        <w:rPr>
          <w:b/>
        </w:rPr>
        <w:t>, Shynta Amalia</w:t>
      </w:r>
      <w:r>
        <w:rPr>
          <w:b/>
          <w:vertAlign w:val="superscript"/>
        </w:rPr>
        <w:t>2</w:t>
      </w:r>
      <w:r>
        <w:rPr>
          <w:b/>
        </w:rPr>
        <w:t>, Hariana Amalia</w:t>
      </w:r>
      <w:r>
        <w:rPr>
          <w:b/>
          <w:vertAlign w:val="superscript"/>
        </w:rPr>
        <w:t>3</w:t>
      </w:r>
    </w:p>
    <w:p w14:paraId="691D518C">
      <w:pPr>
        <w:jc w:val="center"/>
        <w:rPr>
          <w:b/>
        </w:rPr>
      </w:pPr>
      <w:r>
        <w:rPr>
          <w:b/>
        </w:rPr>
        <w:t>Universitas Islam Negeri Raden Fatah Palembang</w:t>
      </w:r>
      <w:r>
        <w:rPr>
          <w:b/>
        </w:rPr>
        <w:br w:type="textWrapping"/>
      </w:r>
      <w:r>
        <w:fldChar w:fldCharType="begin"/>
      </w:r>
      <w:r>
        <w:instrText xml:space="preserve"> HYPERLINK "mailto:1Asmajaaisya@gmail.com" </w:instrText>
      </w:r>
      <w:r>
        <w:fldChar w:fldCharType="separate"/>
      </w:r>
      <w:r>
        <w:rPr>
          <w:rStyle w:val="9"/>
          <w:b/>
          <w:vertAlign w:val="superscript"/>
        </w:rPr>
        <w:t>1</w:t>
      </w:r>
      <w:r>
        <w:rPr>
          <w:rStyle w:val="9"/>
          <w:b/>
        </w:rPr>
        <w:t>Asmajaaisya@gmail.com</w:t>
      </w:r>
      <w:r>
        <w:rPr>
          <w:rStyle w:val="9"/>
          <w:b/>
        </w:rPr>
        <w:fldChar w:fldCharType="end"/>
      </w:r>
      <w:r>
        <w:rPr>
          <w:b/>
        </w:rPr>
        <w:t xml:space="preserve">, </w:t>
      </w:r>
      <w:r>
        <w:fldChar w:fldCharType="begin"/>
      </w:r>
      <w:r>
        <w:instrText xml:space="preserve"> HYPERLINK "mailto:2shynta_amalia_uin@radenfatah.ac.id" </w:instrText>
      </w:r>
      <w:r>
        <w:fldChar w:fldCharType="separate"/>
      </w:r>
      <w:r>
        <w:rPr>
          <w:rStyle w:val="9"/>
          <w:b/>
          <w:vertAlign w:val="superscript"/>
        </w:rPr>
        <w:t>2</w:t>
      </w:r>
      <w:r>
        <w:rPr>
          <w:rStyle w:val="9"/>
          <w:b/>
        </w:rPr>
        <w:t>shynta_amalia_uin@radenfatah.ac.id</w:t>
      </w:r>
      <w:r>
        <w:rPr>
          <w:rStyle w:val="9"/>
          <w:b/>
        </w:rPr>
        <w:fldChar w:fldCharType="end"/>
      </w:r>
      <w:r>
        <w:rPr>
          <w:b/>
        </w:rPr>
        <w:t xml:space="preserve">, </w:t>
      </w:r>
      <w:r>
        <w:fldChar w:fldCharType="begin"/>
      </w:r>
      <w:r>
        <w:instrText xml:space="preserve"> HYPERLINK "mailto:3harianaamaliah_uin@radenfatah.ac.id" </w:instrText>
      </w:r>
      <w:r>
        <w:fldChar w:fldCharType="separate"/>
      </w:r>
      <w:r>
        <w:rPr>
          <w:rStyle w:val="9"/>
          <w:b/>
          <w:vertAlign w:val="superscript"/>
        </w:rPr>
        <w:t>3</w:t>
      </w:r>
      <w:r>
        <w:rPr>
          <w:rStyle w:val="9"/>
          <w:b/>
        </w:rPr>
        <w:t>harianaamaliah_uin@radenfatah.ac.id</w:t>
      </w:r>
      <w:r>
        <w:rPr>
          <w:rStyle w:val="9"/>
          <w:b/>
        </w:rPr>
        <w:fldChar w:fldCharType="end"/>
      </w:r>
      <w:r>
        <w:rPr>
          <w:b/>
        </w:rPr>
        <w:t xml:space="preserve">. </w:t>
      </w:r>
      <w:r>
        <w:rPr>
          <w:b/>
        </w:rPr>
        <w:br w:type="textWrapping"/>
      </w:r>
    </w:p>
    <w:p w14:paraId="533B6807">
      <w:pPr>
        <w:jc w:val="both"/>
        <w:rPr>
          <w:sz w:val="24"/>
          <w:szCs w:val="24"/>
        </w:rPr>
      </w:pPr>
      <w:r>
        <w:rPr>
          <w:b/>
          <w:sz w:val="24"/>
          <w:szCs w:val="24"/>
        </w:rPr>
        <w:t>ABSTRACT</w:t>
      </w:r>
      <w:r>
        <w:rPr>
          <w:sz w:val="24"/>
          <w:szCs w:val="24"/>
        </w:rPr>
        <w:t xml:space="preserve">: </w:t>
      </w:r>
      <w:r>
        <w:t>Reading is emphasized as a crucial activity for personal development and academic achievement. Strong reading comprehension skills not only support students’ academic performance but also contribute to the development of critical thinking and the expansion of knowledge. Therefore, understanding the factors that influence reading comprehension, such as self-esteem, is essential and worth exploring, particularly in the context of secondary education, where foundational skills and cognitive growth play a significant role in learning outcomes.</w:t>
      </w:r>
      <w:r>
        <w:rPr>
          <w:lang w:val="id-ID"/>
        </w:rPr>
        <w:t xml:space="preserve"> </w:t>
      </w:r>
      <w:commentRangeStart w:id="1"/>
      <w:r>
        <w:rPr>
          <w:lang w:val="id-ID"/>
        </w:rPr>
        <w:t xml:space="preserve">This study was aimed </w:t>
      </w:r>
      <w:r>
        <w:t>at investigating</w:t>
      </w:r>
      <w:r>
        <w:rPr>
          <w:lang w:val="id-ID"/>
        </w:rPr>
        <w:t xml:space="preserve"> the correlation between self-esteem and reading comprehension achievement among tenth</w:t>
      </w:r>
      <w:r>
        <w:t>-</w:t>
      </w:r>
      <w:r>
        <w:rPr>
          <w:lang w:val="id-ID"/>
        </w:rPr>
        <w:t xml:space="preserve">grade students at MA Patra Mandiri Palembang. </w:t>
      </w:r>
      <w:commentRangeEnd w:id="1"/>
      <w:r>
        <w:rPr>
          <w:rStyle w:val="5"/>
          <w:sz w:val="22"/>
          <w:szCs w:val="22"/>
        </w:rPr>
        <w:commentReference w:id="1"/>
      </w:r>
      <w:r>
        <w:t>To investigate the correlation between students’ self-esteem and their reading comprehension achievement, a correlational research method was applied. The study included nine classes of tenth-grade students, and a sample of 116 students was drawn using convenience sampling.</w:t>
      </w:r>
      <w:commentRangeStart w:id="2"/>
      <w:r>
        <w:rPr>
          <w:lang w:val="id-ID"/>
        </w:rPr>
        <w:t xml:space="preserve"> </w:t>
      </w:r>
      <w:commentRangeEnd w:id="2"/>
      <w:r>
        <w:rPr>
          <w:rStyle w:val="5"/>
          <w:sz w:val="22"/>
          <w:szCs w:val="22"/>
        </w:rPr>
        <w:commentReference w:id="2"/>
      </w:r>
      <w:commentRangeStart w:id="3"/>
      <w:r>
        <w:rPr>
          <w:lang w:val="id-ID"/>
        </w:rPr>
        <w:t>Data were collected using a ready</w:t>
      </w:r>
      <w:r>
        <w:t>-</w:t>
      </w:r>
      <w:r>
        <w:rPr>
          <w:lang w:val="id-ID"/>
        </w:rPr>
        <w:t>made self-esteem questionnaire</w:t>
      </w:r>
      <w:r>
        <w:t xml:space="preserve"> adopted by Kartika (2023) </w:t>
      </w:r>
      <w:r>
        <w:rPr>
          <w:lang w:val="id-ID"/>
        </w:rPr>
        <w:t xml:space="preserve">and a reading comprehension test. </w:t>
      </w:r>
      <w:commentRangeEnd w:id="3"/>
      <w:r>
        <w:rPr>
          <w:rStyle w:val="5"/>
          <w:sz w:val="22"/>
          <w:szCs w:val="22"/>
        </w:rPr>
        <w:commentReference w:id="3"/>
      </w:r>
      <w:commentRangeStart w:id="4"/>
      <w:r>
        <w:rPr>
          <w:lang w:val="id-ID"/>
        </w:rPr>
        <w:t xml:space="preserve">The findings </w:t>
      </w:r>
      <w:r>
        <w:t>indicated</w:t>
      </w:r>
      <w:r>
        <w:rPr>
          <w:lang w:val="id-ID"/>
        </w:rPr>
        <w:t xml:space="preserve"> that the correlation coefficient (r) was 0.125, which was lower than the critical value of </w:t>
      </w:r>
      <w:r>
        <w:t xml:space="preserve">the </w:t>
      </w:r>
      <w:r>
        <w:rPr>
          <w:lang w:val="id-ID"/>
        </w:rPr>
        <w:t xml:space="preserve">r-table (0.180). </w:t>
      </w:r>
      <w:commentRangeEnd w:id="4"/>
      <w:r>
        <w:rPr>
          <w:rStyle w:val="5"/>
          <w:sz w:val="22"/>
          <w:szCs w:val="22"/>
        </w:rPr>
        <w:commentReference w:id="4"/>
      </w:r>
      <w:commentRangeStart w:id="5"/>
      <w:r>
        <w:rPr>
          <w:lang w:val="id-ID"/>
        </w:rPr>
        <w:t>Based on these results, it can be concluded that there was a low but</w:t>
      </w:r>
      <w:r>
        <w:t xml:space="preserve"> in</w:t>
      </w:r>
      <w:r>
        <w:rPr>
          <w:lang w:val="id-ID"/>
        </w:rPr>
        <w:t>significant correlation between self-esteem and reading comprehension achievement of tenth grade students at MA Patra Mandiri Palembang.</w:t>
      </w:r>
      <w:r>
        <w:rPr>
          <w:sz w:val="24"/>
          <w:szCs w:val="24"/>
          <w:lang w:val="id-ID"/>
        </w:rPr>
        <w:tab/>
      </w:r>
      <w:commentRangeEnd w:id="5"/>
      <w:r>
        <w:rPr>
          <w:rStyle w:val="5"/>
        </w:rPr>
        <w:commentReference w:id="5"/>
      </w:r>
      <w:r>
        <w:rPr>
          <w:sz w:val="24"/>
          <w:szCs w:val="24"/>
        </w:rPr>
        <w:br w:type="textWrapping"/>
      </w:r>
      <w:r>
        <w:rPr>
          <w:sz w:val="24"/>
          <w:szCs w:val="24"/>
          <w:lang w:val="id-ID"/>
        </w:rPr>
        <w:br w:type="textWrapping"/>
      </w:r>
      <w:r>
        <w:rPr>
          <w:b/>
          <w:bCs/>
          <w:sz w:val="24"/>
          <w:szCs w:val="24"/>
          <w:lang w:val="id-ID"/>
        </w:rPr>
        <w:t>Keyword</w:t>
      </w:r>
      <w:r>
        <w:rPr>
          <w:sz w:val="24"/>
          <w:szCs w:val="24"/>
          <w:lang w:val="id-ID"/>
        </w:rPr>
        <w:t xml:space="preserve"> : </w:t>
      </w:r>
      <w:r>
        <w:rPr>
          <w:i/>
          <w:sz w:val="24"/>
          <w:szCs w:val="24"/>
          <w:lang w:val="id-ID"/>
        </w:rPr>
        <w:t>self-esteem, reading comprehension achievement</w:t>
      </w:r>
    </w:p>
    <w:tbl>
      <w:tblPr>
        <w:tblStyle w:val="12"/>
        <w:tblW w:w="0" w:type="auto"/>
        <w:tblInd w:w="0" w:type="dxa"/>
        <w:tblBorders>
          <w:top w:val="none" w:color="auto" w:sz="0" w:space="0"/>
          <w:left w:val="none" w:color="auto" w:sz="0" w:space="0"/>
          <w:bottom w:val="thinThickMediumGap" w:color="auto" w:sz="2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720"/>
      </w:tblGrid>
      <w:tr w14:paraId="3B685E7D">
        <w:tblPrEx>
          <w:tblBorders>
            <w:top w:val="none" w:color="auto" w:sz="0" w:space="0"/>
            <w:left w:val="none" w:color="auto" w:sz="0" w:space="0"/>
            <w:bottom w:val="thinThickMediumGap" w:color="auto" w:sz="2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287" w:type="dxa"/>
            <w:tcBorders>
              <w:tl2br w:val="nil"/>
              <w:tr2bl w:val="nil"/>
            </w:tcBorders>
          </w:tcPr>
          <w:p w14:paraId="3B781168">
            <w:pPr>
              <w:jc w:val="both"/>
              <w:rPr>
                <w:i/>
                <w:sz w:val="24"/>
                <w:szCs w:val="24"/>
                <w:lang w:val="id-ID"/>
              </w:rPr>
            </w:pPr>
          </w:p>
        </w:tc>
      </w:tr>
    </w:tbl>
    <w:p w14:paraId="5E113EA1">
      <w:pPr>
        <w:jc w:val="both"/>
        <w:rPr>
          <w:sz w:val="24"/>
          <w:szCs w:val="24"/>
        </w:rPr>
      </w:pPr>
    </w:p>
    <w:p w14:paraId="7A9BB00A">
      <w:pPr>
        <w:jc w:val="center"/>
        <w:rPr>
          <w:b/>
          <w:bCs/>
          <w:sz w:val="24"/>
          <w:szCs w:val="24"/>
        </w:rPr>
      </w:pPr>
      <w:r>
        <w:rPr>
          <w:b/>
          <w:bCs/>
          <w:sz w:val="24"/>
          <w:szCs w:val="24"/>
          <w:lang w:val="id-ID"/>
        </w:rPr>
        <w:t>HUBUNGAN ANTARA HARGA DIRI SISWA DENGAN HASIL PEMAHAMAN BACAAN SISWA KELAS SEPULUH</w:t>
      </w:r>
    </w:p>
    <w:p w14:paraId="189CE608">
      <w:pPr>
        <w:widowControl/>
        <w:autoSpaceDE/>
        <w:autoSpaceDN/>
        <w:rPr>
          <w:sz w:val="24"/>
          <w:szCs w:val="24"/>
          <w:lang w:val="id-ID" w:eastAsia="id-ID"/>
        </w:rPr>
      </w:pPr>
      <w:r>
        <w:rPr>
          <w:sz w:val="24"/>
          <w:szCs w:val="24"/>
          <w:lang w:val="id-ID" w:eastAsia="id-ID"/>
        </w:rPr>
        <w:pict>
          <v:rect id="_x0000_i1025" o:spt="1" style="height:1.5pt;width:0pt;" fillcolor="#A0A0A0" filled="t" stroked="f" coordsize="21600,21600" o:hr="t" o:hrstd="t" o:hralign="center">
            <v:path/>
            <v:fill on="t" focussize="0,0"/>
            <v:stroke on="f"/>
            <v:imagedata o:title=""/>
            <o:lock v:ext="edit"/>
            <w10:wrap type="none"/>
            <w10:anchorlock/>
          </v:rect>
        </w:pict>
      </w:r>
    </w:p>
    <w:p w14:paraId="1A9557EA">
      <w:pPr>
        <w:spacing w:before="100" w:beforeAutospacing="1" w:after="100" w:afterAutospacing="1"/>
        <w:jc w:val="both"/>
        <w:rPr>
          <w:sz w:val="24"/>
          <w:szCs w:val="24"/>
          <w:lang w:val="id-ID" w:eastAsia="id-ID"/>
        </w:rPr>
      </w:pPr>
      <w:r>
        <w:rPr>
          <w:b/>
        </w:rPr>
        <w:t>ABSTRAK</w:t>
      </w:r>
      <w:r>
        <w:t xml:space="preserve">: </w:t>
      </w:r>
      <w:r>
        <w:rPr>
          <w:lang w:val="id-ID" w:eastAsia="id-ID"/>
        </w:rPr>
        <w:t>Membaca ditekankan sebagai aktivitas yang krusial untuk pengembangan diri dan pencapaian akademik. Kemampuan pemahaman membaca yang kuat tidak hanya mendukung kinerja akademik siswa, tetapi juga berkontribusi pada pengembangan kemampuan berpikir kritis dan perluasan pengetahuan. Oleh karena itu, memahami faktor-faktor yang memengaruhi pemahaman membaca, seperti harga diri, sangat penting dan layak untuk diteliti, khususnya dalam konteks pendidikan menengah, di mana keterampilan dasar dan pertumbuhan kognitif memainkan peran signifikan dalam hasil belajar.</w:t>
      </w:r>
      <w:r>
        <w:rPr>
          <w:lang w:eastAsia="id-ID"/>
        </w:rPr>
        <w:t xml:space="preserve"> </w:t>
      </w:r>
      <w:r>
        <w:rPr>
          <w:lang w:val="id-ID" w:eastAsia="id-ID"/>
        </w:rPr>
        <w:t xml:space="preserve">Penelitian ini bertujuan untuk menyelidiki hubungan antara harga diri dan pencapaian pemahaman membaca di kalangan siswa kelas sepuluh MA Patra Mandiri Palembang. Untuk mengetahui korelasi antara harga diri siswa dan pencapaian pemahaman membaca mereka, metode penelitian korelasional digunakan. Penelitian ini melibatkan sembilan kelas siswa kelas sepuluh, dan sampel sebanyak 116 siswa diambil dengan menggunakan teknik convenience sampling. Data dikumpulkan menggunakan kuesioner harga diri siap pakai yang diadopsi dari Kartika (2023) dan tes pemahaman membaca. Hasil penelitian menunjukkan bahwa koefisien korelasi (r) sebesar 0,125, yang lebih rendah dari nilai kritis pada tabel r (0,180). Berdasarkan hasil tersebut, dapat disimpulkan bahwa terdapat korelasi yang rendah namun tidak signifikan antara harga diri dan pencapaian pemahaman </w:t>
      </w:r>
      <w:r>
        <w:rPr>
          <w:lang w:eastAsia="id-ID"/>
        </w:rPr>
        <w:br w:type="textWrapping"/>
      </w:r>
      <w:r>
        <w:rPr>
          <w:lang w:val="id-ID" w:eastAsia="id-ID"/>
        </w:rPr>
        <w:t>membaca siswa kelas sepuluh di MA Patra Mandiri Palembang.</w:t>
      </w:r>
      <w:r>
        <w:rPr>
          <w:lang w:eastAsia="id-ID"/>
        </w:rPr>
        <w:tab/>
      </w:r>
      <w:r>
        <w:rPr>
          <w:lang w:eastAsia="id-ID"/>
        </w:rPr>
        <w:br w:type="textWrapping"/>
      </w:r>
      <w:r>
        <w:rPr>
          <w:sz w:val="24"/>
          <w:szCs w:val="24"/>
        </w:rPr>
        <w:br w:type="textWrapping"/>
      </w:r>
      <w:r>
        <w:rPr>
          <w:b/>
          <w:bCs/>
          <w:i/>
          <w:sz w:val="24"/>
          <w:szCs w:val="24"/>
          <w:lang w:val="id-ID"/>
        </w:rPr>
        <w:t>Kata kunci:</w:t>
      </w:r>
      <w:r>
        <w:rPr>
          <w:i/>
          <w:sz w:val="24"/>
          <w:szCs w:val="24"/>
          <w:lang w:val="id-ID"/>
        </w:rPr>
        <w:t xml:space="preserve"> harga diri, prestasi pemahaman membaca</w:t>
      </w:r>
    </w:p>
    <w:tbl>
      <w:tblPr>
        <w:tblStyle w:val="12"/>
        <w:tblW w:w="0" w:type="auto"/>
        <w:tblInd w:w="0" w:type="dxa"/>
        <w:tblBorders>
          <w:top w:val="none" w:color="auto" w:sz="0" w:space="0"/>
          <w:left w:val="none" w:color="auto" w:sz="0" w:space="0"/>
          <w:bottom w:val="thinThickMediumGap" w:color="auto" w:sz="2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720"/>
      </w:tblGrid>
      <w:tr w14:paraId="65ACFF33">
        <w:tblPrEx>
          <w:tblBorders>
            <w:top w:val="none" w:color="auto" w:sz="0" w:space="0"/>
            <w:left w:val="none" w:color="auto" w:sz="0" w:space="0"/>
            <w:bottom w:val="thinThickMediumGap" w:color="auto" w:sz="2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287" w:type="dxa"/>
            <w:tcBorders>
              <w:tl2br w:val="nil"/>
              <w:tr2bl w:val="nil"/>
            </w:tcBorders>
          </w:tcPr>
          <w:p w14:paraId="3EB56B65">
            <w:pPr>
              <w:jc w:val="both"/>
              <w:rPr>
                <w:i/>
                <w:sz w:val="24"/>
                <w:szCs w:val="24"/>
                <w:lang w:val="id-ID"/>
              </w:rPr>
            </w:pPr>
          </w:p>
        </w:tc>
      </w:tr>
    </w:tbl>
    <w:p w14:paraId="66420383">
      <w:pPr>
        <w:jc w:val="both"/>
        <w:rPr>
          <w:i/>
          <w:sz w:val="24"/>
          <w:szCs w:val="24"/>
          <w:lang w:val="id-ID"/>
        </w:rPr>
      </w:pPr>
    </w:p>
    <w:p w14:paraId="2B784CE0">
      <w:pPr>
        <w:widowControl/>
        <w:tabs>
          <w:tab w:val="center" w:pos="4535"/>
        </w:tabs>
        <w:autoSpaceDE/>
        <w:autoSpaceDN/>
        <w:spacing w:after="200" w:line="276" w:lineRule="auto"/>
        <w:rPr>
          <w:sz w:val="24"/>
          <w:szCs w:val="24"/>
          <w:lang w:val="id-ID"/>
        </w:rPr>
      </w:pPr>
    </w:p>
    <w:p w14:paraId="622326CB">
      <w:pPr>
        <w:widowControl/>
        <w:autoSpaceDE/>
        <w:autoSpaceDN/>
        <w:rPr>
          <w:sz w:val="24"/>
          <w:szCs w:val="24"/>
          <w:lang w:val="id-ID"/>
        </w:rPr>
      </w:pPr>
      <w:r>
        <w:rPr>
          <w:sz w:val="24"/>
          <w:szCs w:val="24"/>
          <w:lang w:val="id-ID"/>
        </w:rPr>
        <w:br w:type="page"/>
      </w:r>
    </w:p>
    <w:p w14:paraId="4B480E03">
      <w:pPr>
        <w:widowControl/>
        <w:autoSpaceDE/>
        <w:autoSpaceDN/>
        <w:rPr>
          <w:b/>
          <w:sz w:val="24"/>
          <w:szCs w:val="24"/>
          <w:lang w:val="id-ID"/>
        </w:rPr>
      </w:pPr>
      <w:r>
        <w:rPr>
          <w:b/>
          <w:sz w:val="24"/>
          <w:szCs w:val="24"/>
          <w:lang w:val="id-ID"/>
        </w:rPr>
        <w:t>INTRODUCTION</w:t>
      </w:r>
    </w:p>
    <w:p w14:paraId="51BB141E">
      <w:pPr>
        <w:pStyle w:val="10"/>
        <w:spacing w:line="360" w:lineRule="auto"/>
        <w:ind w:firstLine="720"/>
        <w:jc w:val="both"/>
      </w:pPr>
      <w:r>
        <w:rPr>
          <w:sz w:val="52"/>
          <w:szCs w:val="52"/>
          <w:lang w:val="en-US"/>
        </w:rPr>
        <w:t>L</w:t>
      </w:r>
      <w:r>
        <w:rPr>
          <w:lang w:val="en-US"/>
        </w:rPr>
        <w:t>anguage plays a crucial role in global interactions, enabling people from diverse backgrounds to communicate effectively. English is globally recognized as a primary language for international communication (Indrayani, 2014), making it a vital subject in education</w:t>
      </w:r>
      <w:commentRangeStart w:id="6"/>
      <w:r>
        <w:t xml:space="preserve">. </w:t>
      </w:r>
      <w:commentRangeEnd w:id="6"/>
      <w:r>
        <w:rPr>
          <w:rStyle w:val="5"/>
          <w:lang w:val="en-US" w:eastAsia="en-US"/>
        </w:rPr>
        <w:commentReference w:id="6"/>
      </w:r>
      <w:r>
        <w:t>Proficiency in both written and spoken English is crucial for students to master (Rianyansa, 2022), as it is the predominant language used worldwide for international interactions. Four skills must be learned when studying English: speaking, reading,</w:t>
      </w:r>
      <w:r>
        <w:rPr>
          <w:spacing w:val="1"/>
        </w:rPr>
        <w:t xml:space="preserve"> </w:t>
      </w:r>
      <w:r>
        <w:t>writing, and listening (Falah, 2022). English plays a significant part in the</w:t>
      </w:r>
      <w:r>
        <w:rPr>
          <w:spacing w:val="1"/>
        </w:rPr>
        <w:t xml:space="preserve"> </w:t>
      </w:r>
      <w:r>
        <w:t>evolution of the academic discipline. The government has included it in the</w:t>
      </w:r>
      <w:r>
        <w:rPr>
          <w:spacing w:val="1"/>
        </w:rPr>
        <w:t xml:space="preserve"> </w:t>
      </w:r>
      <w:r>
        <w:t>curriculum. According to Lestari, et al (2019) English is a required subject in</w:t>
      </w:r>
      <w:r>
        <w:rPr>
          <w:spacing w:val="1"/>
        </w:rPr>
        <w:t xml:space="preserve"> </w:t>
      </w:r>
      <w:r>
        <w:t>junior high and senior high school. This incident highlights how crucial it is for</w:t>
      </w:r>
      <w:r>
        <w:rPr>
          <w:spacing w:val="-57"/>
        </w:rPr>
        <w:t xml:space="preserve"> </w:t>
      </w:r>
      <w:r>
        <w:t>all students to understand English. All of the abilities must be learned in order</w:t>
      </w:r>
      <w:r>
        <w:rPr>
          <w:spacing w:val="1"/>
        </w:rPr>
        <w:t xml:space="preserve"> </w:t>
      </w:r>
      <w:r>
        <w:t>to</w:t>
      </w:r>
      <w:r>
        <w:rPr>
          <w:spacing w:val="-6"/>
        </w:rPr>
        <w:t xml:space="preserve"> </w:t>
      </w:r>
      <w:r>
        <w:t>study</w:t>
      </w:r>
      <w:r>
        <w:rPr>
          <w:spacing w:val="-3"/>
        </w:rPr>
        <w:t xml:space="preserve"> </w:t>
      </w:r>
      <w:r>
        <w:t>this language</w:t>
      </w:r>
      <w:r>
        <w:rPr>
          <w:spacing w:val="1"/>
        </w:rPr>
        <w:t xml:space="preserve"> </w:t>
      </w:r>
      <w:r>
        <w:t>correctly.</w:t>
      </w:r>
      <w:r>
        <w:rPr>
          <w:lang w:val="en-US"/>
        </w:rPr>
        <w:t xml:space="preserve"> </w:t>
      </w:r>
      <w:r>
        <w:t>Reading is a cognitive process through which individuals decode written symbols to construct meaning</w:t>
      </w:r>
      <w:r>
        <w:rPr>
          <w:lang w:val="en-US"/>
        </w:rPr>
        <w:t xml:space="preserve"> (Julistri, 2024)</w:t>
      </w:r>
      <w:r>
        <w:t>.</w:t>
      </w:r>
      <w:r>
        <w:rPr>
          <w:lang w:val="en-US"/>
        </w:rPr>
        <w:t xml:space="preserve"> </w:t>
      </w:r>
      <w:r>
        <w:t xml:space="preserve">Reading is emphasized as a critical activity for personal growth and academic achievement (Mutahhara, 2021). </w:t>
      </w:r>
      <w:r>
        <w:rPr>
          <w:lang w:val="en-US"/>
        </w:rPr>
        <w:t>Reading profiency is crucial in all fields of study, especially when students encounter technical English vocabulary relevant to their areas of expertise. It strengthens their abilities in speaking, listening, and writing by requiring them to analyse and interpret written materials. Various resources, including books, articles, newspapers, and online media, play a vital role in this process. As a result, reading is essential for effective language learning</w:t>
      </w:r>
      <w:commentRangeStart w:id="7"/>
      <w:r>
        <w:t>.</w:t>
      </w:r>
      <w:r>
        <w:rPr>
          <w:spacing w:val="48"/>
        </w:rPr>
        <w:t xml:space="preserve"> </w:t>
      </w:r>
      <w:commentRangeEnd w:id="7"/>
      <w:r>
        <w:rPr>
          <w:rStyle w:val="5"/>
          <w:lang w:val="en-US" w:eastAsia="en-US"/>
        </w:rPr>
        <w:commentReference w:id="7"/>
      </w:r>
      <w:r>
        <w:t>According</w:t>
      </w:r>
      <w:r>
        <w:rPr>
          <w:spacing w:val="47"/>
        </w:rPr>
        <w:t xml:space="preserve"> </w:t>
      </w:r>
      <w:r>
        <w:t>to</w:t>
      </w:r>
      <w:r>
        <w:rPr>
          <w:spacing w:val="43"/>
        </w:rPr>
        <w:t xml:space="preserve"> </w:t>
      </w:r>
      <w:r>
        <w:t>Talebi (2015) reading</w:t>
      </w:r>
      <w:r>
        <w:rPr>
          <w:spacing w:val="-1"/>
        </w:rPr>
        <w:t xml:space="preserve"> </w:t>
      </w:r>
      <w:r>
        <w:t>is one of</w:t>
      </w:r>
      <w:r>
        <w:rPr>
          <w:spacing w:val="1"/>
        </w:rPr>
        <w:t xml:space="preserve"> </w:t>
      </w:r>
      <w:r>
        <w:t>the crucial</w:t>
      </w:r>
      <w:r>
        <w:rPr>
          <w:spacing w:val="2"/>
        </w:rPr>
        <w:t xml:space="preserve"> </w:t>
      </w:r>
      <w:r>
        <w:t>abilities</w:t>
      </w:r>
      <w:r>
        <w:rPr>
          <w:spacing w:val="-1"/>
        </w:rPr>
        <w:t xml:space="preserve"> </w:t>
      </w:r>
      <w:r>
        <w:t>in the</w:t>
      </w:r>
      <w:r>
        <w:rPr>
          <w:spacing w:val="-2"/>
        </w:rPr>
        <w:t xml:space="preserve"> </w:t>
      </w:r>
      <w:r>
        <w:t>process</w:t>
      </w:r>
      <w:r>
        <w:rPr>
          <w:spacing w:val="2"/>
        </w:rPr>
        <w:t xml:space="preserve"> </w:t>
      </w:r>
      <w:r>
        <w:t>of</w:t>
      </w:r>
      <w:r>
        <w:rPr>
          <w:spacing w:val="-2"/>
        </w:rPr>
        <w:t xml:space="preserve"> </w:t>
      </w:r>
      <w:r>
        <w:t>learning</w:t>
      </w:r>
      <w:r>
        <w:rPr>
          <w:spacing w:val="2"/>
        </w:rPr>
        <w:t xml:space="preserve"> </w:t>
      </w:r>
      <w:r>
        <w:t>a</w:t>
      </w:r>
      <w:r>
        <w:rPr>
          <w:spacing w:val="1"/>
        </w:rPr>
        <w:t xml:space="preserve"> </w:t>
      </w:r>
      <w:r>
        <w:t>language</w:t>
      </w:r>
      <w:r>
        <w:rPr>
          <w:spacing w:val="23"/>
        </w:rPr>
        <w:t xml:space="preserve"> </w:t>
      </w:r>
      <w:r>
        <w:t>since</w:t>
      </w:r>
      <w:r>
        <w:rPr>
          <w:spacing w:val="21"/>
        </w:rPr>
        <w:t xml:space="preserve"> </w:t>
      </w:r>
      <w:r>
        <w:t>it</w:t>
      </w:r>
      <w:r>
        <w:rPr>
          <w:spacing w:val="22"/>
        </w:rPr>
        <w:t xml:space="preserve"> </w:t>
      </w:r>
      <w:r>
        <w:t>allows</w:t>
      </w:r>
      <w:r>
        <w:rPr>
          <w:spacing w:val="24"/>
        </w:rPr>
        <w:t xml:space="preserve"> </w:t>
      </w:r>
      <w:r>
        <w:t>students</w:t>
      </w:r>
      <w:r>
        <w:rPr>
          <w:spacing w:val="20"/>
        </w:rPr>
        <w:t xml:space="preserve"> </w:t>
      </w:r>
      <w:r>
        <w:t>to</w:t>
      </w:r>
      <w:r>
        <w:rPr>
          <w:spacing w:val="24"/>
        </w:rPr>
        <w:t xml:space="preserve"> </w:t>
      </w:r>
      <w:r>
        <w:t>acquire</w:t>
      </w:r>
      <w:r>
        <w:rPr>
          <w:spacing w:val="28"/>
        </w:rPr>
        <w:t xml:space="preserve"> </w:t>
      </w:r>
      <w:r>
        <w:t>new</w:t>
      </w:r>
      <w:r>
        <w:rPr>
          <w:spacing w:val="31"/>
        </w:rPr>
        <w:t xml:space="preserve"> </w:t>
      </w:r>
      <w:r>
        <w:t>information</w:t>
      </w:r>
      <w:r>
        <w:rPr>
          <w:spacing w:val="17"/>
        </w:rPr>
        <w:t xml:space="preserve"> </w:t>
      </w:r>
      <w:r>
        <w:t>and</w:t>
      </w:r>
      <w:r>
        <w:rPr>
          <w:spacing w:val="30"/>
        </w:rPr>
        <w:t xml:space="preserve"> </w:t>
      </w:r>
      <w:r>
        <w:t>knowledge.</w:t>
      </w:r>
      <w:r>
        <w:tab/>
      </w:r>
      <w:r>
        <w:t xml:space="preserve"> </w:t>
      </w:r>
      <w:r>
        <w:br w:type="textWrapping"/>
      </w:r>
      <w:r>
        <w:t xml:space="preserve"> </w:t>
      </w:r>
      <w:r>
        <w:tab/>
      </w:r>
      <w:r>
        <w:rPr>
          <w:lang w:val="en-US"/>
        </w:rPr>
        <w:t>On December 5, the Ministry of Education, Culture, Research, and Technology (Mendikbudristek) released the PISA 2022 results, reporting remarkable progress for Indonesia. The country gained 5 to 6 positions in literacy compared to PISA 2018, reaching its highest standing in PISA history</w:t>
      </w:r>
      <w:commentRangeStart w:id="8"/>
      <w:r>
        <w:t xml:space="preserve">. </w:t>
      </w:r>
      <w:commentRangeEnd w:id="8"/>
      <w:r>
        <w:rPr>
          <w:rStyle w:val="5"/>
          <w:lang w:val="en-US" w:eastAsia="en-US"/>
        </w:rPr>
        <w:commentReference w:id="8"/>
      </w:r>
      <w:r>
        <w:t xml:space="preserve">This progress highlights Indonesia's education system's resilience amidst pandemic-related learning difficulties. Specifically, Indonesia's rankings in reading, mathematics, and science literacy each rose by 5 to 6 positions. Although there was a slight decrease of 12 points in reading literacy scores, Indonesia exceeded the international average decline of 18 points. </w:t>
      </w:r>
      <w:r>
        <w:rPr>
          <w:lang w:val="en-US"/>
        </w:rPr>
        <w:t>The PISA 2022 results, as a whole, reflect Indonesia’s steady progress and adaptability in facing global educational challenges. Effective reading comprehension requires more than just familiarity with vocabulary</w:t>
      </w:r>
      <w:commentRangeStart w:id="9"/>
      <w:r>
        <w:t xml:space="preserve">. </w:t>
      </w:r>
      <w:commentRangeEnd w:id="9"/>
      <w:r>
        <w:rPr>
          <w:rStyle w:val="5"/>
          <w:lang w:val="en-US" w:eastAsia="en-US"/>
        </w:rPr>
        <w:commentReference w:id="9"/>
      </w:r>
      <w:r>
        <w:t xml:space="preserve">Andres, as cited in Koosha,et.al (2016), highlights non-linguistic factors that significantly impact the reading process, including reader variables and text characteristics. </w:t>
      </w:r>
      <w:r>
        <w:rPr>
          <w:lang w:val="en-US"/>
        </w:rPr>
        <w:t>Strategies, background knowledge, motivation, personality, and self-esteem are among the key reader variables affecting reading comprehension. According to Bagheri and Faghih (2012), both reader and text variables play a crucial role in shaping reading and comprehension processes. These variables include strategies, background knowledge, motivation, personality, self-esteem, and gender</w:t>
      </w:r>
      <w:commentRangeStart w:id="10"/>
      <w:r>
        <w:t>.</w:t>
      </w:r>
      <w:r>
        <w:tab/>
      </w:r>
      <w:r>
        <w:t xml:space="preserve"> </w:t>
      </w:r>
      <w:r>
        <w:br w:type="textWrapping"/>
      </w:r>
      <w:commentRangeEnd w:id="10"/>
      <w:r>
        <w:rPr>
          <w:rStyle w:val="5"/>
          <w:lang w:val="en-US" w:eastAsia="en-US"/>
        </w:rPr>
        <w:commentReference w:id="10"/>
      </w:r>
      <w:r>
        <w:t xml:space="preserve"> </w:t>
      </w:r>
      <w:r>
        <w:tab/>
      </w:r>
      <w:r>
        <w:t>Self-esteem is an individual's overall evaluation or appraisal of their</w:t>
      </w:r>
      <w:r>
        <w:rPr>
          <w:spacing w:val="1"/>
        </w:rPr>
        <w:t xml:space="preserve"> </w:t>
      </w:r>
      <w:r>
        <w:t>own worth. It is the degree to which an individual values, accepts, and respects</w:t>
      </w:r>
      <w:r>
        <w:rPr>
          <w:spacing w:val="1"/>
        </w:rPr>
        <w:t xml:space="preserve"> </w:t>
      </w:r>
      <w:r>
        <w:t xml:space="preserve">themselves.  </w:t>
      </w:r>
      <w:r>
        <w:rPr>
          <w:spacing w:val="1"/>
        </w:rPr>
        <w:t xml:space="preserve"> </w:t>
      </w:r>
      <w:r>
        <w:t>According to Gustaman (2015), self-esteem is concerned with</w:t>
      </w:r>
      <w:r>
        <w:rPr>
          <w:spacing w:val="1"/>
        </w:rPr>
        <w:t xml:space="preserve"> </w:t>
      </w:r>
      <w:r>
        <w:t xml:space="preserve">how people feel about their abilities to perform tasks successfully. </w:t>
      </w:r>
      <w:r>
        <w:rPr>
          <w:lang w:val="en-US"/>
        </w:rPr>
        <w:t>Self-esteem develops through a combination of past experiences, social interactions, and individual traits. In language learning, particularly English, self-esteem significantly impacts a learner’s motivation and willingness to participate. According to Novia (2023), s</w:t>
      </w:r>
      <w:r>
        <w:t>tudents with higher levels of self-esteem are generally more active and engaged in classroom activities compared to those with lower levels of self-esteem</w:t>
      </w:r>
      <w:r>
        <w:rPr>
          <w:lang w:val="en-US"/>
        </w:rPr>
        <w:t>.</w:t>
      </w:r>
      <w:commentRangeStart w:id="11"/>
      <w:r>
        <w:t>.</w:t>
      </w:r>
      <w:commentRangeEnd w:id="11"/>
      <w:r>
        <w:rPr>
          <w:rStyle w:val="5"/>
          <w:lang w:val="en-US" w:eastAsia="en-US"/>
        </w:rPr>
        <w:commentReference w:id="11"/>
      </w:r>
    </w:p>
    <w:p w14:paraId="340F0A69">
      <w:pPr>
        <w:pStyle w:val="14"/>
        <w:jc w:val="left"/>
      </w:pPr>
      <w:r>
        <w:t>Top of Form</w:t>
      </w:r>
    </w:p>
    <w:p w14:paraId="2E1BAFC9">
      <w:pPr>
        <w:pStyle w:val="16"/>
      </w:pPr>
      <w:r>
        <w:t>Bottom of Form</w:t>
      </w:r>
    </w:p>
    <w:p w14:paraId="3685DA3C">
      <w:pPr>
        <w:pStyle w:val="14"/>
      </w:pPr>
      <w:r>
        <w:t>Top of Form</w:t>
      </w:r>
    </w:p>
    <w:p w14:paraId="51EADF8E">
      <w:pPr>
        <w:pStyle w:val="16"/>
      </w:pPr>
      <w:r>
        <w:t>Bottom of Form</w:t>
      </w:r>
    </w:p>
    <w:p w14:paraId="27A3FB39">
      <w:pPr>
        <w:widowControl/>
        <w:pBdr>
          <w:bottom w:val="single" w:color="auto" w:sz="6" w:space="1"/>
        </w:pBdr>
        <w:autoSpaceDE/>
        <w:autoSpaceDN/>
        <w:rPr>
          <w:rFonts w:ascii="Arial" w:hAnsi="Arial" w:cs="Arial"/>
          <w:vanish/>
          <w:sz w:val="16"/>
          <w:szCs w:val="16"/>
          <w:lang w:val="id-ID" w:eastAsia="id-ID"/>
        </w:rPr>
      </w:pPr>
      <w:r>
        <w:rPr>
          <w:rFonts w:ascii="Arial" w:hAnsi="Arial" w:cs="Arial"/>
          <w:vanish/>
          <w:sz w:val="16"/>
          <w:szCs w:val="16"/>
          <w:lang w:val="id-ID" w:eastAsia="id-ID"/>
        </w:rPr>
        <w:t>Top of Form</w:t>
      </w:r>
    </w:p>
    <w:p w14:paraId="1D0323C5">
      <w:pPr>
        <w:widowControl/>
        <w:pBdr>
          <w:top w:val="single" w:color="auto" w:sz="6" w:space="1"/>
        </w:pBdr>
        <w:autoSpaceDE/>
        <w:autoSpaceDN/>
        <w:jc w:val="center"/>
        <w:rPr>
          <w:rFonts w:ascii="Arial" w:hAnsi="Arial" w:cs="Arial"/>
          <w:vanish/>
          <w:sz w:val="16"/>
          <w:szCs w:val="16"/>
          <w:lang w:val="id-ID" w:eastAsia="id-ID"/>
        </w:rPr>
      </w:pPr>
      <w:r>
        <w:rPr>
          <w:rFonts w:ascii="Arial" w:hAnsi="Arial" w:cs="Arial"/>
          <w:vanish/>
          <w:sz w:val="16"/>
          <w:szCs w:val="16"/>
          <w:lang w:val="id-ID" w:eastAsia="id-ID"/>
        </w:rPr>
        <w:t>Bottom of Form</w:t>
      </w:r>
    </w:p>
    <w:p w14:paraId="3E894329">
      <w:pPr>
        <w:jc w:val="both"/>
      </w:pPr>
    </w:p>
    <w:p w14:paraId="6EFDB1B9">
      <w:pPr>
        <w:jc w:val="both"/>
        <w:rPr>
          <w:b/>
          <w:sz w:val="24"/>
          <w:szCs w:val="24"/>
        </w:rPr>
      </w:pPr>
      <w:r>
        <w:rPr>
          <w:b/>
          <w:sz w:val="24"/>
          <w:szCs w:val="24"/>
          <w:lang w:val="id-ID"/>
        </w:rPr>
        <w:t>METHOD</w:t>
      </w:r>
    </w:p>
    <w:p w14:paraId="1012C444">
      <w:pPr>
        <w:pStyle w:val="21"/>
        <w:numPr>
          <w:ilvl w:val="0"/>
          <w:numId w:val="1"/>
        </w:numPr>
        <w:ind w:left="284" w:hanging="284"/>
        <w:jc w:val="both"/>
        <w:rPr>
          <w:b/>
          <w:sz w:val="24"/>
          <w:szCs w:val="24"/>
        </w:rPr>
      </w:pPr>
      <w:r>
        <w:rPr>
          <w:b/>
          <w:sz w:val="24"/>
          <w:szCs w:val="24"/>
        </w:rPr>
        <w:t>Design</w:t>
      </w:r>
    </w:p>
    <w:p w14:paraId="1B5584BE">
      <w:pPr>
        <w:pStyle w:val="10"/>
        <w:spacing w:line="360" w:lineRule="auto"/>
        <w:jc w:val="both"/>
        <w:rPr>
          <w:rStyle w:val="5"/>
          <w:lang w:val="en-US" w:eastAsia="en-US"/>
        </w:rPr>
      </w:pPr>
      <w:r>
        <w:t xml:space="preserve"> </w:t>
      </w:r>
      <w:r>
        <w:tab/>
      </w:r>
      <w:r>
        <w:rPr>
          <w:lang w:val="en-US"/>
        </w:rPr>
        <w:t xml:space="preserve">A quantitative approach was adopted in this study, incorporating correlational analysis to explore the relationship between self-esteem and reading comprehension achievement. </w:t>
      </w:r>
      <w:r>
        <w:rPr>
          <w:rStyle w:val="11"/>
          <w:b w:val="0"/>
        </w:rPr>
        <w:t>Correlation</w:t>
      </w:r>
      <w:r>
        <w:t xml:space="preserve"> is a statistical measure that describes the extent to which two variables are related to each other.</w:t>
      </w:r>
      <w:r>
        <w:rPr>
          <w:lang w:val="en-US"/>
        </w:rPr>
        <w:t xml:space="preserve"> Creswell and Creswell (2023) highlight that research design functions as a blueprint that assists researchers in structuring their studies. In alignment with this principle, the present study examines these variables to derive meaningful insights</w:t>
      </w:r>
      <w:commentRangeStart w:id="12"/>
      <w:r>
        <w:t>.</w:t>
      </w:r>
      <w:commentRangeEnd w:id="12"/>
      <w:r>
        <w:rPr>
          <w:rStyle w:val="5"/>
          <w:lang w:val="en-US" w:eastAsia="en-US"/>
        </w:rPr>
        <w:commentReference w:id="12"/>
      </w:r>
    </w:p>
    <w:p w14:paraId="4C5511E3">
      <w:pPr>
        <w:pStyle w:val="10"/>
        <w:spacing w:line="360" w:lineRule="auto"/>
        <w:jc w:val="both"/>
        <w:rPr>
          <w:rStyle w:val="5"/>
          <w:lang w:val="en-US" w:eastAsia="en-US"/>
        </w:rPr>
      </w:pPr>
    </w:p>
    <w:p w14:paraId="6682AD1F">
      <w:pPr>
        <w:pStyle w:val="10"/>
        <w:spacing w:line="360" w:lineRule="auto"/>
        <w:jc w:val="both"/>
        <w:rPr>
          <w:rStyle w:val="5"/>
          <w:lang w:val="id-ID" w:eastAsia="en-US"/>
        </w:rPr>
      </w:pPr>
    </w:p>
    <w:p w14:paraId="2855DF56">
      <w:pPr>
        <w:pStyle w:val="21"/>
        <w:numPr>
          <w:ilvl w:val="0"/>
          <w:numId w:val="1"/>
        </w:numPr>
        <w:ind w:left="284"/>
        <w:jc w:val="both"/>
        <w:rPr>
          <w:b/>
          <w:sz w:val="24"/>
          <w:szCs w:val="24"/>
          <w:lang w:val="id-ID"/>
        </w:rPr>
      </w:pPr>
      <w:r>
        <w:rPr>
          <w:b/>
          <w:sz w:val="24"/>
          <w:szCs w:val="24"/>
          <w:lang w:val="id-ID"/>
        </w:rPr>
        <w:t>Sample</w:t>
      </w:r>
    </w:p>
    <w:p w14:paraId="64905CF3">
      <w:pPr>
        <w:pStyle w:val="10"/>
        <w:spacing w:line="360" w:lineRule="auto"/>
        <w:jc w:val="both"/>
      </w:pPr>
      <w:r>
        <w:t xml:space="preserve"> </w:t>
      </w:r>
      <w:r>
        <w:tab/>
      </w:r>
      <w:r>
        <w:rPr>
          <w:lang w:val="en-US"/>
        </w:rPr>
        <w:t>The population in this study refers to the entire group of students who share similar characteristics. Specifically, the population comprised all 236 tenth-grade students at MA Patra Mandiri Palembang. The researchers employed convenience sampling, a nonprobability sampling technique, to select participants from classes X A, X B and X C, totaling 116 students. Etikan et al. (2016) define convenience sampling also referred to as opportunity or accidental sampling as a method based on participant availability and accessibility. The selected sample consisted of 37 students from Class A, 40 from Class B, and 39 from Class C.</w:t>
      </w:r>
      <w:r>
        <w:rPr>
          <w:rStyle w:val="5"/>
          <w:lang w:val="en-US" w:eastAsia="en-US"/>
        </w:rPr>
        <w:commentReference w:id="13"/>
      </w:r>
    </w:p>
    <w:p w14:paraId="146CC6F2">
      <w:pPr>
        <w:pStyle w:val="14"/>
        <w:jc w:val="left"/>
      </w:pPr>
      <w:r>
        <w:t>Top of Form</w:t>
      </w:r>
    </w:p>
    <w:p w14:paraId="6DD97D8C">
      <w:pPr>
        <w:pStyle w:val="16"/>
      </w:pPr>
      <w:r>
        <w:t>Bottom of Form</w:t>
      </w:r>
    </w:p>
    <w:p w14:paraId="2AB23D12">
      <w:pPr>
        <w:jc w:val="both"/>
        <w:rPr>
          <w:b/>
          <w:i/>
          <w:sz w:val="24"/>
          <w:szCs w:val="24"/>
          <w:lang w:val="id-ID"/>
        </w:rPr>
      </w:pPr>
    </w:p>
    <w:p w14:paraId="44286EE1">
      <w:pPr>
        <w:pStyle w:val="21"/>
        <w:numPr>
          <w:ilvl w:val="0"/>
          <w:numId w:val="1"/>
        </w:numPr>
        <w:ind w:left="284"/>
        <w:jc w:val="both"/>
        <w:rPr>
          <w:b/>
          <w:sz w:val="24"/>
          <w:szCs w:val="24"/>
        </w:rPr>
      </w:pPr>
      <w:r>
        <w:rPr>
          <w:b/>
          <w:sz w:val="24"/>
          <w:szCs w:val="24"/>
          <w:lang w:val="id-ID"/>
        </w:rPr>
        <w:t xml:space="preserve">Data </w:t>
      </w:r>
      <w:r>
        <w:rPr>
          <w:b/>
          <w:sz w:val="24"/>
          <w:szCs w:val="24"/>
        </w:rPr>
        <w:t>C</w:t>
      </w:r>
      <w:r>
        <w:rPr>
          <w:b/>
          <w:sz w:val="24"/>
          <w:szCs w:val="24"/>
          <w:lang w:val="id-ID"/>
        </w:rPr>
        <w:t xml:space="preserve">ollecting and </w:t>
      </w:r>
      <w:r>
        <w:rPr>
          <w:b/>
          <w:sz w:val="24"/>
          <w:szCs w:val="24"/>
        </w:rPr>
        <w:t>A</w:t>
      </w:r>
      <w:r>
        <w:rPr>
          <w:b/>
          <w:sz w:val="24"/>
          <w:szCs w:val="24"/>
          <w:lang w:val="id-ID"/>
        </w:rPr>
        <w:t>nalysis</w:t>
      </w:r>
      <w:r>
        <w:rPr>
          <w:b/>
          <w:sz w:val="24"/>
          <w:szCs w:val="24"/>
        </w:rPr>
        <w:tab/>
      </w:r>
      <w:r>
        <w:rPr>
          <w:b/>
          <w:sz w:val="24"/>
          <w:szCs w:val="24"/>
        </w:rPr>
        <w:br w:type="textWrapping"/>
      </w:r>
    </w:p>
    <w:p w14:paraId="10AF2C75">
      <w:pPr>
        <w:spacing w:line="360" w:lineRule="auto"/>
        <w:jc w:val="both"/>
        <w:rPr>
          <w:sz w:val="24"/>
          <w:szCs w:val="24"/>
          <w:lang w:eastAsia="id-ID"/>
        </w:rPr>
      </w:pPr>
      <w:r>
        <w:rPr>
          <w:sz w:val="24"/>
          <w:szCs w:val="24"/>
          <w:lang w:val="id-ID"/>
        </w:rPr>
        <w:t xml:space="preserve"> </w:t>
      </w:r>
      <w:r>
        <w:rPr>
          <w:sz w:val="24"/>
          <w:szCs w:val="24"/>
          <w:lang w:val="id-ID"/>
        </w:rPr>
        <w:tab/>
      </w:r>
      <w:r>
        <w:rPr>
          <w:sz w:val="24"/>
          <w:szCs w:val="24"/>
        </w:rPr>
        <w:t xml:space="preserve">Two </w:t>
      </w:r>
      <w:commentRangeStart w:id="14"/>
      <w:r>
        <w:rPr>
          <w:sz w:val="24"/>
          <w:szCs w:val="24"/>
          <w:lang w:val="id-ID"/>
        </w:rPr>
        <w:t xml:space="preserve">instruments </w:t>
      </w:r>
      <w:r>
        <w:rPr>
          <w:sz w:val="24"/>
          <w:szCs w:val="24"/>
        </w:rPr>
        <w:t>were</w:t>
      </w:r>
      <w:r>
        <w:rPr>
          <w:sz w:val="24"/>
          <w:szCs w:val="24"/>
          <w:lang w:val="id-ID"/>
        </w:rPr>
        <w:t xml:space="preserve"> used to collect data in this </w:t>
      </w:r>
      <w:r>
        <w:rPr>
          <w:sz w:val="24"/>
          <w:szCs w:val="24"/>
        </w:rPr>
        <w:t>study:</w:t>
      </w:r>
      <w:r>
        <w:rPr>
          <w:sz w:val="24"/>
          <w:szCs w:val="24"/>
          <w:lang w:val="id-ID"/>
        </w:rPr>
        <w:t xml:space="preserve"> a questionnaire </w:t>
      </w:r>
      <w:r>
        <w:rPr>
          <w:sz w:val="24"/>
          <w:szCs w:val="24"/>
        </w:rPr>
        <w:t>measuring self-esteem</w:t>
      </w:r>
      <w:r>
        <w:rPr>
          <w:sz w:val="24"/>
          <w:szCs w:val="24"/>
          <w:lang w:val="id-ID"/>
        </w:rPr>
        <w:t xml:space="preserve"> and test </w:t>
      </w:r>
      <w:r>
        <w:rPr>
          <w:sz w:val="24"/>
          <w:szCs w:val="24"/>
        </w:rPr>
        <w:t>assessing</w:t>
      </w:r>
      <w:r>
        <w:rPr>
          <w:sz w:val="24"/>
          <w:szCs w:val="24"/>
          <w:lang w:val="id-ID"/>
        </w:rPr>
        <w:t xml:space="preserve"> reading comprehension achievement. </w:t>
      </w:r>
      <w:commentRangeEnd w:id="14"/>
      <w:r>
        <w:rPr>
          <w:rStyle w:val="5"/>
          <w:sz w:val="24"/>
          <w:szCs w:val="24"/>
        </w:rPr>
        <w:commentReference w:id="14"/>
      </w:r>
      <w:r>
        <w:rPr>
          <w:sz w:val="24"/>
          <w:szCs w:val="24"/>
        </w:rPr>
        <w:t>The questionnaire originally</w:t>
      </w:r>
      <w:r>
        <w:rPr>
          <w:sz w:val="24"/>
          <w:szCs w:val="24"/>
          <w:lang w:val="id-ID"/>
        </w:rPr>
        <w:t xml:space="preserve"> by Grey-</w:t>
      </w:r>
      <w:r>
        <w:rPr>
          <w:sz w:val="24"/>
          <w:szCs w:val="24"/>
        </w:rPr>
        <w:t>Little, Baumeister and</w:t>
      </w:r>
      <w:r>
        <w:rPr>
          <w:rStyle w:val="5"/>
          <w:sz w:val="24"/>
          <w:szCs w:val="24"/>
        </w:rPr>
        <w:commentReference w:id="15"/>
      </w:r>
      <w:r>
        <w:rPr>
          <w:sz w:val="24"/>
          <w:szCs w:val="24"/>
        </w:rPr>
        <w:t xml:space="preserve"> Ciarrochi (2007) comprised 24 items, but Kartika adapted it in 2023 to contain only 20 items</w:t>
      </w:r>
      <w:r>
        <w:rPr>
          <w:sz w:val="24"/>
          <w:szCs w:val="24"/>
          <w:lang w:val="id-ID"/>
        </w:rPr>
        <w:t xml:space="preserve"> and the researcher ad</w:t>
      </w:r>
      <w:r>
        <w:rPr>
          <w:sz w:val="24"/>
          <w:szCs w:val="24"/>
        </w:rPr>
        <w:t>a</w:t>
      </w:r>
      <w:r>
        <w:rPr>
          <w:sz w:val="24"/>
          <w:szCs w:val="24"/>
          <w:lang w:val="id-ID"/>
        </w:rPr>
        <w:t>pted by Kartika (2023)</w:t>
      </w:r>
      <w:r>
        <w:rPr>
          <w:sz w:val="24"/>
          <w:szCs w:val="24"/>
        </w:rPr>
        <w:t>.</w:t>
      </w:r>
      <w:r>
        <w:rPr>
          <w:sz w:val="24"/>
          <w:szCs w:val="24"/>
          <w:lang w:val="id-ID"/>
        </w:rPr>
        <w:t xml:space="preserve"> </w:t>
      </w:r>
      <w:r>
        <w:rPr>
          <w:sz w:val="24"/>
          <w:szCs w:val="24"/>
          <w:lang w:val="id-ID" w:eastAsia="id-ID"/>
        </w:rPr>
        <w:t>There were five response choices for each multiple-choice question on the test; one was the right answer, and the other four were incorrect. This reading comprehension test consisted of 12 reading passages and 50 multiple-choice questions. Students had 50 minutes to complete the test.</w:t>
      </w:r>
      <w:r>
        <w:rPr>
          <w:sz w:val="24"/>
          <w:szCs w:val="24"/>
          <w:lang w:eastAsia="id-ID"/>
        </w:rPr>
        <w:tab/>
      </w:r>
      <w:r>
        <w:rPr>
          <w:sz w:val="24"/>
          <w:szCs w:val="24"/>
          <w:lang w:eastAsia="id-ID"/>
        </w:rPr>
        <w:br w:type="textWrapping"/>
      </w:r>
      <w:r>
        <w:rPr>
          <w:sz w:val="24"/>
          <w:szCs w:val="24"/>
          <w:lang w:eastAsia="id-ID"/>
        </w:rPr>
        <w:t xml:space="preserve"> </w:t>
      </w:r>
      <w:r>
        <w:rPr>
          <w:sz w:val="24"/>
          <w:szCs w:val="24"/>
          <w:lang w:eastAsia="id-ID"/>
        </w:rPr>
        <w:tab/>
      </w:r>
      <w:r>
        <w:rPr>
          <w:sz w:val="24"/>
          <w:szCs w:val="24"/>
        </w:rPr>
        <w:t>Correlation analysis was conducted to interpret the collected data. Due to the non-normal distribution of the data, the Spearman Rank correlation method was used to assess the relationship between the measured variables.</w:t>
      </w:r>
    </w:p>
    <w:p w14:paraId="77F000EF">
      <w:pPr>
        <w:jc w:val="both"/>
        <w:rPr>
          <w:b/>
          <w:sz w:val="24"/>
          <w:szCs w:val="24"/>
          <w:lang w:val="id-ID"/>
        </w:rPr>
      </w:pPr>
    </w:p>
    <w:p w14:paraId="0EE29120">
      <w:pPr>
        <w:jc w:val="both"/>
        <w:rPr>
          <w:b/>
          <w:sz w:val="24"/>
          <w:szCs w:val="24"/>
        </w:rPr>
      </w:pPr>
      <w:r>
        <w:rPr>
          <w:b/>
          <w:sz w:val="24"/>
          <w:szCs w:val="24"/>
        </w:rPr>
        <w:t>FINDINGS</w:t>
      </w:r>
      <w:r>
        <w:rPr>
          <w:b/>
          <w:sz w:val="24"/>
          <w:szCs w:val="24"/>
          <w:lang w:val="id-ID"/>
        </w:rPr>
        <w:t xml:space="preserve"> AND DISCUSSION</w:t>
      </w:r>
      <w:r>
        <w:rPr>
          <w:b/>
          <w:sz w:val="24"/>
          <w:szCs w:val="24"/>
        </w:rPr>
        <w:t>S</w:t>
      </w:r>
    </w:p>
    <w:p w14:paraId="2ECB0FC1">
      <w:pPr>
        <w:jc w:val="both"/>
        <w:rPr>
          <w:b/>
          <w:sz w:val="24"/>
          <w:szCs w:val="24"/>
        </w:rPr>
      </w:pPr>
    </w:p>
    <w:p w14:paraId="32784F96">
      <w:pPr>
        <w:jc w:val="both"/>
        <w:rPr>
          <w:b/>
          <w:sz w:val="24"/>
          <w:szCs w:val="24"/>
          <w:lang w:val="id-ID"/>
        </w:rPr>
      </w:pPr>
      <w:r>
        <w:rPr>
          <w:b/>
          <w:sz w:val="24"/>
          <w:szCs w:val="24"/>
        </w:rPr>
        <w:t xml:space="preserve">1. </w:t>
      </w:r>
      <w:r>
        <w:rPr>
          <w:b/>
          <w:sz w:val="24"/>
          <w:szCs w:val="24"/>
          <w:lang w:val="id-ID"/>
        </w:rPr>
        <w:t>Self-esteem</w:t>
      </w:r>
    </w:p>
    <w:p w14:paraId="04648617">
      <w:pPr>
        <w:widowControl/>
        <w:autoSpaceDE/>
        <w:autoSpaceDN/>
        <w:spacing w:line="360" w:lineRule="auto"/>
        <w:jc w:val="both"/>
        <w:rPr>
          <w:sz w:val="24"/>
          <w:szCs w:val="24"/>
          <w:lang w:val="id-ID" w:eastAsia="id-ID"/>
        </w:rPr>
      </w:pPr>
      <w:r>
        <w:rPr>
          <w:sz w:val="24"/>
          <w:szCs w:val="24"/>
          <w:lang w:val="id-ID" w:eastAsia="id-ID"/>
        </w:rPr>
        <w:t xml:space="preserve"> </w:t>
      </w:r>
      <w:r>
        <w:rPr>
          <w:sz w:val="24"/>
          <w:szCs w:val="24"/>
          <w:lang w:val="id-ID" w:eastAsia="id-ID"/>
        </w:rPr>
        <w:tab/>
      </w:r>
      <w:r>
        <w:rPr>
          <w:sz w:val="24"/>
          <w:szCs w:val="24"/>
          <w:lang w:eastAsia="id-ID"/>
        </w:rPr>
        <w:t>A self-esteem questionnaire consisting of 20 items was administered to 116 tenth-grade students from MA Patra Mandiri Palembang. The survey used a Likert Scale with a range of 1 to 5. As mentioned earlier, the three self-esteem categories used in this study were Needs Improvement, Fairly Self-Esteem, and Good Self-Esteem</w:t>
      </w:r>
      <w:commentRangeStart w:id="16"/>
      <w:r>
        <w:rPr>
          <w:sz w:val="24"/>
          <w:szCs w:val="24"/>
          <w:lang w:val="id-ID" w:eastAsia="id-ID"/>
        </w:rPr>
        <w:t>.</w:t>
      </w:r>
      <w:commentRangeEnd w:id="16"/>
      <w:r>
        <w:rPr>
          <w:rStyle w:val="5"/>
        </w:rPr>
        <w:commentReference w:id="16"/>
      </w:r>
    </w:p>
    <w:p w14:paraId="400EBFE5">
      <w:pPr>
        <w:ind w:firstLine="720"/>
        <w:jc w:val="both"/>
        <w:rPr>
          <w:sz w:val="24"/>
          <w:szCs w:val="24"/>
        </w:rPr>
      </w:pPr>
    </w:p>
    <w:p w14:paraId="7ACB7282">
      <w:pPr>
        <w:ind w:firstLine="720"/>
        <w:jc w:val="both"/>
        <w:rPr>
          <w:sz w:val="24"/>
          <w:szCs w:val="24"/>
        </w:rPr>
      </w:pPr>
    </w:p>
    <w:p w14:paraId="7B49214A">
      <w:pPr>
        <w:ind w:firstLine="720"/>
        <w:jc w:val="both"/>
        <w:rPr>
          <w:sz w:val="24"/>
          <w:szCs w:val="24"/>
        </w:rPr>
      </w:pPr>
    </w:p>
    <w:p w14:paraId="36ACD0CB">
      <w:pPr>
        <w:ind w:firstLine="720"/>
        <w:jc w:val="both"/>
        <w:rPr>
          <w:sz w:val="24"/>
          <w:szCs w:val="24"/>
        </w:rPr>
      </w:pPr>
    </w:p>
    <w:p w14:paraId="38EDEC6B">
      <w:pPr>
        <w:rPr>
          <w:sz w:val="24"/>
          <w:szCs w:val="24"/>
          <w:lang w:val="id-ID"/>
        </w:rPr>
      </w:pPr>
      <w:r>
        <w:rPr>
          <w:i/>
          <w:sz w:val="24"/>
          <w:szCs w:val="24"/>
          <w:lang w:val="id-ID"/>
        </w:rPr>
        <w:t>Table 1</w:t>
      </w:r>
      <w:r>
        <w:rPr>
          <w:sz w:val="24"/>
          <w:szCs w:val="24"/>
          <w:lang w:val="id-ID"/>
        </w:rPr>
        <w:t>.  Distribution of Self-esteem</w:t>
      </w:r>
    </w:p>
    <w:p w14:paraId="70D5224C">
      <w:pPr>
        <w:ind w:firstLine="720"/>
        <w:jc w:val="both"/>
        <w:rPr>
          <w:sz w:val="24"/>
          <w:szCs w:val="24"/>
          <w:lang w:val="id-ID"/>
        </w:rPr>
      </w:pPr>
    </w:p>
    <w:tbl>
      <w:tblPr>
        <w:tblStyle w:val="13"/>
        <w:tblStyleRowBandSize w:val="1"/>
        <w:tblStyleColBandSize w:val="1"/>
        <w:tblW w:w="0" w:type="auto"/>
        <w:tblInd w:w="0" w:type="dxa"/>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2612"/>
        <w:gridCol w:w="2613"/>
        <w:gridCol w:w="2613"/>
      </w:tblGrid>
      <w:tr w14:paraId="0CC3C594">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shd w:val="clear"/>
          <w:tblCellMar>
            <w:top w:w="0" w:type="dxa"/>
            <w:left w:w="108" w:type="dxa"/>
            <w:bottom w:w="0" w:type="dxa"/>
            <w:right w:w="108" w:type="dxa"/>
          </w:tblCellMar>
        </w:tblPrEx>
        <w:trPr>
          <w:trHeight w:val="244" w:hRule="atLeast"/>
        </w:trPr>
        <w:tc>
          <w:tcPr>
            <w:tcW w:w="2612" w:type="dxa"/>
            <w:tcBorders>
              <w:top w:val="single" w:color="000000" w:sz="8" w:space="0"/>
              <w:left w:val="nil"/>
              <w:bottom w:val="single" w:color="000000" w:sz="8" w:space="0"/>
              <w:right w:val="nil"/>
            </w:tcBorders>
            <w:shd w:val="clear"/>
            <w:vAlign w:val="top"/>
          </w:tcPr>
          <w:p w14:paraId="440C2C61">
            <w:pPr>
              <w:keepNext w:val="0"/>
              <w:keepLines w:val="0"/>
              <w:widowControl w:val="0"/>
              <w:suppressLineNumbers w:val="0"/>
              <w:autoSpaceDE w:val="0"/>
              <w:autoSpaceDN w:val="0"/>
              <w:adjustRightInd w:val="0"/>
              <w:spacing w:before="0" w:beforeAutospacing="0" w:after="0" w:afterAutospacing="0"/>
              <w:ind w:left="0" w:right="0"/>
              <w:jc w:val="center"/>
              <w:rPr>
                <w:rFonts w:eastAsia="SimSun"/>
                <w:bCs/>
                <w:color w:val="000000"/>
                <w:kern w:val="2"/>
                <w:sz w:val="24"/>
                <w:szCs w:val="24"/>
                <w:bdr w:val="none" w:color="auto" w:sz="0" w:space="0"/>
                <w:lang w:val="id-ID" w:eastAsia="id-ID"/>
              </w:rPr>
            </w:pPr>
            <w:r>
              <w:rPr>
                <w:rFonts w:hint="default" w:ascii="Times New Roman" w:hAnsi="Times New Roman" w:eastAsia="SimSun" w:cs="Times New Roman"/>
                <w:b/>
                <w:bCs/>
                <w:color w:val="000000"/>
                <w:kern w:val="2"/>
                <w:sz w:val="24"/>
                <w:szCs w:val="24"/>
                <w:bdr w:val="none" w:color="auto" w:sz="0" w:space="0"/>
                <w:lang w:val="id-ID" w:eastAsia="id-ID" w:bidi="ar"/>
              </w:rPr>
              <w:t>Categories</w:t>
            </w:r>
          </w:p>
        </w:tc>
        <w:tc>
          <w:tcPr>
            <w:tcW w:w="2613" w:type="dxa"/>
            <w:tcBorders>
              <w:top w:val="single" w:color="000000" w:sz="8" w:space="0"/>
              <w:left w:val="nil"/>
              <w:bottom w:val="single" w:color="000000" w:sz="8" w:space="0"/>
              <w:right w:val="nil"/>
            </w:tcBorders>
            <w:shd w:val="clear"/>
            <w:vAlign w:val="top"/>
          </w:tcPr>
          <w:p w14:paraId="2DCE405F">
            <w:pPr>
              <w:keepNext w:val="0"/>
              <w:keepLines w:val="0"/>
              <w:widowControl w:val="0"/>
              <w:suppressLineNumbers w:val="0"/>
              <w:autoSpaceDE w:val="0"/>
              <w:autoSpaceDN w:val="0"/>
              <w:adjustRightInd w:val="0"/>
              <w:spacing w:before="0" w:beforeAutospacing="0" w:after="0" w:afterAutospacing="0"/>
              <w:ind w:left="0" w:right="0"/>
              <w:jc w:val="center"/>
              <w:rPr>
                <w:rFonts w:eastAsia="SimSun"/>
                <w:bCs/>
                <w:color w:val="000000"/>
                <w:kern w:val="2"/>
                <w:sz w:val="24"/>
                <w:szCs w:val="24"/>
                <w:bdr w:val="none" w:color="auto" w:sz="0" w:space="0"/>
                <w:lang w:val="id-ID" w:eastAsia="id-ID"/>
              </w:rPr>
            </w:pPr>
            <w:r>
              <w:rPr>
                <w:rFonts w:hint="default" w:ascii="Times New Roman" w:hAnsi="Times New Roman" w:eastAsia="SimSun" w:cs="Times New Roman"/>
                <w:b/>
                <w:bCs/>
                <w:color w:val="000000"/>
                <w:kern w:val="2"/>
                <w:sz w:val="24"/>
                <w:szCs w:val="24"/>
                <w:bdr w:val="none" w:color="auto" w:sz="0" w:space="0"/>
                <w:lang w:val="id-ID" w:eastAsia="id-ID" w:bidi="ar"/>
              </w:rPr>
              <w:t>Frequency</w:t>
            </w:r>
          </w:p>
        </w:tc>
        <w:tc>
          <w:tcPr>
            <w:tcW w:w="2613" w:type="dxa"/>
            <w:tcBorders>
              <w:top w:val="single" w:color="000000" w:sz="8" w:space="0"/>
              <w:left w:val="nil"/>
              <w:bottom w:val="single" w:color="000000" w:sz="8" w:space="0"/>
              <w:right w:val="nil"/>
            </w:tcBorders>
            <w:shd w:val="clear"/>
            <w:vAlign w:val="top"/>
          </w:tcPr>
          <w:p w14:paraId="15B83983">
            <w:pPr>
              <w:keepNext w:val="0"/>
              <w:keepLines w:val="0"/>
              <w:widowControl w:val="0"/>
              <w:suppressLineNumbers w:val="0"/>
              <w:autoSpaceDE w:val="0"/>
              <w:autoSpaceDN w:val="0"/>
              <w:adjustRightInd w:val="0"/>
              <w:spacing w:before="0" w:beforeAutospacing="0" w:after="0" w:afterAutospacing="0"/>
              <w:ind w:left="0" w:right="0"/>
              <w:jc w:val="center"/>
              <w:rPr>
                <w:rFonts w:eastAsia="SimSun"/>
                <w:bCs/>
                <w:color w:val="000000"/>
                <w:kern w:val="2"/>
                <w:sz w:val="24"/>
                <w:szCs w:val="24"/>
                <w:bdr w:val="none" w:color="auto" w:sz="0" w:space="0"/>
                <w:lang w:val="id-ID" w:eastAsia="id-ID"/>
              </w:rPr>
            </w:pPr>
            <w:r>
              <w:rPr>
                <w:rFonts w:hint="default" w:ascii="Times New Roman" w:hAnsi="Times New Roman" w:eastAsia="SimSun" w:cs="Times New Roman"/>
                <w:b/>
                <w:bCs/>
                <w:color w:val="000000"/>
                <w:kern w:val="2"/>
                <w:sz w:val="24"/>
                <w:szCs w:val="24"/>
                <w:bdr w:val="none" w:color="auto" w:sz="0" w:space="0"/>
                <w:lang w:val="id-ID" w:eastAsia="id-ID" w:bidi="ar"/>
              </w:rPr>
              <w:t>Percentage</w:t>
            </w:r>
          </w:p>
        </w:tc>
      </w:tr>
      <w:tr w14:paraId="34CAFC28">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shd w:val="clear"/>
          <w:tblCellMar>
            <w:top w:w="0" w:type="dxa"/>
            <w:left w:w="108" w:type="dxa"/>
            <w:bottom w:w="0" w:type="dxa"/>
            <w:right w:w="108" w:type="dxa"/>
          </w:tblCellMar>
        </w:tblPrEx>
        <w:trPr>
          <w:trHeight w:val="244" w:hRule="atLeast"/>
        </w:trPr>
        <w:tc>
          <w:tcPr>
            <w:tcW w:w="2612" w:type="dxa"/>
            <w:tcBorders>
              <w:top w:val="nil"/>
              <w:left w:val="nil"/>
              <w:bottom w:val="nil"/>
              <w:right w:val="nil"/>
            </w:tcBorders>
            <w:shd w:val="clear"/>
            <w:vAlign w:val="top"/>
          </w:tcPr>
          <w:p w14:paraId="51736F44">
            <w:pPr>
              <w:keepNext w:val="0"/>
              <w:keepLines w:val="0"/>
              <w:widowControl w:val="0"/>
              <w:suppressLineNumbers w:val="0"/>
              <w:autoSpaceDE w:val="0"/>
              <w:autoSpaceDN w:val="0"/>
              <w:adjustRightInd w:val="0"/>
              <w:spacing w:before="0" w:beforeAutospacing="0" w:after="0" w:afterAutospacing="0"/>
              <w:ind w:left="0" w:right="0"/>
              <w:jc w:val="center"/>
              <w:rPr>
                <w:rFonts w:eastAsia="SimSun"/>
                <w:color w:val="000000"/>
                <w:kern w:val="2"/>
                <w:sz w:val="24"/>
                <w:szCs w:val="24"/>
                <w:bdr w:val="none" w:color="auto" w:sz="0" w:space="0"/>
                <w:lang w:val="id-ID" w:eastAsia="id-ID"/>
              </w:rPr>
            </w:pPr>
            <w:r>
              <w:rPr>
                <w:rFonts w:hint="default" w:ascii="Times New Roman" w:hAnsi="Times New Roman" w:eastAsia="SimSun" w:cs="Times New Roman"/>
                <w:color w:val="000000"/>
                <w:kern w:val="2"/>
                <w:sz w:val="24"/>
                <w:szCs w:val="24"/>
                <w:bdr w:val="none" w:color="auto" w:sz="0" w:space="0"/>
                <w:lang w:val="id-ID" w:eastAsia="id-ID" w:bidi="ar"/>
              </w:rPr>
              <w:t>Good self-esteem</w:t>
            </w:r>
          </w:p>
        </w:tc>
        <w:tc>
          <w:tcPr>
            <w:tcW w:w="2613" w:type="dxa"/>
            <w:tcBorders>
              <w:top w:val="nil"/>
              <w:left w:val="nil"/>
              <w:bottom w:val="nil"/>
              <w:right w:val="nil"/>
            </w:tcBorders>
            <w:shd w:val="clear"/>
            <w:vAlign w:val="top"/>
          </w:tcPr>
          <w:p w14:paraId="4A47ED73">
            <w:pPr>
              <w:keepNext w:val="0"/>
              <w:keepLines w:val="0"/>
              <w:widowControl w:val="0"/>
              <w:suppressLineNumbers w:val="0"/>
              <w:autoSpaceDE w:val="0"/>
              <w:autoSpaceDN w:val="0"/>
              <w:adjustRightInd w:val="0"/>
              <w:spacing w:before="0" w:beforeAutospacing="0" w:after="0" w:afterAutospacing="0"/>
              <w:ind w:left="0" w:right="0"/>
              <w:jc w:val="center"/>
              <w:rPr>
                <w:rFonts w:eastAsia="SimSun"/>
                <w:color w:val="000000"/>
                <w:kern w:val="2"/>
                <w:sz w:val="24"/>
                <w:szCs w:val="24"/>
                <w:bdr w:val="none" w:color="auto" w:sz="0" w:space="0"/>
                <w:lang w:val="id-ID" w:eastAsia="id-ID"/>
              </w:rPr>
            </w:pPr>
            <w:r>
              <w:rPr>
                <w:rFonts w:hint="default" w:ascii="Times New Roman" w:hAnsi="Times New Roman" w:eastAsia="SimSun" w:cs="Times New Roman"/>
                <w:color w:val="000000"/>
                <w:kern w:val="2"/>
                <w:sz w:val="24"/>
                <w:szCs w:val="24"/>
                <w:bdr w:val="none" w:color="auto" w:sz="0" w:space="0"/>
                <w:lang w:val="id-ID" w:eastAsia="id-ID" w:bidi="ar"/>
              </w:rPr>
              <w:t>9</w:t>
            </w:r>
          </w:p>
        </w:tc>
        <w:tc>
          <w:tcPr>
            <w:tcW w:w="2613" w:type="dxa"/>
            <w:tcBorders>
              <w:top w:val="nil"/>
              <w:left w:val="nil"/>
              <w:bottom w:val="nil"/>
              <w:right w:val="nil"/>
            </w:tcBorders>
            <w:shd w:val="clear"/>
            <w:vAlign w:val="top"/>
          </w:tcPr>
          <w:p w14:paraId="63978121">
            <w:pPr>
              <w:keepNext w:val="0"/>
              <w:keepLines w:val="0"/>
              <w:widowControl w:val="0"/>
              <w:suppressLineNumbers w:val="0"/>
              <w:autoSpaceDE w:val="0"/>
              <w:autoSpaceDN w:val="0"/>
              <w:adjustRightInd w:val="0"/>
              <w:spacing w:before="0" w:beforeAutospacing="0" w:after="0" w:afterAutospacing="0"/>
              <w:ind w:left="0" w:right="0"/>
              <w:jc w:val="center"/>
              <w:rPr>
                <w:rFonts w:eastAsia="SimSun"/>
                <w:b w:val="0"/>
                <w:bCs w:val="0"/>
                <w:color w:val="000000"/>
                <w:kern w:val="2"/>
                <w:sz w:val="24"/>
                <w:szCs w:val="24"/>
                <w:bdr w:val="none" w:color="auto" w:sz="0" w:space="0"/>
                <w:lang w:val="id-ID" w:eastAsia="id-ID"/>
              </w:rPr>
            </w:pPr>
            <w:r>
              <w:rPr>
                <w:rFonts w:hint="default" w:ascii="Times New Roman" w:hAnsi="Times New Roman" w:eastAsia="SimSun" w:cs="Times New Roman"/>
                <w:b w:val="0"/>
                <w:bCs w:val="0"/>
                <w:color w:val="000000"/>
                <w:kern w:val="2"/>
                <w:sz w:val="24"/>
                <w:szCs w:val="24"/>
                <w:bdr w:val="none" w:color="auto" w:sz="0" w:space="0"/>
                <w:lang w:val="id-ID" w:eastAsia="id-ID" w:bidi="ar"/>
              </w:rPr>
              <w:t>7,8%</w:t>
            </w:r>
          </w:p>
        </w:tc>
      </w:tr>
      <w:tr w14:paraId="294AFD50">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28" w:hRule="atLeast"/>
        </w:trPr>
        <w:tc>
          <w:tcPr>
            <w:tcW w:w="2612" w:type="dxa"/>
            <w:tcBorders>
              <w:top w:val="nil"/>
              <w:left w:val="nil"/>
              <w:bottom w:val="nil"/>
              <w:right w:val="nil"/>
            </w:tcBorders>
            <w:shd w:val="clear"/>
            <w:vAlign w:val="top"/>
          </w:tcPr>
          <w:p w14:paraId="04F7E477">
            <w:pPr>
              <w:keepNext w:val="0"/>
              <w:keepLines w:val="0"/>
              <w:widowControl w:val="0"/>
              <w:suppressLineNumbers w:val="0"/>
              <w:autoSpaceDE w:val="0"/>
              <w:autoSpaceDN w:val="0"/>
              <w:adjustRightInd w:val="0"/>
              <w:spacing w:before="0" w:beforeAutospacing="0" w:after="0" w:afterAutospacing="0"/>
              <w:ind w:left="0" w:right="0"/>
              <w:jc w:val="center"/>
              <w:rPr>
                <w:rFonts w:eastAsia="SimSun"/>
                <w:color w:val="000000"/>
                <w:kern w:val="2"/>
                <w:sz w:val="24"/>
                <w:szCs w:val="24"/>
                <w:bdr w:val="none" w:color="auto" w:sz="0" w:space="0"/>
                <w:lang w:val="id-ID" w:eastAsia="id-ID"/>
              </w:rPr>
            </w:pPr>
            <w:r>
              <w:rPr>
                <w:rFonts w:hint="default" w:ascii="Times New Roman" w:hAnsi="Times New Roman" w:eastAsia="SimSun" w:cs="Times New Roman"/>
                <w:color w:val="000000"/>
                <w:kern w:val="2"/>
                <w:sz w:val="24"/>
                <w:szCs w:val="24"/>
                <w:bdr w:val="none" w:color="auto" w:sz="0" w:space="0"/>
                <w:lang w:val="id-ID" w:eastAsia="id-ID" w:bidi="ar"/>
              </w:rPr>
              <w:t>Fairly self-esteem</w:t>
            </w:r>
          </w:p>
        </w:tc>
        <w:tc>
          <w:tcPr>
            <w:tcW w:w="2613" w:type="dxa"/>
            <w:tcBorders>
              <w:top w:val="nil"/>
              <w:left w:val="nil"/>
              <w:bottom w:val="nil"/>
              <w:right w:val="nil"/>
            </w:tcBorders>
            <w:shd w:val="clear"/>
            <w:vAlign w:val="top"/>
          </w:tcPr>
          <w:p w14:paraId="3CC2BE15">
            <w:pPr>
              <w:keepNext w:val="0"/>
              <w:keepLines w:val="0"/>
              <w:widowControl w:val="0"/>
              <w:suppressLineNumbers w:val="0"/>
              <w:autoSpaceDE w:val="0"/>
              <w:autoSpaceDN w:val="0"/>
              <w:adjustRightInd w:val="0"/>
              <w:spacing w:before="0" w:beforeAutospacing="0" w:after="0" w:afterAutospacing="0"/>
              <w:ind w:left="0" w:right="0"/>
              <w:jc w:val="center"/>
              <w:rPr>
                <w:rFonts w:eastAsia="SimSun"/>
                <w:color w:val="000000"/>
                <w:kern w:val="2"/>
                <w:sz w:val="24"/>
                <w:szCs w:val="24"/>
                <w:bdr w:val="none" w:color="auto" w:sz="0" w:space="0"/>
                <w:lang w:val="id-ID" w:eastAsia="id-ID"/>
              </w:rPr>
            </w:pPr>
            <w:r>
              <w:rPr>
                <w:rFonts w:hint="default" w:ascii="Times New Roman" w:hAnsi="Times New Roman" w:eastAsia="SimSun" w:cs="Times New Roman"/>
                <w:color w:val="000000"/>
                <w:kern w:val="2"/>
                <w:sz w:val="24"/>
                <w:szCs w:val="24"/>
                <w:bdr w:val="none" w:color="auto" w:sz="0" w:space="0"/>
                <w:lang w:val="id-ID" w:eastAsia="id-ID" w:bidi="ar"/>
              </w:rPr>
              <w:t>107</w:t>
            </w:r>
          </w:p>
        </w:tc>
        <w:tc>
          <w:tcPr>
            <w:tcW w:w="2613" w:type="dxa"/>
            <w:tcBorders>
              <w:top w:val="nil"/>
              <w:left w:val="nil"/>
              <w:bottom w:val="nil"/>
              <w:right w:val="nil"/>
            </w:tcBorders>
            <w:shd w:val="clear"/>
            <w:vAlign w:val="top"/>
          </w:tcPr>
          <w:p w14:paraId="69E7EC6C">
            <w:pPr>
              <w:keepNext w:val="0"/>
              <w:keepLines w:val="0"/>
              <w:widowControl w:val="0"/>
              <w:suppressLineNumbers w:val="0"/>
              <w:autoSpaceDE w:val="0"/>
              <w:autoSpaceDN w:val="0"/>
              <w:adjustRightInd w:val="0"/>
              <w:spacing w:before="0" w:beforeAutospacing="0" w:after="0" w:afterAutospacing="0"/>
              <w:ind w:left="0" w:right="0"/>
              <w:jc w:val="center"/>
              <w:rPr>
                <w:rFonts w:eastAsia="SimSun"/>
                <w:b w:val="0"/>
                <w:bCs w:val="0"/>
                <w:color w:val="000000"/>
                <w:kern w:val="2"/>
                <w:sz w:val="24"/>
                <w:szCs w:val="24"/>
                <w:bdr w:val="none" w:color="auto" w:sz="0" w:space="0"/>
                <w:lang w:val="id-ID" w:eastAsia="id-ID"/>
              </w:rPr>
            </w:pPr>
            <w:r>
              <w:rPr>
                <w:rFonts w:hint="default" w:ascii="Times New Roman" w:hAnsi="Times New Roman" w:eastAsia="SimSun" w:cs="Times New Roman"/>
                <w:b w:val="0"/>
                <w:bCs w:val="0"/>
                <w:color w:val="000000"/>
                <w:kern w:val="2"/>
                <w:sz w:val="24"/>
                <w:szCs w:val="24"/>
                <w:bdr w:val="none" w:color="auto" w:sz="0" w:space="0"/>
                <w:lang w:val="id-ID" w:eastAsia="id-ID" w:bidi="ar"/>
              </w:rPr>
              <w:t>92,2%</w:t>
            </w:r>
          </w:p>
        </w:tc>
      </w:tr>
      <w:tr w14:paraId="1923723A">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shd w:val="clear"/>
          <w:tblCellMar>
            <w:top w:w="0" w:type="dxa"/>
            <w:left w:w="108" w:type="dxa"/>
            <w:bottom w:w="0" w:type="dxa"/>
            <w:right w:w="108" w:type="dxa"/>
          </w:tblCellMar>
        </w:tblPrEx>
        <w:trPr>
          <w:trHeight w:val="228" w:hRule="atLeast"/>
        </w:trPr>
        <w:tc>
          <w:tcPr>
            <w:tcW w:w="2612" w:type="dxa"/>
            <w:tcBorders>
              <w:top w:val="nil"/>
              <w:left w:val="nil"/>
              <w:bottom w:val="nil"/>
              <w:right w:val="nil"/>
            </w:tcBorders>
            <w:shd w:val="clear"/>
            <w:vAlign w:val="top"/>
          </w:tcPr>
          <w:p w14:paraId="298A5949">
            <w:pPr>
              <w:keepNext w:val="0"/>
              <w:keepLines w:val="0"/>
              <w:widowControl w:val="0"/>
              <w:suppressLineNumbers w:val="0"/>
              <w:autoSpaceDE w:val="0"/>
              <w:autoSpaceDN w:val="0"/>
              <w:adjustRightInd w:val="0"/>
              <w:spacing w:before="0" w:beforeAutospacing="0" w:after="0" w:afterAutospacing="0"/>
              <w:ind w:left="0" w:right="0"/>
              <w:jc w:val="center"/>
              <w:rPr>
                <w:rFonts w:eastAsia="SimSun"/>
                <w:color w:val="000000"/>
                <w:kern w:val="2"/>
                <w:sz w:val="24"/>
                <w:szCs w:val="24"/>
                <w:bdr w:val="none" w:color="auto" w:sz="0" w:space="0"/>
                <w:lang w:val="id-ID" w:eastAsia="id-ID"/>
              </w:rPr>
            </w:pPr>
            <w:r>
              <w:rPr>
                <w:rFonts w:hint="default" w:ascii="Times New Roman" w:hAnsi="Times New Roman" w:eastAsia="SimSun" w:cs="Times New Roman"/>
                <w:color w:val="000000"/>
                <w:kern w:val="2"/>
                <w:sz w:val="24"/>
                <w:szCs w:val="24"/>
                <w:bdr w:val="none" w:color="auto" w:sz="0" w:space="0"/>
                <w:lang w:val="id-ID" w:eastAsia="id-ID" w:bidi="ar"/>
              </w:rPr>
              <w:t>Need improvement</w:t>
            </w:r>
          </w:p>
        </w:tc>
        <w:tc>
          <w:tcPr>
            <w:tcW w:w="2613" w:type="dxa"/>
            <w:tcBorders>
              <w:top w:val="nil"/>
              <w:left w:val="nil"/>
              <w:bottom w:val="nil"/>
              <w:right w:val="nil"/>
            </w:tcBorders>
            <w:shd w:val="clear"/>
            <w:vAlign w:val="top"/>
          </w:tcPr>
          <w:p w14:paraId="3B3F59D3">
            <w:pPr>
              <w:keepNext w:val="0"/>
              <w:keepLines w:val="0"/>
              <w:widowControl w:val="0"/>
              <w:suppressLineNumbers w:val="0"/>
              <w:autoSpaceDE w:val="0"/>
              <w:autoSpaceDN w:val="0"/>
              <w:adjustRightInd w:val="0"/>
              <w:spacing w:before="0" w:beforeAutospacing="0" w:after="0" w:afterAutospacing="0"/>
              <w:ind w:left="0" w:right="0"/>
              <w:jc w:val="center"/>
              <w:rPr>
                <w:rFonts w:eastAsia="SimSun"/>
                <w:color w:val="000000"/>
                <w:kern w:val="2"/>
                <w:sz w:val="24"/>
                <w:szCs w:val="24"/>
                <w:bdr w:val="none" w:color="auto" w:sz="0" w:space="0"/>
                <w:lang w:val="id-ID" w:eastAsia="id-ID"/>
              </w:rPr>
            </w:pPr>
            <w:r>
              <w:rPr>
                <w:rFonts w:hint="default" w:ascii="Times New Roman" w:hAnsi="Times New Roman" w:eastAsia="SimSun" w:cs="Times New Roman"/>
                <w:color w:val="000000"/>
                <w:kern w:val="2"/>
                <w:sz w:val="24"/>
                <w:szCs w:val="24"/>
                <w:bdr w:val="none" w:color="auto" w:sz="0" w:space="0"/>
                <w:lang w:val="id-ID" w:eastAsia="id-ID" w:bidi="ar"/>
              </w:rPr>
              <w:t>0</w:t>
            </w:r>
          </w:p>
        </w:tc>
        <w:tc>
          <w:tcPr>
            <w:tcW w:w="2613" w:type="dxa"/>
            <w:tcBorders>
              <w:top w:val="nil"/>
              <w:left w:val="nil"/>
              <w:bottom w:val="nil"/>
              <w:right w:val="nil"/>
            </w:tcBorders>
            <w:shd w:val="clear"/>
            <w:vAlign w:val="top"/>
          </w:tcPr>
          <w:p w14:paraId="450F09BF">
            <w:pPr>
              <w:keepNext w:val="0"/>
              <w:keepLines w:val="0"/>
              <w:widowControl w:val="0"/>
              <w:suppressLineNumbers w:val="0"/>
              <w:autoSpaceDE w:val="0"/>
              <w:autoSpaceDN w:val="0"/>
              <w:adjustRightInd w:val="0"/>
              <w:spacing w:before="0" w:beforeAutospacing="0" w:after="0" w:afterAutospacing="0"/>
              <w:ind w:left="0" w:right="0"/>
              <w:jc w:val="center"/>
              <w:rPr>
                <w:rFonts w:eastAsia="SimSun"/>
                <w:b w:val="0"/>
                <w:bCs w:val="0"/>
                <w:color w:val="000000"/>
                <w:kern w:val="2"/>
                <w:sz w:val="24"/>
                <w:szCs w:val="24"/>
                <w:bdr w:val="none" w:color="auto" w:sz="0" w:space="0"/>
                <w:lang w:val="id-ID" w:eastAsia="id-ID"/>
              </w:rPr>
            </w:pPr>
            <w:r>
              <w:rPr>
                <w:rFonts w:hint="default" w:ascii="Times New Roman" w:hAnsi="Times New Roman" w:eastAsia="SimSun" w:cs="Times New Roman"/>
                <w:b w:val="0"/>
                <w:bCs w:val="0"/>
                <w:color w:val="000000"/>
                <w:kern w:val="2"/>
                <w:sz w:val="24"/>
                <w:szCs w:val="24"/>
                <w:bdr w:val="none" w:color="auto" w:sz="0" w:space="0"/>
                <w:lang w:val="id-ID" w:eastAsia="id-ID" w:bidi="ar"/>
              </w:rPr>
              <w:t>0,0%</w:t>
            </w:r>
          </w:p>
        </w:tc>
      </w:tr>
      <w:tr w14:paraId="6D6E0B7A">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44" w:hRule="atLeast"/>
        </w:trPr>
        <w:tc>
          <w:tcPr>
            <w:tcW w:w="2612" w:type="dxa"/>
            <w:tcBorders>
              <w:top w:val="nil"/>
              <w:left w:val="nil"/>
              <w:bottom w:val="single" w:color="000000" w:sz="8" w:space="0"/>
              <w:right w:val="nil"/>
            </w:tcBorders>
            <w:shd w:val="clear"/>
            <w:vAlign w:val="top"/>
          </w:tcPr>
          <w:p w14:paraId="4C0E3AC7">
            <w:pPr>
              <w:keepNext w:val="0"/>
              <w:keepLines w:val="0"/>
              <w:widowControl w:val="0"/>
              <w:suppressLineNumbers w:val="0"/>
              <w:autoSpaceDE w:val="0"/>
              <w:autoSpaceDN w:val="0"/>
              <w:adjustRightInd w:val="0"/>
              <w:spacing w:before="0" w:beforeAutospacing="0" w:after="0" w:afterAutospacing="0"/>
              <w:ind w:left="0" w:right="0"/>
              <w:jc w:val="center"/>
              <w:rPr>
                <w:rFonts w:eastAsia="SimSun"/>
                <w:b/>
                <w:bCs w:val="0"/>
                <w:color w:val="000000"/>
                <w:kern w:val="2"/>
                <w:sz w:val="24"/>
                <w:szCs w:val="24"/>
                <w:bdr w:val="none" w:color="auto" w:sz="0" w:space="0"/>
                <w:lang w:val="id-ID" w:eastAsia="id-ID"/>
              </w:rPr>
            </w:pPr>
            <w:r>
              <w:rPr>
                <w:rFonts w:hint="default" w:ascii="Times New Roman" w:hAnsi="Times New Roman" w:eastAsia="SimSun" w:cs="Times New Roman"/>
                <w:b/>
                <w:bCs w:val="0"/>
                <w:color w:val="000000"/>
                <w:kern w:val="2"/>
                <w:sz w:val="24"/>
                <w:szCs w:val="24"/>
                <w:bdr w:val="none" w:color="auto" w:sz="0" w:space="0"/>
                <w:lang w:val="id-ID" w:eastAsia="id-ID" w:bidi="ar"/>
              </w:rPr>
              <w:t>Total</w:t>
            </w:r>
          </w:p>
        </w:tc>
        <w:tc>
          <w:tcPr>
            <w:tcW w:w="2613" w:type="dxa"/>
            <w:tcBorders>
              <w:top w:val="nil"/>
              <w:left w:val="nil"/>
              <w:bottom w:val="single" w:color="000000" w:sz="8" w:space="0"/>
              <w:right w:val="nil"/>
            </w:tcBorders>
            <w:shd w:val="clear"/>
            <w:vAlign w:val="top"/>
          </w:tcPr>
          <w:p w14:paraId="253DF2AD">
            <w:pPr>
              <w:keepNext w:val="0"/>
              <w:keepLines w:val="0"/>
              <w:widowControl w:val="0"/>
              <w:suppressLineNumbers w:val="0"/>
              <w:tabs>
                <w:tab w:val="center" w:pos="1251"/>
              </w:tabs>
              <w:autoSpaceDE w:val="0"/>
              <w:autoSpaceDN w:val="0"/>
              <w:adjustRightInd w:val="0"/>
              <w:spacing w:before="0" w:beforeAutospacing="0" w:after="0" w:afterAutospacing="0"/>
              <w:ind w:left="0" w:right="0"/>
              <w:jc w:val="left"/>
              <w:rPr>
                <w:rFonts w:eastAsia="SimSun"/>
                <w:color w:val="000000"/>
                <w:kern w:val="2"/>
                <w:sz w:val="24"/>
                <w:szCs w:val="24"/>
                <w:bdr w:val="none" w:color="auto" w:sz="0" w:space="0"/>
                <w:lang w:val="id-ID" w:eastAsia="id-ID"/>
              </w:rPr>
            </w:pPr>
            <w:r>
              <w:rPr>
                <w:rFonts w:hint="default" w:ascii="Times New Roman" w:hAnsi="Times New Roman" w:eastAsia="SimSun" w:cs="Times New Roman"/>
                <w:color w:val="000000"/>
                <w:kern w:val="2"/>
                <w:sz w:val="24"/>
                <w:szCs w:val="24"/>
                <w:bdr w:val="none" w:color="auto" w:sz="0" w:space="0"/>
                <w:lang w:val="id-ID" w:eastAsia="id-ID" w:bidi="ar"/>
              </w:rPr>
              <w:tab/>
              <w:t>116</w:t>
            </w:r>
          </w:p>
        </w:tc>
        <w:tc>
          <w:tcPr>
            <w:tcW w:w="2613" w:type="dxa"/>
            <w:tcBorders>
              <w:top w:val="nil"/>
              <w:left w:val="nil"/>
              <w:bottom w:val="single" w:color="000000" w:sz="8" w:space="0"/>
              <w:right w:val="nil"/>
            </w:tcBorders>
            <w:shd w:val="clear"/>
            <w:vAlign w:val="top"/>
          </w:tcPr>
          <w:p w14:paraId="536E41A5">
            <w:pPr>
              <w:keepNext w:val="0"/>
              <w:keepLines w:val="0"/>
              <w:widowControl w:val="0"/>
              <w:suppressLineNumbers w:val="0"/>
              <w:autoSpaceDE w:val="0"/>
              <w:autoSpaceDN w:val="0"/>
              <w:adjustRightInd w:val="0"/>
              <w:spacing w:before="0" w:beforeAutospacing="0" w:after="0" w:afterAutospacing="0"/>
              <w:ind w:left="0" w:right="0"/>
              <w:jc w:val="center"/>
              <w:rPr>
                <w:rFonts w:eastAsia="SimSun"/>
                <w:b w:val="0"/>
                <w:bCs w:val="0"/>
                <w:color w:val="000000"/>
                <w:kern w:val="2"/>
                <w:sz w:val="24"/>
                <w:szCs w:val="24"/>
                <w:bdr w:val="none" w:color="auto" w:sz="0" w:space="0"/>
                <w:lang w:val="id-ID" w:eastAsia="id-ID"/>
              </w:rPr>
            </w:pPr>
            <w:r>
              <w:rPr>
                <w:rFonts w:hint="default" w:ascii="Times New Roman" w:hAnsi="Times New Roman" w:eastAsia="SimSun" w:cs="Times New Roman"/>
                <w:b w:val="0"/>
                <w:bCs w:val="0"/>
                <w:color w:val="000000"/>
                <w:kern w:val="2"/>
                <w:sz w:val="24"/>
                <w:szCs w:val="24"/>
                <w:bdr w:val="none" w:color="auto" w:sz="0" w:space="0"/>
                <w:lang w:val="id-ID" w:eastAsia="id-ID" w:bidi="ar"/>
              </w:rPr>
              <w:t>100,0%</w:t>
            </w:r>
          </w:p>
        </w:tc>
      </w:tr>
    </w:tbl>
    <w:p w14:paraId="5BD2F5F8">
      <w:pPr>
        <w:jc w:val="both"/>
        <w:rPr>
          <w:sz w:val="24"/>
          <w:szCs w:val="24"/>
        </w:rPr>
      </w:pPr>
    </w:p>
    <w:p w14:paraId="14D8B89B">
      <w:pPr>
        <w:spacing w:line="360" w:lineRule="auto"/>
        <w:ind w:firstLine="720"/>
        <w:jc w:val="both"/>
        <w:rPr>
          <w:sz w:val="24"/>
          <w:szCs w:val="24"/>
          <w:lang w:val="id-ID"/>
        </w:rPr>
      </w:pPr>
      <w:commentRangeStart w:id="17"/>
      <w:r>
        <w:rPr>
          <w:color w:val="222222"/>
          <w:sz w:val="24"/>
          <w:szCs w:val="24"/>
          <w:shd w:val="clear" w:color="auto" w:fill="FFFFFF"/>
        </w:rPr>
        <w:t>The findings indicated that 9 students (7.8%) demonstrated good self-esteem, while 107 students (92.2%) fell into the fairly self-esteem category, and none (0%) required improvement. In conclusion, the majority of students perceived themselves as having fairly self-esteem.</w:t>
      </w:r>
      <w:commentRangeEnd w:id="17"/>
      <w:r>
        <w:rPr>
          <w:rStyle w:val="5"/>
        </w:rPr>
        <w:commentReference w:id="17"/>
      </w:r>
      <w:r>
        <w:rPr>
          <w:color w:val="222222"/>
          <w:sz w:val="24"/>
          <w:szCs w:val="24"/>
          <w:shd w:val="clear" w:color="auto" w:fill="FFFFFF"/>
          <w:lang w:val="id-ID"/>
        </w:rPr>
        <w:tab/>
      </w:r>
      <w:r>
        <w:rPr>
          <w:color w:val="222222"/>
          <w:sz w:val="24"/>
          <w:szCs w:val="24"/>
          <w:shd w:val="clear" w:color="auto" w:fill="FFFFFF"/>
          <w:lang w:val="id-ID"/>
        </w:rPr>
        <w:br w:type="textWrapping"/>
      </w:r>
    </w:p>
    <w:p w14:paraId="04A08D31">
      <w:pPr>
        <w:rPr>
          <w:sz w:val="24"/>
          <w:szCs w:val="24"/>
        </w:rPr>
      </w:pPr>
      <w:r>
        <w:rPr>
          <w:i/>
          <w:sz w:val="24"/>
          <w:szCs w:val="24"/>
          <w:lang w:val="id-ID"/>
        </w:rPr>
        <w:t>Table 2</w:t>
      </w:r>
      <w:r>
        <w:rPr>
          <w:sz w:val="24"/>
          <w:szCs w:val="24"/>
          <w:lang w:val="id-ID"/>
        </w:rPr>
        <w:t>. Descriptive Statistic of Self-esteem</w:t>
      </w:r>
      <w:r>
        <w:rPr>
          <w:sz w:val="24"/>
          <w:szCs w:val="24"/>
        </w:rPr>
        <w:br w:type="textWrapping"/>
      </w:r>
    </w:p>
    <w:tbl>
      <w:tblPr>
        <w:tblStyle w:val="13"/>
        <w:tblStyleRowBandSize w:val="1"/>
        <w:tblStyleColBandSize w:val="1"/>
        <w:tblW w:w="0" w:type="auto"/>
        <w:tblInd w:w="0" w:type="dxa"/>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shd w:val="clear" w:color="auto" w:fill="FFFFFF" w:themeFill="background1"/>
        <w:tblLayout w:type="fixed"/>
        <w:tblCellMar>
          <w:top w:w="0" w:type="dxa"/>
          <w:left w:w="108" w:type="dxa"/>
          <w:bottom w:w="0" w:type="dxa"/>
          <w:right w:w="108" w:type="dxa"/>
        </w:tblCellMar>
      </w:tblPr>
      <w:tblGrid>
        <w:gridCol w:w="1488"/>
        <w:gridCol w:w="1186"/>
        <w:gridCol w:w="1186"/>
        <w:gridCol w:w="1186"/>
        <w:gridCol w:w="1186"/>
        <w:gridCol w:w="1308"/>
      </w:tblGrid>
      <w:tr w14:paraId="5071E04F">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shd w:val="clear" w:color="auto" w:fill="FFFFFF" w:themeFill="background1"/>
          <w:tblCellMar>
            <w:top w:w="0" w:type="dxa"/>
            <w:left w:w="108" w:type="dxa"/>
            <w:bottom w:w="0" w:type="dxa"/>
            <w:right w:w="108" w:type="dxa"/>
          </w:tblCellMar>
        </w:tblPrEx>
        <w:trPr>
          <w:trHeight w:val="253" w:hRule="atLeast"/>
        </w:trPr>
        <w:tc>
          <w:tcPr>
            <w:tcW w:w="7540" w:type="dxa"/>
            <w:gridSpan w:val="6"/>
            <w:tcBorders>
              <w:top w:val="single" w:color="000000" w:sz="8" w:space="0"/>
              <w:left w:val="nil"/>
              <w:bottom w:val="single" w:color="000000" w:sz="8" w:space="0"/>
              <w:right w:val="nil"/>
            </w:tcBorders>
            <w:shd w:val="clear" w:color="auto" w:fill="FFFFFF" w:themeFill="background1"/>
            <w:vAlign w:val="top"/>
          </w:tcPr>
          <w:p w14:paraId="3BDEE449">
            <w:pPr>
              <w:keepNext w:val="0"/>
              <w:keepLines w:val="0"/>
              <w:widowControl/>
              <w:suppressLineNumbers w:val="0"/>
              <w:autoSpaceDE w:val="0"/>
              <w:autoSpaceDN w:val="0"/>
              <w:adjustRightInd w:val="0"/>
              <w:spacing w:before="0" w:beforeAutospacing="1" w:after="0" w:afterAutospacing="1"/>
              <w:ind w:left="0" w:right="0"/>
              <w:jc w:val="center"/>
              <w:rPr>
                <w:rFonts w:eastAsia="Calibri"/>
                <w:b/>
                <w:bCs/>
                <w:color w:val="000000" w:themeColor="text1"/>
                <w:kern w:val="2"/>
                <w:sz w:val="24"/>
                <w:szCs w:val="24"/>
                <w:highlight w:val="none"/>
                <w:bdr w:val="none" w:color="auto" w:sz="0" w:space="0"/>
                <w:lang w:val="en-US"/>
                <w14:textFill>
                  <w14:solidFill>
                    <w14:schemeClr w14:val="tx1"/>
                  </w14:solidFill>
                </w14:textFill>
              </w:rPr>
            </w:pPr>
            <w:r>
              <w:rPr>
                <w:rFonts w:hint="default" w:ascii="Times New Roman" w:hAnsi="Times New Roman" w:eastAsia="Calibri" w:cs="Times New Roman"/>
                <w:b/>
                <w:bCs/>
                <w:color w:val="000000" w:themeColor="text1"/>
                <w:kern w:val="2"/>
                <w:sz w:val="22"/>
                <w:szCs w:val="22"/>
                <w:highlight w:val="none"/>
                <w:bdr w:val="none" w:color="auto" w:sz="0" w:space="0"/>
                <w:lang w:val="en-US" w:eastAsia="zh-CN" w:bidi="ar"/>
                <w14:textFill>
                  <w14:solidFill>
                    <w14:schemeClr w14:val="tx1"/>
                  </w14:solidFill>
                </w14:textFill>
              </w:rPr>
              <w:t>Descriptive Statistics</w:t>
            </w:r>
          </w:p>
        </w:tc>
      </w:tr>
      <w:tr w14:paraId="1CE27E63">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488" w:hRule="atLeast"/>
        </w:trPr>
        <w:tc>
          <w:tcPr>
            <w:tcW w:w="1488" w:type="dxa"/>
            <w:tcBorders>
              <w:top w:val="nil"/>
              <w:left w:val="nil"/>
              <w:bottom w:val="nil"/>
              <w:right w:val="nil"/>
            </w:tcBorders>
            <w:shd w:val="clear" w:color="auto" w:fill="FFFFFF" w:themeFill="background1"/>
            <w:vAlign w:val="top"/>
          </w:tcPr>
          <w:p w14:paraId="50AF5B05">
            <w:pPr>
              <w:keepNext w:val="0"/>
              <w:keepLines w:val="0"/>
              <w:widowControl/>
              <w:suppressLineNumbers w:val="0"/>
              <w:autoSpaceDE w:val="0"/>
              <w:autoSpaceDN w:val="0"/>
              <w:adjustRightInd w:val="0"/>
              <w:spacing w:before="0" w:beforeAutospacing="1" w:after="0" w:afterAutospacing="1"/>
              <w:ind w:left="0" w:right="0"/>
              <w:jc w:val="left"/>
              <w:rPr>
                <w:rFonts w:eastAsia="Calibri"/>
                <w:color w:val="000000" w:themeColor="text1"/>
                <w:kern w:val="2"/>
                <w:sz w:val="24"/>
                <w:szCs w:val="24"/>
                <w:highlight w:val="none"/>
                <w:bdr w:val="none" w:color="auto" w:sz="0" w:space="0"/>
                <w:lang w:val="en-US"/>
                <w14:textFill>
                  <w14:solidFill>
                    <w14:schemeClr w14:val="tx1"/>
                  </w14:solidFill>
                </w14:textFill>
              </w:rPr>
            </w:pPr>
          </w:p>
        </w:tc>
        <w:tc>
          <w:tcPr>
            <w:tcW w:w="1186" w:type="dxa"/>
            <w:tcBorders>
              <w:top w:val="nil"/>
              <w:left w:val="nil"/>
              <w:bottom w:val="nil"/>
              <w:right w:val="nil"/>
            </w:tcBorders>
            <w:shd w:val="clear" w:color="auto" w:fill="FFFFFF" w:themeFill="background1"/>
            <w:vAlign w:val="top"/>
          </w:tcPr>
          <w:p w14:paraId="35257232">
            <w:pPr>
              <w:keepNext w:val="0"/>
              <w:keepLines w:val="0"/>
              <w:widowControl/>
              <w:suppressLineNumbers w:val="0"/>
              <w:autoSpaceDE w:val="0"/>
              <w:autoSpaceDN w:val="0"/>
              <w:adjustRightInd w:val="0"/>
              <w:spacing w:before="0" w:beforeAutospacing="1" w:after="0" w:afterAutospacing="1"/>
              <w:ind w:left="0" w:right="0"/>
              <w:jc w:val="center"/>
              <w:rPr>
                <w:rFonts w:eastAsia="Calibri"/>
                <w:color w:val="000000" w:themeColor="text1"/>
                <w:kern w:val="2"/>
                <w:sz w:val="24"/>
                <w:szCs w:val="24"/>
                <w:highlight w:val="none"/>
                <w:bdr w:val="none" w:color="auto" w:sz="0" w:space="0"/>
                <w:lang w:val="en-US"/>
                <w14:textFill>
                  <w14:solidFill>
                    <w14:schemeClr w14:val="tx1"/>
                  </w14:solidFill>
                </w14:textFill>
              </w:rPr>
            </w:pPr>
            <w:r>
              <w:rPr>
                <w:rFonts w:hint="default" w:ascii="Times New Roman" w:hAnsi="Times New Roman" w:eastAsia="Calibri" w:cs="Times New Roman"/>
                <w:color w:val="000000" w:themeColor="text1"/>
                <w:kern w:val="2"/>
                <w:sz w:val="22"/>
                <w:szCs w:val="22"/>
                <w:highlight w:val="none"/>
                <w:bdr w:val="none" w:color="auto" w:sz="0" w:space="0"/>
                <w:lang w:val="en-US" w:eastAsia="zh-CN" w:bidi="ar"/>
                <w14:textFill>
                  <w14:solidFill>
                    <w14:schemeClr w14:val="tx1"/>
                  </w14:solidFill>
                </w14:textFill>
              </w:rPr>
              <w:t>N</w:t>
            </w:r>
          </w:p>
        </w:tc>
        <w:tc>
          <w:tcPr>
            <w:tcW w:w="1186" w:type="dxa"/>
            <w:tcBorders>
              <w:top w:val="nil"/>
              <w:left w:val="nil"/>
              <w:bottom w:val="nil"/>
              <w:right w:val="nil"/>
            </w:tcBorders>
            <w:shd w:val="clear" w:color="auto" w:fill="FFFFFF" w:themeFill="background1"/>
            <w:vAlign w:val="top"/>
          </w:tcPr>
          <w:p w14:paraId="13ED07D3">
            <w:pPr>
              <w:keepNext w:val="0"/>
              <w:keepLines w:val="0"/>
              <w:widowControl/>
              <w:suppressLineNumbers w:val="0"/>
              <w:autoSpaceDE w:val="0"/>
              <w:autoSpaceDN w:val="0"/>
              <w:adjustRightInd w:val="0"/>
              <w:spacing w:before="0" w:beforeAutospacing="1" w:after="0" w:afterAutospacing="1"/>
              <w:ind w:left="0" w:right="0"/>
              <w:jc w:val="center"/>
              <w:rPr>
                <w:rFonts w:eastAsia="Calibri"/>
                <w:color w:val="000000" w:themeColor="text1"/>
                <w:kern w:val="2"/>
                <w:sz w:val="24"/>
                <w:szCs w:val="24"/>
                <w:highlight w:val="none"/>
                <w:bdr w:val="none" w:color="auto" w:sz="0" w:space="0"/>
                <w:lang w:val="en-US"/>
                <w14:textFill>
                  <w14:solidFill>
                    <w14:schemeClr w14:val="tx1"/>
                  </w14:solidFill>
                </w14:textFill>
              </w:rPr>
            </w:pPr>
            <w:r>
              <w:rPr>
                <w:rFonts w:hint="default" w:ascii="Times New Roman" w:hAnsi="Times New Roman" w:eastAsia="Calibri" w:cs="Times New Roman"/>
                <w:color w:val="000000" w:themeColor="text1"/>
                <w:kern w:val="2"/>
                <w:sz w:val="22"/>
                <w:szCs w:val="22"/>
                <w:highlight w:val="none"/>
                <w:bdr w:val="none" w:color="auto" w:sz="0" w:space="0"/>
                <w:lang w:val="en-US" w:eastAsia="zh-CN" w:bidi="ar"/>
                <w14:textFill>
                  <w14:solidFill>
                    <w14:schemeClr w14:val="tx1"/>
                  </w14:solidFill>
                </w14:textFill>
              </w:rPr>
              <w:t>Minimum</w:t>
            </w:r>
          </w:p>
        </w:tc>
        <w:tc>
          <w:tcPr>
            <w:tcW w:w="1186" w:type="dxa"/>
            <w:tcBorders>
              <w:top w:val="nil"/>
              <w:left w:val="nil"/>
              <w:bottom w:val="nil"/>
              <w:right w:val="nil"/>
            </w:tcBorders>
            <w:shd w:val="clear" w:color="auto" w:fill="FFFFFF" w:themeFill="background1"/>
            <w:vAlign w:val="top"/>
          </w:tcPr>
          <w:p w14:paraId="3C5AB7F1">
            <w:pPr>
              <w:keepNext w:val="0"/>
              <w:keepLines w:val="0"/>
              <w:widowControl/>
              <w:suppressLineNumbers w:val="0"/>
              <w:autoSpaceDE w:val="0"/>
              <w:autoSpaceDN w:val="0"/>
              <w:adjustRightInd w:val="0"/>
              <w:spacing w:before="0" w:beforeAutospacing="1" w:after="0" w:afterAutospacing="1"/>
              <w:ind w:left="0" w:right="0"/>
              <w:jc w:val="center"/>
              <w:rPr>
                <w:rFonts w:eastAsia="Calibri"/>
                <w:color w:val="000000" w:themeColor="text1"/>
                <w:kern w:val="2"/>
                <w:sz w:val="24"/>
                <w:szCs w:val="24"/>
                <w:highlight w:val="none"/>
                <w:bdr w:val="none" w:color="auto" w:sz="0" w:space="0"/>
                <w:lang w:val="en-US"/>
                <w14:textFill>
                  <w14:solidFill>
                    <w14:schemeClr w14:val="tx1"/>
                  </w14:solidFill>
                </w14:textFill>
              </w:rPr>
            </w:pPr>
            <w:r>
              <w:rPr>
                <w:rFonts w:hint="default" w:ascii="Times New Roman" w:hAnsi="Times New Roman" w:eastAsia="Calibri" w:cs="Times New Roman"/>
                <w:color w:val="000000" w:themeColor="text1"/>
                <w:kern w:val="2"/>
                <w:sz w:val="22"/>
                <w:szCs w:val="22"/>
                <w:highlight w:val="none"/>
                <w:bdr w:val="none" w:color="auto" w:sz="0" w:space="0"/>
                <w:lang w:val="en-US" w:eastAsia="zh-CN" w:bidi="ar"/>
                <w14:textFill>
                  <w14:solidFill>
                    <w14:schemeClr w14:val="tx1"/>
                  </w14:solidFill>
                </w14:textFill>
              </w:rPr>
              <w:t>Maximum</w:t>
            </w:r>
          </w:p>
        </w:tc>
        <w:tc>
          <w:tcPr>
            <w:tcW w:w="1186" w:type="dxa"/>
            <w:tcBorders>
              <w:top w:val="nil"/>
              <w:left w:val="nil"/>
              <w:bottom w:val="nil"/>
              <w:right w:val="nil"/>
            </w:tcBorders>
            <w:shd w:val="clear" w:color="auto" w:fill="FFFFFF" w:themeFill="background1"/>
            <w:vAlign w:val="top"/>
          </w:tcPr>
          <w:p w14:paraId="72CD520B">
            <w:pPr>
              <w:keepNext w:val="0"/>
              <w:keepLines w:val="0"/>
              <w:widowControl/>
              <w:suppressLineNumbers w:val="0"/>
              <w:autoSpaceDE w:val="0"/>
              <w:autoSpaceDN w:val="0"/>
              <w:adjustRightInd w:val="0"/>
              <w:spacing w:before="0" w:beforeAutospacing="1" w:after="0" w:afterAutospacing="1"/>
              <w:ind w:left="0" w:right="0"/>
              <w:jc w:val="center"/>
              <w:rPr>
                <w:rFonts w:eastAsia="Calibri"/>
                <w:color w:val="000000" w:themeColor="text1"/>
                <w:kern w:val="2"/>
                <w:sz w:val="24"/>
                <w:szCs w:val="24"/>
                <w:highlight w:val="none"/>
                <w:bdr w:val="none" w:color="auto" w:sz="0" w:space="0"/>
                <w:lang w:val="en-US"/>
                <w14:textFill>
                  <w14:solidFill>
                    <w14:schemeClr w14:val="tx1"/>
                  </w14:solidFill>
                </w14:textFill>
              </w:rPr>
            </w:pPr>
            <w:r>
              <w:rPr>
                <w:rFonts w:hint="default" w:ascii="Times New Roman" w:hAnsi="Times New Roman" w:eastAsia="Calibri" w:cs="Times New Roman"/>
                <w:color w:val="000000" w:themeColor="text1"/>
                <w:kern w:val="2"/>
                <w:sz w:val="22"/>
                <w:szCs w:val="22"/>
                <w:highlight w:val="none"/>
                <w:bdr w:val="none" w:color="auto" w:sz="0" w:space="0"/>
                <w:lang w:val="en-US" w:eastAsia="zh-CN" w:bidi="ar"/>
                <w14:textFill>
                  <w14:solidFill>
                    <w14:schemeClr w14:val="tx1"/>
                  </w14:solidFill>
                </w14:textFill>
              </w:rPr>
              <w:t>Mean</w:t>
            </w:r>
          </w:p>
        </w:tc>
        <w:tc>
          <w:tcPr>
            <w:tcW w:w="1308" w:type="dxa"/>
            <w:tcBorders>
              <w:top w:val="nil"/>
              <w:left w:val="nil"/>
              <w:bottom w:val="nil"/>
              <w:right w:val="nil"/>
            </w:tcBorders>
            <w:shd w:val="clear" w:color="auto" w:fill="FFFFFF" w:themeFill="background1"/>
            <w:vAlign w:val="top"/>
          </w:tcPr>
          <w:p w14:paraId="635A6D46">
            <w:pPr>
              <w:keepNext w:val="0"/>
              <w:keepLines w:val="0"/>
              <w:widowControl/>
              <w:suppressLineNumbers w:val="0"/>
              <w:autoSpaceDE w:val="0"/>
              <w:autoSpaceDN w:val="0"/>
              <w:adjustRightInd w:val="0"/>
              <w:spacing w:before="0" w:beforeAutospacing="1" w:after="0" w:afterAutospacing="1"/>
              <w:ind w:left="0" w:right="0"/>
              <w:jc w:val="center"/>
              <w:rPr>
                <w:rFonts w:eastAsia="Calibri"/>
                <w:b/>
                <w:bCs/>
                <w:color w:val="000000" w:themeColor="text1"/>
                <w:kern w:val="2"/>
                <w:sz w:val="24"/>
                <w:szCs w:val="24"/>
                <w:highlight w:val="none"/>
                <w:bdr w:val="none" w:color="auto" w:sz="0" w:space="0"/>
                <w:lang w:val="en-US"/>
                <w14:textFill>
                  <w14:solidFill>
                    <w14:schemeClr w14:val="tx1"/>
                  </w14:solidFill>
                </w14:textFill>
              </w:rPr>
            </w:pPr>
            <w:r>
              <w:rPr>
                <w:rFonts w:hint="default" w:ascii="Times New Roman" w:hAnsi="Times New Roman" w:eastAsia="Calibri" w:cs="Times New Roman"/>
                <w:b/>
                <w:bCs/>
                <w:color w:val="000000" w:themeColor="text1"/>
                <w:kern w:val="2"/>
                <w:sz w:val="22"/>
                <w:szCs w:val="22"/>
                <w:highlight w:val="none"/>
                <w:bdr w:val="none" w:color="auto" w:sz="0" w:space="0"/>
                <w:lang w:val="en-US" w:eastAsia="zh-CN" w:bidi="ar"/>
                <w14:textFill>
                  <w14:solidFill>
                    <w14:schemeClr w14:val="tx1"/>
                  </w14:solidFill>
                </w14:textFill>
              </w:rPr>
              <w:t>Std. Deviation</w:t>
            </w:r>
          </w:p>
        </w:tc>
      </w:tr>
      <w:tr w14:paraId="6EC5F00D">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shd w:val="clear" w:color="auto" w:fill="FFFFFF" w:themeFill="background1"/>
          <w:tblCellMar>
            <w:top w:w="0" w:type="dxa"/>
            <w:left w:w="108" w:type="dxa"/>
            <w:bottom w:w="0" w:type="dxa"/>
            <w:right w:w="108" w:type="dxa"/>
          </w:tblCellMar>
        </w:tblPrEx>
        <w:trPr>
          <w:trHeight w:val="470" w:hRule="atLeast"/>
        </w:trPr>
        <w:tc>
          <w:tcPr>
            <w:tcW w:w="1488" w:type="dxa"/>
            <w:tcBorders>
              <w:top w:val="nil"/>
              <w:left w:val="nil"/>
              <w:bottom w:val="nil"/>
              <w:right w:val="nil"/>
            </w:tcBorders>
            <w:shd w:val="clear" w:color="auto" w:fill="FFFFFF" w:themeFill="background1"/>
            <w:vAlign w:val="top"/>
          </w:tcPr>
          <w:p w14:paraId="4AFAE21F">
            <w:pPr>
              <w:keepNext w:val="0"/>
              <w:keepLines w:val="0"/>
              <w:widowControl/>
              <w:suppressLineNumbers w:val="0"/>
              <w:autoSpaceDE w:val="0"/>
              <w:autoSpaceDN w:val="0"/>
              <w:adjustRightInd w:val="0"/>
              <w:spacing w:before="0" w:beforeAutospacing="1" w:after="0" w:afterAutospacing="1"/>
              <w:ind w:left="0" w:right="0"/>
              <w:jc w:val="left"/>
              <w:rPr>
                <w:rFonts w:eastAsia="Calibri"/>
                <w:color w:val="000000" w:themeColor="text1"/>
                <w:kern w:val="2"/>
                <w:sz w:val="24"/>
                <w:szCs w:val="24"/>
                <w:highlight w:val="none"/>
                <w:bdr w:val="none" w:color="auto" w:sz="0" w:space="0"/>
                <w:lang w:val="en-US"/>
                <w14:textFill>
                  <w14:solidFill>
                    <w14:schemeClr w14:val="tx1"/>
                  </w14:solidFill>
                </w14:textFill>
              </w:rPr>
            </w:pPr>
            <w:r>
              <w:rPr>
                <w:rFonts w:hint="default" w:ascii="Times New Roman" w:hAnsi="Times New Roman" w:eastAsia="Calibri" w:cs="Times New Roman"/>
                <w:color w:val="000000" w:themeColor="text1"/>
                <w:kern w:val="2"/>
                <w:sz w:val="22"/>
                <w:szCs w:val="22"/>
                <w:highlight w:val="none"/>
                <w:bdr w:val="none" w:color="auto" w:sz="0" w:space="0"/>
                <w:lang w:val="en-US" w:eastAsia="zh-CN" w:bidi="ar"/>
                <w14:textFill>
                  <w14:solidFill>
                    <w14:schemeClr w14:val="tx1"/>
                  </w14:solidFill>
                </w14:textFill>
              </w:rPr>
              <w:t>Questionnaire</w:t>
            </w:r>
          </w:p>
        </w:tc>
        <w:tc>
          <w:tcPr>
            <w:tcW w:w="1186" w:type="dxa"/>
            <w:tcBorders>
              <w:top w:val="nil"/>
              <w:left w:val="nil"/>
              <w:bottom w:val="nil"/>
              <w:right w:val="nil"/>
            </w:tcBorders>
            <w:shd w:val="clear" w:color="auto" w:fill="FFFFFF" w:themeFill="background1"/>
            <w:vAlign w:val="top"/>
          </w:tcPr>
          <w:p w14:paraId="1698B6AD">
            <w:pPr>
              <w:keepNext w:val="0"/>
              <w:keepLines w:val="0"/>
              <w:widowControl/>
              <w:suppressLineNumbers w:val="0"/>
              <w:autoSpaceDE w:val="0"/>
              <w:autoSpaceDN w:val="0"/>
              <w:adjustRightInd w:val="0"/>
              <w:spacing w:before="0" w:beforeAutospacing="1" w:after="0" w:afterAutospacing="1"/>
              <w:ind w:left="0" w:right="0"/>
              <w:jc w:val="right"/>
              <w:rPr>
                <w:rFonts w:eastAsia="Calibri"/>
                <w:color w:val="000000" w:themeColor="text1"/>
                <w:kern w:val="2"/>
                <w:sz w:val="24"/>
                <w:szCs w:val="24"/>
                <w:highlight w:val="none"/>
                <w:bdr w:val="none" w:color="auto" w:sz="0" w:space="0"/>
                <w:lang w:val="en-US"/>
                <w14:textFill>
                  <w14:solidFill>
                    <w14:schemeClr w14:val="tx1"/>
                  </w14:solidFill>
                </w14:textFill>
              </w:rPr>
            </w:pPr>
            <w:r>
              <w:rPr>
                <w:rFonts w:hint="default" w:ascii="Times New Roman" w:hAnsi="Times New Roman" w:eastAsia="Calibri" w:cs="Times New Roman"/>
                <w:color w:val="000000" w:themeColor="text1"/>
                <w:kern w:val="2"/>
                <w:sz w:val="22"/>
                <w:szCs w:val="22"/>
                <w:highlight w:val="none"/>
                <w:bdr w:val="none" w:color="auto" w:sz="0" w:space="0"/>
                <w:lang w:val="en-US" w:eastAsia="zh-CN" w:bidi="ar"/>
                <w14:textFill>
                  <w14:solidFill>
                    <w14:schemeClr w14:val="tx1"/>
                  </w14:solidFill>
                </w14:textFill>
              </w:rPr>
              <w:t>116</w:t>
            </w:r>
          </w:p>
        </w:tc>
        <w:tc>
          <w:tcPr>
            <w:tcW w:w="1186" w:type="dxa"/>
            <w:tcBorders>
              <w:top w:val="nil"/>
              <w:left w:val="nil"/>
              <w:bottom w:val="nil"/>
              <w:right w:val="nil"/>
            </w:tcBorders>
            <w:shd w:val="clear" w:color="auto" w:fill="FFFFFF" w:themeFill="background1"/>
            <w:vAlign w:val="top"/>
          </w:tcPr>
          <w:p w14:paraId="5F431F1D">
            <w:pPr>
              <w:keepNext w:val="0"/>
              <w:keepLines w:val="0"/>
              <w:widowControl/>
              <w:suppressLineNumbers w:val="0"/>
              <w:autoSpaceDE w:val="0"/>
              <w:autoSpaceDN w:val="0"/>
              <w:adjustRightInd w:val="0"/>
              <w:spacing w:before="0" w:beforeAutospacing="1" w:after="0" w:afterAutospacing="1"/>
              <w:ind w:left="0" w:right="0"/>
              <w:jc w:val="right"/>
              <w:rPr>
                <w:rFonts w:eastAsia="Calibri"/>
                <w:color w:val="000000" w:themeColor="text1"/>
                <w:kern w:val="2"/>
                <w:sz w:val="24"/>
                <w:szCs w:val="24"/>
                <w:highlight w:val="none"/>
                <w:bdr w:val="none" w:color="auto" w:sz="0" w:space="0"/>
                <w:lang w:val="en-US"/>
                <w14:textFill>
                  <w14:solidFill>
                    <w14:schemeClr w14:val="tx1"/>
                  </w14:solidFill>
                </w14:textFill>
              </w:rPr>
            </w:pPr>
            <w:r>
              <w:rPr>
                <w:rFonts w:hint="default" w:ascii="Times New Roman" w:hAnsi="Times New Roman" w:eastAsia="Calibri" w:cs="Times New Roman"/>
                <w:color w:val="000000" w:themeColor="text1"/>
                <w:kern w:val="2"/>
                <w:sz w:val="22"/>
                <w:szCs w:val="22"/>
                <w:highlight w:val="none"/>
                <w:bdr w:val="none" w:color="auto" w:sz="0" w:space="0"/>
                <w:lang w:val="en-US" w:eastAsia="zh-CN" w:bidi="ar"/>
                <w14:textFill>
                  <w14:solidFill>
                    <w14:schemeClr w14:val="tx1"/>
                  </w14:solidFill>
                </w14:textFill>
              </w:rPr>
              <w:t>51</w:t>
            </w:r>
          </w:p>
        </w:tc>
        <w:tc>
          <w:tcPr>
            <w:tcW w:w="1186" w:type="dxa"/>
            <w:tcBorders>
              <w:top w:val="nil"/>
              <w:left w:val="nil"/>
              <w:bottom w:val="nil"/>
              <w:right w:val="nil"/>
            </w:tcBorders>
            <w:shd w:val="clear" w:color="auto" w:fill="FFFFFF" w:themeFill="background1"/>
            <w:vAlign w:val="top"/>
          </w:tcPr>
          <w:p w14:paraId="5F20B79D">
            <w:pPr>
              <w:keepNext w:val="0"/>
              <w:keepLines w:val="0"/>
              <w:widowControl/>
              <w:suppressLineNumbers w:val="0"/>
              <w:autoSpaceDE w:val="0"/>
              <w:autoSpaceDN w:val="0"/>
              <w:adjustRightInd w:val="0"/>
              <w:spacing w:before="0" w:beforeAutospacing="1" w:after="0" w:afterAutospacing="1"/>
              <w:ind w:left="0" w:right="0"/>
              <w:jc w:val="right"/>
              <w:rPr>
                <w:rFonts w:eastAsia="Calibri"/>
                <w:color w:val="000000" w:themeColor="text1"/>
                <w:kern w:val="2"/>
                <w:sz w:val="24"/>
                <w:szCs w:val="24"/>
                <w:highlight w:val="none"/>
                <w:bdr w:val="none" w:color="auto" w:sz="0" w:space="0"/>
                <w:lang w:val="en-US"/>
                <w14:textFill>
                  <w14:solidFill>
                    <w14:schemeClr w14:val="tx1"/>
                  </w14:solidFill>
                </w14:textFill>
              </w:rPr>
            </w:pPr>
            <w:r>
              <w:rPr>
                <w:rFonts w:hint="default" w:ascii="Times New Roman" w:hAnsi="Times New Roman" w:eastAsia="Calibri" w:cs="Times New Roman"/>
                <w:color w:val="000000" w:themeColor="text1"/>
                <w:kern w:val="2"/>
                <w:sz w:val="22"/>
                <w:szCs w:val="22"/>
                <w:highlight w:val="none"/>
                <w:bdr w:val="none" w:color="auto" w:sz="0" w:space="0"/>
                <w:lang w:val="en-US" w:eastAsia="zh-CN" w:bidi="ar"/>
                <w14:textFill>
                  <w14:solidFill>
                    <w14:schemeClr w14:val="tx1"/>
                  </w14:solidFill>
                </w14:textFill>
              </w:rPr>
              <w:t>94</w:t>
            </w:r>
          </w:p>
        </w:tc>
        <w:tc>
          <w:tcPr>
            <w:tcW w:w="1186" w:type="dxa"/>
            <w:tcBorders>
              <w:top w:val="nil"/>
              <w:left w:val="nil"/>
              <w:bottom w:val="nil"/>
              <w:right w:val="nil"/>
            </w:tcBorders>
            <w:shd w:val="clear" w:color="auto" w:fill="FFFFFF" w:themeFill="background1"/>
            <w:vAlign w:val="top"/>
          </w:tcPr>
          <w:p w14:paraId="06735431">
            <w:pPr>
              <w:keepNext w:val="0"/>
              <w:keepLines w:val="0"/>
              <w:widowControl/>
              <w:suppressLineNumbers w:val="0"/>
              <w:autoSpaceDE w:val="0"/>
              <w:autoSpaceDN w:val="0"/>
              <w:adjustRightInd w:val="0"/>
              <w:spacing w:before="0" w:beforeAutospacing="1" w:after="0" w:afterAutospacing="1"/>
              <w:ind w:left="0" w:right="0"/>
              <w:jc w:val="right"/>
              <w:rPr>
                <w:rFonts w:eastAsia="Calibri"/>
                <w:color w:val="000000" w:themeColor="text1"/>
                <w:kern w:val="2"/>
                <w:sz w:val="24"/>
                <w:szCs w:val="24"/>
                <w:highlight w:val="none"/>
                <w:bdr w:val="none" w:color="auto" w:sz="0" w:space="0"/>
                <w:lang w:val="en-US"/>
                <w14:textFill>
                  <w14:solidFill>
                    <w14:schemeClr w14:val="tx1"/>
                  </w14:solidFill>
                </w14:textFill>
              </w:rPr>
            </w:pPr>
            <w:r>
              <w:rPr>
                <w:rFonts w:hint="default" w:ascii="Times New Roman" w:hAnsi="Times New Roman" w:eastAsia="Calibri" w:cs="Times New Roman"/>
                <w:color w:val="000000" w:themeColor="text1"/>
                <w:kern w:val="2"/>
                <w:sz w:val="22"/>
                <w:szCs w:val="22"/>
                <w:highlight w:val="none"/>
                <w:bdr w:val="none" w:color="auto" w:sz="0" w:space="0"/>
                <w:lang w:val="en-US" w:eastAsia="zh-CN" w:bidi="ar"/>
                <w14:textFill>
                  <w14:solidFill>
                    <w14:schemeClr w14:val="tx1"/>
                  </w14:solidFill>
                </w14:textFill>
              </w:rPr>
              <w:t>69.32</w:t>
            </w:r>
          </w:p>
        </w:tc>
        <w:tc>
          <w:tcPr>
            <w:tcW w:w="1308" w:type="dxa"/>
            <w:tcBorders>
              <w:top w:val="nil"/>
              <w:left w:val="nil"/>
              <w:bottom w:val="nil"/>
              <w:right w:val="nil"/>
            </w:tcBorders>
            <w:shd w:val="clear" w:color="auto" w:fill="FFFFFF" w:themeFill="background1"/>
            <w:vAlign w:val="top"/>
          </w:tcPr>
          <w:p w14:paraId="4FB3A35B">
            <w:pPr>
              <w:keepNext w:val="0"/>
              <w:keepLines w:val="0"/>
              <w:widowControl/>
              <w:suppressLineNumbers w:val="0"/>
              <w:autoSpaceDE w:val="0"/>
              <w:autoSpaceDN w:val="0"/>
              <w:adjustRightInd w:val="0"/>
              <w:spacing w:before="0" w:beforeAutospacing="1" w:after="0" w:afterAutospacing="1"/>
              <w:ind w:left="0" w:right="0"/>
              <w:jc w:val="right"/>
              <w:rPr>
                <w:rFonts w:eastAsia="Calibri"/>
                <w:b w:val="0"/>
                <w:bCs w:val="0"/>
                <w:color w:val="000000" w:themeColor="text1"/>
                <w:kern w:val="2"/>
                <w:sz w:val="24"/>
                <w:szCs w:val="24"/>
                <w:highlight w:val="none"/>
                <w:bdr w:val="none" w:color="auto" w:sz="0" w:space="0"/>
                <w:lang w:val="en-US"/>
                <w14:textFill>
                  <w14:solidFill>
                    <w14:schemeClr w14:val="tx1"/>
                  </w14:solidFill>
                </w14:textFill>
              </w:rPr>
            </w:pPr>
            <w:r>
              <w:rPr>
                <w:rFonts w:hint="default" w:ascii="Times New Roman" w:hAnsi="Times New Roman" w:eastAsia="Calibri" w:cs="Times New Roman"/>
                <w:b w:val="0"/>
                <w:bCs w:val="0"/>
                <w:color w:val="000000" w:themeColor="text1"/>
                <w:kern w:val="2"/>
                <w:sz w:val="22"/>
                <w:szCs w:val="22"/>
                <w:highlight w:val="none"/>
                <w:bdr w:val="none" w:color="auto" w:sz="0" w:space="0"/>
                <w:lang w:val="en-US" w:eastAsia="zh-CN" w:bidi="ar"/>
                <w14:textFill>
                  <w14:solidFill>
                    <w14:schemeClr w14:val="tx1"/>
                  </w14:solidFill>
                </w14:textFill>
              </w:rPr>
              <w:t>7.035</w:t>
            </w:r>
          </w:p>
        </w:tc>
      </w:tr>
      <w:tr w14:paraId="6F131D8C">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488" w:hRule="atLeast"/>
        </w:trPr>
        <w:tc>
          <w:tcPr>
            <w:tcW w:w="1488" w:type="dxa"/>
            <w:tcBorders>
              <w:top w:val="nil"/>
              <w:left w:val="nil"/>
              <w:bottom w:val="single" w:color="000000" w:sz="8" w:space="0"/>
              <w:right w:val="nil"/>
            </w:tcBorders>
            <w:shd w:val="clear" w:color="auto" w:fill="FFFFFF" w:themeFill="background1"/>
            <w:vAlign w:val="top"/>
          </w:tcPr>
          <w:p w14:paraId="76F6C591">
            <w:pPr>
              <w:keepNext w:val="0"/>
              <w:keepLines w:val="0"/>
              <w:widowControl/>
              <w:suppressLineNumbers w:val="0"/>
              <w:autoSpaceDE w:val="0"/>
              <w:autoSpaceDN w:val="0"/>
              <w:adjustRightInd w:val="0"/>
              <w:spacing w:before="0" w:beforeAutospacing="1" w:after="0" w:afterAutospacing="1"/>
              <w:ind w:left="0" w:right="0"/>
              <w:jc w:val="left"/>
              <w:rPr>
                <w:rFonts w:eastAsia="Calibri"/>
                <w:color w:val="000000" w:themeColor="text1"/>
                <w:kern w:val="2"/>
                <w:sz w:val="24"/>
                <w:szCs w:val="24"/>
                <w:highlight w:val="none"/>
                <w:bdr w:val="none" w:color="auto" w:sz="0" w:space="0"/>
                <w:lang w:val="en-US"/>
                <w14:textFill>
                  <w14:solidFill>
                    <w14:schemeClr w14:val="tx1"/>
                  </w14:solidFill>
                </w14:textFill>
              </w:rPr>
            </w:pPr>
            <w:r>
              <w:rPr>
                <w:rFonts w:hint="default" w:ascii="Times New Roman" w:hAnsi="Times New Roman" w:eastAsia="Calibri" w:cs="Times New Roman"/>
                <w:color w:val="000000" w:themeColor="text1"/>
                <w:kern w:val="2"/>
                <w:sz w:val="22"/>
                <w:szCs w:val="22"/>
                <w:highlight w:val="none"/>
                <w:bdr w:val="none" w:color="auto" w:sz="0" w:space="0"/>
                <w:lang w:val="en-US" w:eastAsia="zh-CN" w:bidi="ar"/>
                <w14:textFill>
                  <w14:solidFill>
                    <w14:schemeClr w14:val="tx1"/>
                  </w14:solidFill>
                </w14:textFill>
              </w:rPr>
              <w:t>Valid N (listwise)</w:t>
            </w:r>
          </w:p>
        </w:tc>
        <w:tc>
          <w:tcPr>
            <w:tcW w:w="1186" w:type="dxa"/>
            <w:tcBorders>
              <w:top w:val="nil"/>
              <w:left w:val="nil"/>
              <w:bottom w:val="single" w:color="000000" w:sz="8" w:space="0"/>
              <w:right w:val="nil"/>
            </w:tcBorders>
            <w:shd w:val="clear" w:color="auto" w:fill="FFFFFF" w:themeFill="background1"/>
            <w:vAlign w:val="top"/>
          </w:tcPr>
          <w:p w14:paraId="3AD6479A">
            <w:pPr>
              <w:keepNext w:val="0"/>
              <w:keepLines w:val="0"/>
              <w:widowControl/>
              <w:suppressLineNumbers w:val="0"/>
              <w:autoSpaceDE w:val="0"/>
              <w:autoSpaceDN w:val="0"/>
              <w:adjustRightInd w:val="0"/>
              <w:spacing w:before="0" w:beforeAutospacing="1" w:after="0" w:afterAutospacing="1"/>
              <w:ind w:left="0" w:right="0"/>
              <w:jc w:val="right"/>
              <w:rPr>
                <w:rFonts w:eastAsia="Calibri"/>
                <w:color w:val="000000" w:themeColor="text1"/>
                <w:kern w:val="2"/>
                <w:sz w:val="24"/>
                <w:szCs w:val="24"/>
                <w:highlight w:val="none"/>
                <w:bdr w:val="none" w:color="auto" w:sz="0" w:space="0"/>
                <w:lang w:val="en-US"/>
                <w14:textFill>
                  <w14:solidFill>
                    <w14:schemeClr w14:val="tx1"/>
                  </w14:solidFill>
                </w14:textFill>
              </w:rPr>
            </w:pPr>
            <w:r>
              <w:rPr>
                <w:rFonts w:hint="default" w:ascii="Times New Roman" w:hAnsi="Times New Roman" w:eastAsia="Calibri" w:cs="Times New Roman"/>
                <w:color w:val="000000" w:themeColor="text1"/>
                <w:kern w:val="2"/>
                <w:sz w:val="22"/>
                <w:szCs w:val="22"/>
                <w:highlight w:val="none"/>
                <w:bdr w:val="none" w:color="auto" w:sz="0" w:space="0"/>
                <w:lang w:val="en-US" w:eastAsia="zh-CN" w:bidi="ar"/>
                <w14:textFill>
                  <w14:solidFill>
                    <w14:schemeClr w14:val="tx1"/>
                  </w14:solidFill>
                </w14:textFill>
              </w:rPr>
              <w:t>116</w:t>
            </w:r>
          </w:p>
        </w:tc>
        <w:tc>
          <w:tcPr>
            <w:tcW w:w="1186" w:type="dxa"/>
            <w:tcBorders>
              <w:top w:val="nil"/>
              <w:left w:val="nil"/>
              <w:bottom w:val="single" w:color="000000" w:sz="8" w:space="0"/>
              <w:right w:val="nil"/>
            </w:tcBorders>
            <w:shd w:val="clear" w:color="auto" w:fill="FFFFFF" w:themeFill="background1"/>
            <w:vAlign w:val="top"/>
          </w:tcPr>
          <w:p w14:paraId="42755448">
            <w:pPr>
              <w:keepNext w:val="0"/>
              <w:keepLines w:val="0"/>
              <w:widowControl/>
              <w:suppressLineNumbers w:val="0"/>
              <w:autoSpaceDE w:val="0"/>
              <w:autoSpaceDN w:val="0"/>
              <w:adjustRightInd w:val="0"/>
              <w:spacing w:before="0" w:beforeAutospacing="1" w:after="0" w:afterAutospacing="1"/>
              <w:ind w:left="0" w:right="0"/>
              <w:jc w:val="left"/>
              <w:rPr>
                <w:rFonts w:eastAsia="Calibri"/>
                <w:color w:val="000000" w:themeColor="text1"/>
                <w:kern w:val="2"/>
                <w:sz w:val="24"/>
                <w:szCs w:val="24"/>
                <w:highlight w:val="none"/>
                <w:bdr w:val="none" w:color="auto" w:sz="0" w:space="0"/>
                <w:lang w:val="en-US"/>
                <w14:textFill>
                  <w14:solidFill>
                    <w14:schemeClr w14:val="tx1"/>
                  </w14:solidFill>
                </w14:textFill>
              </w:rPr>
            </w:pPr>
          </w:p>
        </w:tc>
        <w:tc>
          <w:tcPr>
            <w:tcW w:w="1186" w:type="dxa"/>
            <w:tcBorders>
              <w:top w:val="nil"/>
              <w:left w:val="nil"/>
              <w:bottom w:val="single" w:color="000000" w:sz="8" w:space="0"/>
              <w:right w:val="nil"/>
            </w:tcBorders>
            <w:shd w:val="clear" w:color="auto" w:fill="FFFFFF" w:themeFill="background1"/>
            <w:vAlign w:val="top"/>
          </w:tcPr>
          <w:p w14:paraId="3CCC3693">
            <w:pPr>
              <w:keepNext w:val="0"/>
              <w:keepLines w:val="0"/>
              <w:widowControl/>
              <w:suppressLineNumbers w:val="0"/>
              <w:autoSpaceDE w:val="0"/>
              <w:autoSpaceDN w:val="0"/>
              <w:adjustRightInd w:val="0"/>
              <w:spacing w:before="0" w:beforeAutospacing="1" w:after="0" w:afterAutospacing="1"/>
              <w:ind w:left="0" w:right="0"/>
              <w:jc w:val="left"/>
              <w:rPr>
                <w:rFonts w:eastAsia="Calibri"/>
                <w:color w:val="000000" w:themeColor="text1"/>
                <w:kern w:val="2"/>
                <w:sz w:val="24"/>
                <w:szCs w:val="24"/>
                <w:highlight w:val="none"/>
                <w:bdr w:val="none" w:color="auto" w:sz="0" w:space="0"/>
                <w:lang w:val="en-US"/>
                <w14:textFill>
                  <w14:solidFill>
                    <w14:schemeClr w14:val="tx1"/>
                  </w14:solidFill>
                </w14:textFill>
              </w:rPr>
            </w:pPr>
          </w:p>
        </w:tc>
        <w:tc>
          <w:tcPr>
            <w:tcW w:w="1186" w:type="dxa"/>
            <w:tcBorders>
              <w:top w:val="nil"/>
              <w:left w:val="nil"/>
              <w:bottom w:val="single" w:color="000000" w:sz="8" w:space="0"/>
              <w:right w:val="nil"/>
            </w:tcBorders>
            <w:shd w:val="clear" w:color="auto" w:fill="FFFFFF" w:themeFill="background1"/>
            <w:vAlign w:val="top"/>
          </w:tcPr>
          <w:p w14:paraId="6F0689BC">
            <w:pPr>
              <w:keepNext w:val="0"/>
              <w:keepLines w:val="0"/>
              <w:widowControl/>
              <w:suppressLineNumbers w:val="0"/>
              <w:autoSpaceDE w:val="0"/>
              <w:autoSpaceDN w:val="0"/>
              <w:adjustRightInd w:val="0"/>
              <w:spacing w:before="0" w:beforeAutospacing="1" w:after="0" w:afterAutospacing="1"/>
              <w:ind w:left="0" w:right="0"/>
              <w:jc w:val="left"/>
              <w:rPr>
                <w:rFonts w:eastAsia="Calibri"/>
                <w:color w:val="000000" w:themeColor="text1"/>
                <w:kern w:val="2"/>
                <w:sz w:val="24"/>
                <w:szCs w:val="24"/>
                <w:highlight w:val="none"/>
                <w:bdr w:val="none" w:color="auto" w:sz="0" w:space="0"/>
                <w:lang w:val="en-US"/>
                <w14:textFill>
                  <w14:solidFill>
                    <w14:schemeClr w14:val="tx1"/>
                  </w14:solidFill>
                </w14:textFill>
              </w:rPr>
            </w:pPr>
          </w:p>
        </w:tc>
        <w:tc>
          <w:tcPr>
            <w:tcW w:w="1308" w:type="dxa"/>
            <w:tcBorders>
              <w:top w:val="nil"/>
              <w:left w:val="nil"/>
              <w:bottom w:val="single" w:color="000000" w:sz="8" w:space="0"/>
              <w:right w:val="nil"/>
            </w:tcBorders>
            <w:shd w:val="clear" w:color="auto" w:fill="FFFFFF" w:themeFill="background1"/>
            <w:vAlign w:val="top"/>
          </w:tcPr>
          <w:p w14:paraId="25A9CEAE">
            <w:pPr>
              <w:keepNext w:val="0"/>
              <w:keepLines w:val="0"/>
              <w:widowControl/>
              <w:suppressLineNumbers w:val="0"/>
              <w:autoSpaceDE w:val="0"/>
              <w:autoSpaceDN w:val="0"/>
              <w:adjustRightInd w:val="0"/>
              <w:spacing w:before="0" w:beforeAutospacing="1" w:after="0" w:afterAutospacing="1"/>
              <w:ind w:left="0" w:right="0"/>
              <w:jc w:val="left"/>
              <w:rPr>
                <w:rFonts w:eastAsia="Calibri"/>
                <w:b/>
                <w:bCs/>
                <w:color w:val="000000" w:themeColor="text1"/>
                <w:kern w:val="2"/>
                <w:sz w:val="24"/>
                <w:szCs w:val="24"/>
                <w:highlight w:val="none"/>
                <w:bdr w:val="none" w:color="auto" w:sz="0" w:space="0"/>
                <w:lang w:val="en-US"/>
                <w14:textFill>
                  <w14:solidFill>
                    <w14:schemeClr w14:val="tx1"/>
                  </w14:solidFill>
                </w14:textFill>
              </w:rPr>
            </w:pPr>
          </w:p>
        </w:tc>
      </w:tr>
    </w:tbl>
    <w:p w14:paraId="55454599">
      <w:pPr>
        <w:spacing w:line="360" w:lineRule="auto"/>
        <w:jc w:val="both"/>
        <w:rPr>
          <w:sz w:val="24"/>
          <w:szCs w:val="24"/>
        </w:rPr>
      </w:pPr>
      <w:r>
        <w:rPr>
          <w:color w:val="000000"/>
          <w:sz w:val="24"/>
          <w:szCs w:val="24"/>
          <w:lang w:val="id-ID"/>
        </w:rPr>
        <w:br w:type="textWrapping"/>
      </w:r>
      <w:r>
        <w:rPr>
          <w:rFonts w:eastAsia="Calibri"/>
          <w:sz w:val="24"/>
          <w:szCs w:val="24"/>
          <w:lang w:val="id-ID"/>
        </w:rPr>
        <w:t xml:space="preserve"> </w:t>
      </w:r>
      <w:r>
        <w:rPr>
          <w:rFonts w:eastAsia="Calibri"/>
          <w:sz w:val="24"/>
          <w:szCs w:val="24"/>
          <w:lang w:val="id-ID"/>
        </w:rPr>
        <w:tab/>
      </w:r>
      <w:commentRangeStart w:id="18"/>
      <w:r>
        <w:rPr>
          <w:rFonts w:eastAsia="Calibri"/>
          <w:sz w:val="24"/>
          <w:szCs w:val="24"/>
        </w:rPr>
        <w:t>The descriptive statistical analysis of self-esteem yielded a mean score of 69.32 with a standard deviation of 7.035. The relatively high mean indicates that, on average, participants exhibit above-average self-esteem levels. Moreover, the low standard deviation suggests a strong central tendency, as the majority of self-esteem scores are closely distributed around the mean with minimal variability. These findings imply a consistent and stable self-esteem profile among the respondents, with negligible individual disparities.</w:t>
      </w:r>
      <w:commentRangeEnd w:id="18"/>
      <w:r>
        <w:rPr>
          <w:rStyle w:val="5"/>
          <w:sz w:val="24"/>
          <w:szCs w:val="24"/>
        </w:rPr>
        <w:commentReference w:id="18"/>
      </w:r>
    </w:p>
    <w:p w14:paraId="12E2F565">
      <w:pPr>
        <w:tabs>
          <w:tab w:val="left" w:pos="5440"/>
        </w:tabs>
        <w:jc w:val="both"/>
        <w:rPr>
          <w:color w:val="000000"/>
          <w:sz w:val="24"/>
          <w:szCs w:val="24"/>
          <w:lang w:val="id-ID"/>
        </w:rPr>
      </w:pPr>
      <w:r>
        <w:rPr>
          <w:color w:val="000000"/>
          <w:sz w:val="24"/>
          <w:szCs w:val="24"/>
          <w:lang w:val="id-ID"/>
        </w:rPr>
        <w:tab/>
      </w:r>
    </w:p>
    <w:p w14:paraId="1C8F5AC1">
      <w:pPr>
        <w:jc w:val="both"/>
        <w:rPr>
          <w:b/>
          <w:color w:val="000000"/>
          <w:sz w:val="24"/>
          <w:szCs w:val="24"/>
          <w:lang w:val="id-ID"/>
        </w:rPr>
      </w:pPr>
      <w:r>
        <w:rPr>
          <w:b/>
          <w:color w:val="000000"/>
          <w:sz w:val="24"/>
          <w:szCs w:val="24"/>
        </w:rPr>
        <w:t xml:space="preserve">2. </w:t>
      </w:r>
      <w:r>
        <w:rPr>
          <w:b/>
          <w:color w:val="000000"/>
          <w:sz w:val="24"/>
          <w:szCs w:val="24"/>
          <w:lang w:val="id-ID"/>
        </w:rPr>
        <w:t xml:space="preserve">Reading </w:t>
      </w:r>
      <w:r>
        <w:rPr>
          <w:b/>
          <w:color w:val="000000"/>
          <w:sz w:val="24"/>
          <w:szCs w:val="24"/>
        </w:rPr>
        <w:t>C</w:t>
      </w:r>
      <w:r>
        <w:rPr>
          <w:b/>
          <w:color w:val="000000"/>
          <w:sz w:val="24"/>
          <w:szCs w:val="24"/>
          <w:lang w:val="id-ID"/>
        </w:rPr>
        <w:t>omprehension chievement</w:t>
      </w:r>
    </w:p>
    <w:p w14:paraId="756B1CCB">
      <w:pPr>
        <w:spacing w:line="360" w:lineRule="auto"/>
        <w:jc w:val="both"/>
        <w:rPr>
          <w:color w:val="000000"/>
          <w:sz w:val="24"/>
          <w:szCs w:val="24"/>
          <w:lang w:val="id-ID"/>
        </w:rPr>
      </w:pPr>
      <w:r>
        <w:rPr>
          <w:rFonts w:eastAsiaTheme="minorHAnsi"/>
          <w:sz w:val="24"/>
          <w:szCs w:val="24"/>
        </w:rPr>
        <w:t xml:space="preserve"> </w:t>
      </w:r>
      <w:r>
        <w:rPr>
          <w:rFonts w:eastAsiaTheme="minorHAnsi"/>
          <w:sz w:val="24"/>
          <w:szCs w:val="24"/>
        </w:rPr>
        <w:tab/>
      </w:r>
      <w:commentRangeStart w:id="19"/>
      <w:r>
        <w:rPr>
          <w:rFonts w:eastAsiaTheme="minorHAnsi"/>
          <w:sz w:val="24"/>
          <w:szCs w:val="24"/>
          <w:lang w:val="id-ID"/>
        </w:rPr>
        <w:t xml:space="preserve">The analysis of the reading test </w:t>
      </w:r>
      <w:r>
        <w:rPr>
          <w:rFonts w:eastAsiaTheme="minorHAnsi"/>
          <w:sz w:val="24"/>
          <w:szCs w:val="24"/>
        </w:rPr>
        <w:t>resuls revealed a diverse distribution of profiency levels among students.</w:t>
      </w:r>
      <w:r>
        <w:rPr>
          <w:rFonts w:eastAsiaTheme="minorHAnsi"/>
          <w:sz w:val="24"/>
          <w:szCs w:val="24"/>
          <w:lang w:val="id-ID"/>
        </w:rPr>
        <w:t xml:space="preserve"> </w:t>
      </w:r>
      <w:r>
        <w:rPr>
          <w:rFonts w:eastAsiaTheme="minorHAnsi"/>
          <w:sz w:val="24"/>
          <w:szCs w:val="24"/>
        </w:rPr>
        <w:t>The ‘</w:t>
      </w:r>
      <w:r>
        <w:rPr>
          <w:rFonts w:eastAsiaTheme="minorHAnsi"/>
          <w:sz w:val="24"/>
          <w:szCs w:val="24"/>
          <w:lang w:val="id-ID"/>
        </w:rPr>
        <w:t>Very Poor</w:t>
      </w:r>
      <w:r>
        <w:rPr>
          <w:rFonts w:eastAsiaTheme="minorHAnsi"/>
          <w:sz w:val="24"/>
          <w:szCs w:val="24"/>
        </w:rPr>
        <w:t>’</w:t>
      </w:r>
      <w:r>
        <w:rPr>
          <w:rFonts w:eastAsiaTheme="minorHAnsi"/>
          <w:sz w:val="24"/>
          <w:szCs w:val="24"/>
          <w:lang w:val="id-ID"/>
        </w:rPr>
        <w:t xml:space="preserve"> </w:t>
      </w:r>
      <w:r>
        <w:rPr>
          <w:rFonts w:eastAsiaTheme="minorHAnsi"/>
          <w:sz w:val="24"/>
          <w:szCs w:val="24"/>
        </w:rPr>
        <w:t>category accounted for the highest proportion of students, whereas the ‘Very Good’</w:t>
      </w:r>
      <w:r>
        <w:rPr>
          <w:rFonts w:eastAsiaTheme="minorHAnsi"/>
          <w:sz w:val="24"/>
          <w:szCs w:val="24"/>
          <w:lang w:val="id-ID"/>
        </w:rPr>
        <w:t xml:space="preserve"> category</w:t>
      </w:r>
      <w:r>
        <w:rPr>
          <w:rFonts w:eastAsiaTheme="minorHAnsi"/>
          <w:sz w:val="24"/>
          <w:szCs w:val="24"/>
        </w:rPr>
        <w:t xml:space="preserve"> represented the lowest</w:t>
      </w:r>
      <w:r>
        <w:rPr>
          <w:rFonts w:eastAsiaTheme="minorHAnsi"/>
          <w:sz w:val="24"/>
          <w:szCs w:val="24"/>
          <w:lang w:val="id-ID"/>
        </w:rPr>
        <w:t>.</w:t>
      </w:r>
      <w:commentRangeEnd w:id="19"/>
      <w:r>
        <w:rPr>
          <w:rStyle w:val="5"/>
        </w:rPr>
        <w:commentReference w:id="19"/>
      </w:r>
    </w:p>
    <w:p w14:paraId="1FCE8962">
      <w:pPr>
        <w:jc w:val="both"/>
        <w:rPr>
          <w:color w:val="000000"/>
          <w:sz w:val="24"/>
          <w:szCs w:val="24"/>
          <w:lang w:val="id-ID"/>
        </w:rPr>
      </w:pPr>
    </w:p>
    <w:p w14:paraId="1FF9E2A5">
      <w:pPr>
        <w:jc w:val="both"/>
        <w:rPr>
          <w:color w:val="000000"/>
          <w:sz w:val="24"/>
          <w:szCs w:val="24"/>
          <w:lang w:val="id-ID"/>
        </w:rPr>
      </w:pPr>
    </w:p>
    <w:p w14:paraId="35846F54">
      <w:pPr>
        <w:jc w:val="both"/>
        <w:rPr>
          <w:color w:val="000000"/>
          <w:sz w:val="24"/>
          <w:szCs w:val="24"/>
          <w:lang w:val="id-ID"/>
        </w:rPr>
      </w:pPr>
    </w:p>
    <w:p w14:paraId="449467C6">
      <w:pPr>
        <w:jc w:val="both"/>
        <w:rPr>
          <w:color w:val="000000"/>
          <w:sz w:val="24"/>
          <w:szCs w:val="24"/>
          <w:lang w:val="id-ID"/>
        </w:rPr>
      </w:pPr>
    </w:p>
    <w:p w14:paraId="0ECA5788">
      <w:pPr>
        <w:jc w:val="both"/>
        <w:rPr>
          <w:color w:val="000000"/>
          <w:sz w:val="24"/>
          <w:szCs w:val="24"/>
          <w:lang w:val="id-ID"/>
        </w:rPr>
      </w:pPr>
    </w:p>
    <w:p w14:paraId="1400EE91">
      <w:pPr>
        <w:jc w:val="both"/>
        <w:rPr>
          <w:color w:val="000000"/>
          <w:sz w:val="24"/>
          <w:szCs w:val="24"/>
          <w:lang w:val="id-ID"/>
        </w:rPr>
      </w:pPr>
    </w:p>
    <w:p w14:paraId="61808A37">
      <w:pPr>
        <w:rPr>
          <w:color w:val="000000"/>
          <w:sz w:val="24"/>
          <w:szCs w:val="24"/>
          <w:lang w:val="id-ID"/>
        </w:rPr>
      </w:pPr>
      <w:r>
        <w:rPr>
          <w:i/>
          <w:color w:val="000000"/>
          <w:sz w:val="24"/>
          <w:szCs w:val="24"/>
          <w:lang w:val="id-ID"/>
        </w:rPr>
        <w:t>Table 3</w:t>
      </w:r>
      <w:r>
        <w:rPr>
          <w:color w:val="000000"/>
          <w:sz w:val="24"/>
          <w:szCs w:val="24"/>
          <w:lang w:val="id-ID"/>
        </w:rPr>
        <w:t>. Distribution of Reading Comprehension Achievement</w:t>
      </w:r>
    </w:p>
    <w:p w14:paraId="10602609">
      <w:pPr>
        <w:jc w:val="both"/>
        <w:rPr>
          <w:color w:val="000000"/>
          <w:sz w:val="24"/>
          <w:szCs w:val="24"/>
          <w:lang w:val="id-ID"/>
        </w:rPr>
      </w:pPr>
    </w:p>
    <w:tbl>
      <w:tblPr>
        <w:tblStyle w:val="13"/>
        <w:tblStyleRowBandSize w:val="1"/>
        <w:tblStyleColBandSize w:val="1"/>
        <w:tblW w:w="0" w:type="auto"/>
        <w:tblInd w:w="0" w:type="dxa"/>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2717"/>
        <w:gridCol w:w="2718"/>
        <w:gridCol w:w="2718"/>
      </w:tblGrid>
      <w:tr w14:paraId="4B3B40EE">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tblPrEx>
        <w:tc>
          <w:tcPr>
            <w:tcW w:w="2717" w:type="dxa"/>
            <w:tcBorders>
              <w:top w:val="single" w:color="000000" w:sz="8" w:space="0"/>
              <w:left w:val="nil"/>
              <w:bottom w:val="single" w:color="000000" w:sz="8" w:space="0"/>
              <w:right w:val="nil"/>
            </w:tcBorders>
            <w:shd w:val="clear"/>
            <w:vAlign w:val="top"/>
          </w:tcPr>
          <w:p w14:paraId="19490083">
            <w:pPr>
              <w:keepNext w:val="0"/>
              <w:keepLines w:val="0"/>
              <w:widowControl w:val="0"/>
              <w:suppressLineNumbers w:val="0"/>
              <w:autoSpaceDE w:val="0"/>
              <w:autoSpaceDN w:val="0"/>
              <w:adjustRightInd w:val="0"/>
              <w:spacing w:before="0" w:beforeAutospacing="0" w:after="0" w:afterAutospacing="0"/>
              <w:ind w:left="0" w:right="0"/>
              <w:jc w:val="center"/>
              <w:rPr>
                <w:rFonts w:eastAsia="SimSun"/>
                <w:bCs/>
                <w:color w:val="000000"/>
                <w:kern w:val="2"/>
                <w:sz w:val="24"/>
                <w:szCs w:val="24"/>
                <w:bdr w:val="none" w:color="auto" w:sz="0" w:space="0"/>
                <w:lang w:val="id-ID" w:eastAsia="id-ID"/>
              </w:rPr>
            </w:pPr>
            <w:r>
              <w:rPr>
                <w:rFonts w:hint="default" w:ascii="Times New Roman" w:hAnsi="Times New Roman" w:eastAsia="SimSun" w:cs="Times New Roman"/>
                <w:b/>
                <w:bCs/>
                <w:color w:val="000000"/>
                <w:kern w:val="2"/>
                <w:sz w:val="24"/>
                <w:szCs w:val="24"/>
                <w:bdr w:val="none" w:color="auto" w:sz="0" w:space="0"/>
                <w:lang w:val="id-ID" w:eastAsia="id-ID" w:bidi="ar"/>
              </w:rPr>
              <w:t>Categories</w:t>
            </w:r>
          </w:p>
        </w:tc>
        <w:tc>
          <w:tcPr>
            <w:tcW w:w="2718" w:type="dxa"/>
            <w:tcBorders>
              <w:top w:val="single" w:color="000000" w:sz="8" w:space="0"/>
              <w:left w:val="nil"/>
              <w:bottom w:val="single" w:color="000000" w:sz="8" w:space="0"/>
              <w:right w:val="nil"/>
            </w:tcBorders>
            <w:shd w:val="clear"/>
            <w:vAlign w:val="top"/>
          </w:tcPr>
          <w:p w14:paraId="756B62F2">
            <w:pPr>
              <w:keepNext w:val="0"/>
              <w:keepLines w:val="0"/>
              <w:widowControl w:val="0"/>
              <w:suppressLineNumbers w:val="0"/>
              <w:autoSpaceDE w:val="0"/>
              <w:autoSpaceDN w:val="0"/>
              <w:adjustRightInd w:val="0"/>
              <w:spacing w:before="0" w:beforeAutospacing="0" w:after="0" w:afterAutospacing="0"/>
              <w:ind w:left="0" w:right="0"/>
              <w:jc w:val="center"/>
              <w:rPr>
                <w:rFonts w:eastAsia="SimSun"/>
                <w:bCs/>
                <w:color w:val="000000"/>
                <w:kern w:val="2"/>
                <w:sz w:val="24"/>
                <w:szCs w:val="24"/>
                <w:bdr w:val="none" w:color="auto" w:sz="0" w:space="0"/>
                <w:lang w:val="id-ID" w:eastAsia="id-ID"/>
              </w:rPr>
            </w:pPr>
            <w:r>
              <w:rPr>
                <w:rFonts w:hint="default" w:ascii="Times New Roman" w:hAnsi="Times New Roman" w:eastAsia="SimSun" w:cs="Times New Roman"/>
                <w:b/>
                <w:bCs/>
                <w:color w:val="000000"/>
                <w:kern w:val="2"/>
                <w:sz w:val="24"/>
                <w:szCs w:val="24"/>
                <w:bdr w:val="none" w:color="auto" w:sz="0" w:space="0"/>
                <w:lang w:val="id-ID" w:eastAsia="id-ID" w:bidi="ar"/>
              </w:rPr>
              <w:t>Frequency</w:t>
            </w:r>
          </w:p>
        </w:tc>
        <w:tc>
          <w:tcPr>
            <w:tcW w:w="2718" w:type="dxa"/>
            <w:tcBorders>
              <w:top w:val="single" w:color="000000" w:sz="8" w:space="0"/>
              <w:left w:val="nil"/>
              <w:bottom w:val="single" w:color="000000" w:sz="8" w:space="0"/>
              <w:right w:val="nil"/>
            </w:tcBorders>
            <w:shd w:val="clear"/>
            <w:vAlign w:val="top"/>
          </w:tcPr>
          <w:p w14:paraId="44E0F79A">
            <w:pPr>
              <w:keepNext w:val="0"/>
              <w:keepLines w:val="0"/>
              <w:widowControl w:val="0"/>
              <w:suppressLineNumbers w:val="0"/>
              <w:autoSpaceDE w:val="0"/>
              <w:autoSpaceDN w:val="0"/>
              <w:adjustRightInd w:val="0"/>
              <w:spacing w:before="0" w:beforeAutospacing="0" w:after="0" w:afterAutospacing="0"/>
              <w:ind w:left="0" w:right="0"/>
              <w:jc w:val="center"/>
              <w:rPr>
                <w:rFonts w:eastAsia="SimSun"/>
                <w:bCs/>
                <w:color w:val="000000"/>
                <w:kern w:val="2"/>
                <w:sz w:val="24"/>
                <w:szCs w:val="24"/>
                <w:bdr w:val="none" w:color="auto" w:sz="0" w:space="0"/>
                <w:lang w:val="id-ID" w:eastAsia="id-ID"/>
              </w:rPr>
            </w:pPr>
            <w:r>
              <w:rPr>
                <w:rFonts w:hint="default" w:ascii="Times New Roman" w:hAnsi="Times New Roman" w:eastAsia="SimSun" w:cs="Times New Roman"/>
                <w:b/>
                <w:bCs/>
                <w:color w:val="000000"/>
                <w:kern w:val="2"/>
                <w:sz w:val="24"/>
                <w:szCs w:val="24"/>
                <w:bdr w:val="none" w:color="auto" w:sz="0" w:space="0"/>
                <w:lang w:val="id-ID" w:eastAsia="id-ID" w:bidi="ar"/>
              </w:rPr>
              <w:t>Percentage</w:t>
            </w:r>
          </w:p>
        </w:tc>
      </w:tr>
      <w:tr w14:paraId="0340B874">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2717" w:type="dxa"/>
            <w:tcBorders>
              <w:top w:val="nil"/>
              <w:left w:val="nil"/>
              <w:bottom w:val="nil"/>
              <w:right w:val="nil"/>
            </w:tcBorders>
            <w:shd w:val="clear"/>
            <w:vAlign w:val="top"/>
          </w:tcPr>
          <w:p w14:paraId="154F9DA5">
            <w:pPr>
              <w:keepNext w:val="0"/>
              <w:keepLines w:val="0"/>
              <w:widowControl w:val="0"/>
              <w:suppressLineNumbers w:val="0"/>
              <w:autoSpaceDE w:val="0"/>
              <w:autoSpaceDN w:val="0"/>
              <w:adjustRightInd w:val="0"/>
              <w:spacing w:before="0" w:beforeAutospacing="0" w:after="0" w:afterAutospacing="0"/>
              <w:ind w:left="0" w:right="0"/>
              <w:jc w:val="left"/>
              <w:rPr>
                <w:rFonts w:eastAsia="SimSun"/>
                <w:color w:val="000000"/>
                <w:kern w:val="2"/>
                <w:sz w:val="24"/>
                <w:szCs w:val="24"/>
                <w:bdr w:val="none" w:color="auto" w:sz="0" w:space="0"/>
                <w:lang w:val="id-ID" w:eastAsia="id-ID"/>
              </w:rPr>
            </w:pPr>
            <w:r>
              <w:rPr>
                <w:rFonts w:hint="default" w:ascii="Times New Roman" w:hAnsi="Times New Roman" w:eastAsia="SimSun" w:cs="Times New Roman"/>
                <w:color w:val="000000"/>
                <w:kern w:val="2"/>
                <w:sz w:val="24"/>
                <w:szCs w:val="24"/>
                <w:bdr w:val="none" w:color="auto" w:sz="0" w:space="0"/>
                <w:lang w:val="id-ID" w:eastAsia="id-ID" w:bidi="ar"/>
              </w:rPr>
              <w:t>Very Good</w:t>
            </w:r>
          </w:p>
        </w:tc>
        <w:tc>
          <w:tcPr>
            <w:tcW w:w="2718" w:type="dxa"/>
            <w:tcBorders>
              <w:top w:val="nil"/>
              <w:left w:val="nil"/>
              <w:bottom w:val="nil"/>
              <w:right w:val="nil"/>
            </w:tcBorders>
            <w:shd w:val="clear"/>
            <w:vAlign w:val="top"/>
          </w:tcPr>
          <w:p w14:paraId="14FF12C3">
            <w:pPr>
              <w:keepNext w:val="0"/>
              <w:keepLines w:val="0"/>
              <w:widowControl w:val="0"/>
              <w:suppressLineNumbers w:val="0"/>
              <w:autoSpaceDE w:val="0"/>
              <w:autoSpaceDN w:val="0"/>
              <w:adjustRightInd w:val="0"/>
              <w:spacing w:before="0" w:beforeAutospacing="0" w:after="0" w:afterAutospacing="0"/>
              <w:ind w:left="0" w:right="0"/>
              <w:jc w:val="center"/>
              <w:rPr>
                <w:rFonts w:eastAsia="SimSun"/>
                <w:color w:val="000000"/>
                <w:kern w:val="2"/>
                <w:sz w:val="24"/>
                <w:szCs w:val="24"/>
                <w:bdr w:val="none" w:color="auto" w:sz="0" w:space="0"/>
                <w:lang w:val="id-ID" w:eastAsia="id-ID"/>
              </w:rPr>
            </w:pPr>
            <w:r>
              <w:rPr>
                <w:rFonts w:hint="default" w:ascii="Times New Roman" w:hAnsi="Times New Roman" w:eastAsia="SimSun" w:cs="Times New Roman"/>
                <w:color w:val="000000"/>
                <w:kern w:val="2"/>
                <w:sz w:val="24"/>
                <w:szCs w:val="24"/>
                <w:bdr w:val="none" w:color="auto" w:sz="0" w:space="0"/>
                <w:lang w:val="id-ID" w:eastAsia="id-ID" w:bidi="ar"/>
              </w:rPr>
              <w:t>3</w:t>
            </w:r>
          </w:p>
        </w:tc>
        <w:tc>
          <w:tcPr>
            <w:tcW w:w="2718" w:type="dxa"/>
            <w:tcBorders>
              <w:top w:val="nil"/>
              <w:left w:val="nil"/>
              <w:bottom w:val="nil"/>
              <w:right w:val="nil"/>
            </w:tcBorders>
            <w:shd w:val="clear"/>
            <w:vAlign w:val="top"/>
          </w:tcPr>
          <w:p w14:paraId="4456EF84">
            <w:pPr>
              <w:keepNext w:val="0"/>
              <w:keepLines w:val="0"/>
              <w:widowControl w:val="0"/>
              <w:suppressLineNumbers w:val="0"/>
              <w:autoSpaceDE w:val="0"/>
              <w:autoSpaceDN w:val="0"/>
              <w:adjustRightInd w:val="0"/>
              <w:spacing w:before="0" w:beforeAutospacing="0" w:after="0" w:afterAutospacing="0"/>
              <w:ind w:left="0" w:right="0"/>
              <w:jc w:val="center"/>
              <w:rPr>
                <w:rFonts w:eastAsia="SimSun"/>
                <w:b w:val="0"/>
                <w:bCs w:val="0"/>
                <w:color w:val="000000"/>
                <w:kern w:val="2"/>
                <w:sz w:val="24"/>
                <w:szCs w:val="24"/>
                <w:bdr w:val="none" w:color="auto" w:sz="0" w:space="0"/>
                <w:lang w:val="id-ID" w:eastAsia="id-ID"/>
              </w:rPr>
            </w:pPr>
            <w:r>
              <w:rPr>
                <w:rFonts w:hint="default" w:ascii="Times New Roman" w:hAnsi="Times New Roman" w:eastAsia="SimSun" w:cs="Times New Roman"/>
                <w:b w:val="0"/>
                <w:bCs w:val="0"/>
                <w:color w:val="000000"/>
                <w:kern w:val="2"/>
                <w:sz w:val="24"/>
                <w:szCs w:val="24"/>
                <w:bdr w:val="none" w:color="auto" w:sz="0" w:space="0"/>
                <w:lang w:val="id-ID" w:eastAsia="id-ID" w:bidi="ar"/>
              </w:rPr>
              <w:t>2,6%</w:t>
            </w:r>
          </w:p>
        </w:tc>
      </w:tr>
      <w:tr w14:paraId="1B439370">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2717" w:type="dxa"/>
            <w:tcBorders>
              <w:top w:val="nil"/>
              <w:left w:val="nil"/>
              <w:bottom w:val="nil"/>
              <w:right w:val="nil"/>
            </w:tcBorders>
            <w:shd w:val="clear"/>
            <w:vAlign w:val="top"/>
          </w:tcPr>
          <w:p w14:paraId="54D13DEF">
            <w:pPr>
              <w:keepNext w:val="0"/>
              <w:keepLines w:val="0"/>
              <w:widowControl w:val="0"/>
              <w:suppressLineNumbers w:val="0"/>
              <w:autoSpaceDE w:val="0"/>
              <w:autoSpaceDN w:val="0"/>
              <w:adjustRightInd w:val="0"/>
              <w:spacing w:before="0" w:beforeAutospacing="0" w:after="0" w:afterAutospacing="0"/>
              <w:ind w:left="0" w:right="0"/>
              <w:jc w:val="left"/>
              <w:rPr>
                <w:rFonts w:eastAsia="SimSun"/>
                <w:color w:val="000000"/>
                <w:kern w:val="2"/>
                <w:sz w:val="24"/>
                <w:szCs w:val="24"/>
                <w:bdr w:val="none" w:color="auto" w:sz="0" w:space="0"/>
                <w:lang w:val="id-ID" w:eastAsia="id-ID"/>
              </w:rPr>
            </w:pPr>
            <w:r>
              <w:rPr>
                <w:rFonts w:hint="default" w:ascii="Times New Roman" w:hAnsi="Times New Roman" w:eastAsia="SimSun" w:cs="Times New Roman"/>
                <w:color w:val="000000"/>
                <w:kern w:val="2"/>
                <w:sz w:val="24"/>
                <w:szCs w:val="24"/>
                <w:bdr w:val="none" w:color="auto" w:sz="0" w:space="0"/>
                <w:lang w:val="id-ID" w:eastAsia="id-ID" w:bidi="ar"/>
              </w:rPr>
              <w:t>Good</w:t>
            </w:r>
          </w:p>
        </w:tc>
        <w:tc>
          <w:tcPr>
            <w:tcW w:w="2718" w:type="dxa"/>
            <w:tcBorders>
              <w:top w:val="nil"/>
              <w:left w:val="nil"/>
              <w:bottom w:val="nil"/>
              <w:right w:val="nil"/>
            </w:tcBorders>
            <w:shd w:val="clear"/>
            <w:vAlign w:val="top"/>
          </w:tcPr>
          <w:p w14:paraId="1D33796C">
            <w:pPr>
              <w:keepNext w:val="0"/>
              <w:keepLines w:val="0"/>
              <w:widowControl w:val="0"/>
              <w:suppressLineNumbers w:val="0"/>
              <w:autoSpaceDE w:val="0"/>
              <w:autoSpaceDN w:val="0"/>
              <w:adjustRightInd w:val="0"/>
              <w:spacing w:before="0" w:beforeAutospacing="0" w:after="0" w:afterAutospacing="0"/>
              <w:ind w:left="0" w:right="0"/>
              <w:jc w:val="center"/>
              <w:rPr>
                <w:rFonts w:eastAsia="SimSun"/>
                <w:color w:val="000000"/>
                <w:kern w:val="2"/>
                <w:sz w:val="24"/>
                <w:szCs w:val="24"/>
                <w:bdr w:val="none" w:color="auto" w:sz="0" w:space="0"/>
                <w:lang w:val="id-ID" w:eastAsia="id-ID"/>
              </w:rPr>
            </w:pPr>
            <w:r>
              <w:rPr>
                <w:rFonts w:hint="default" w:ascii="Times New Roman" w:hAnsi="Times New Roman" w:eastAsia="SimSun" w:cs="Times New Roman"/>
                <w:color w:val="000000"/>
                <w:kern w:val="2"/>
                <w:sz w:val="24"/>
                <w:szCs w:val="24"/>
                <w:bdr w:val="none" w:color="auto" w:sz="0" w:space="0"/>
                <w:lang w:val="id-ID" w:eastAsia="id-ID" w:bidi="ar"/>
              </w:rPr>
              <w:t>8</w:t>
            </w:r>
          </w:p>
        </w:tc>
        <w:tc>
          <w:tcPr>
            <w:tcW w:w="2718" w:type="dxa"/>
            <w:tcBorders>
              <w:top w:val="nil"/>
              <w:left w:val="nil"/>
              <w:bottom w:val="nil"/>
              <w:right w:val="nil"/>
            </w:tcBorders>
            <w:shd w:val="clear"/>
            <w:vAlign w:val="top"/>
          </w:tcPr>
          <w:p w14:paraId="71888DC4">
            <w:pPr>
              <w:keepNext w:val="0"/>
              <w:keepLines w:val="0"/>
              <w:widowControl w:val="0"/>
              <w:suppressLineNumbers w:val="0"/>
              <w:autoSpaceDE w:val="0"/>
              <w:autoSpaceDN w:val="0"/>
              <w:adjustRightInd w:val="0"/>
              <w:spacing w:before="0" w:beforeAutospacing="0" w:after="0" w:afterAutospacing="0"/>
              <w:ind w:left="0" w:right="0"/>
              <w:jc w:val="center"/>
              <w:rPr>
                <w:rFonts w:eastAsia="SimSun"/>
                <w:b w:val="0"/>
                <w:bCs w:val="0"/>
                <w:color w:val="000000"/>
                <w:kern w:val="2"/>
                <w:sz w:val="24"/>
                <w:szCs w:val="24"/>
                <w:bdr w:val="none" w:color="auto" w:sz="0" w:space="0"/>
                <w:lang w:val="id-ID" w:eastAsia="id-ID"/>
              </w:rPr>
            </w:pPr>
            <w:r>
              <w:rPr>
                <w:rFonts w:hint="default" w:ascii="Times New Roman" w:hAnsi="Times New Roman" w:eastAsia="SimSun" w:cs="Times New Roman"/>
                <w:b w:val="0"/>
                <w:bCs w:val="0"/>
                <w:color w:val="000000"/>
                <w:kern w:val="2"/>
                <w:sz w:val="24"/>
                <w:szCs w:val="24"/>
                <w:bdr w:val="none" w:color="auto" w:sz="0" w:space="0"/>
                <w:lang w:val="id-ID" w:eastAsia="id-ID" w:bidi="ar"/>
              </w:rPr>
              <w:t>6,9%</w:t>
            </w:r>
          </w:p>
        </w:tc>
      </w:tr>
      <w:tr w14:paraId="629771F3">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2717" w:type="dxa"/>
            <w:tcBorders>
              <w:top w:val="nil"/>
              <w:left w:val="nil"/>
              <w:bottom w:val="nil"/>
              <w:right w:val="nil"/>
            </w:tcBorders>
            <w:shd w:val="clear"/>
            <w:vAlign w:val="top"/>
          </w:tcPr>
          <w:p w14:paraId="17F47F40">
            <w:pPr>
              <w:keepNext w:val="0"/>
              <w:keepLines w:val="0"/>
              <w:widowControl w:val="0"/>
              <w:suppressLineNumbers w:val="0"/>
              <w:autoSpaceDE w:val="0"/>
              <w:autoSpaceDN w:val="0"/>
              <w:adjustRightInd w:val="0"/>
              <w:spacing w:before="0" w:beforeAutospacing="0" w:after="0" w:afterAutospacing="0"/>
              <w:ind w:left="0" w:right="0"/>
              <w:jc w:val="left"/>
              <w:rPr>
                <w:rFonts w:eastAsia="SimSun"/>
                <w:color w:val="000000"/>
                <w:kern w:val="2"/>
                <w:sz w:val="24"/>
                <w:szCs w:val="24"/>
                <w:bdr w:val="none" w:color="auto" w:sz="0" w:space="0"/>
                <w:lang w:val="id-ID" w:eastAsia="id-ID"/>
              </w:rPr>
            </w:pPr>
            <w:r>
              <w:rPr>
                <w:rFonts w:hint="default" w:ascii="Times New Roman" w:hAnsi="Times New Roman" w:eastAsia="SimSun" w:cs="Times New Roman"/>
                <w:color w:val="000000"/>
                <w:kern w:val="2"/>
                <w:sz w:val="24"/>
                <w:szCs w:val="24"/>
                <w:bdr w:val="none" w:color="auto" w:sz="0" w:space="0"/>
                <w:lang w:val="id-ID" w:eastAsia="id-ID" w:bidi="ar"/>
              </w:rPr>
              <w:t>Average</w:t>
            </w:r>
          </w:p>
        </w:tc>
        <w:tc>
          <w:tcPr>
            <w:tcW w:w="2718" w:type="dxa"/>
            <w:tcBorders>
              <w:top w:val="nil"/>
              <w:left w:val="nil"/>
              <w:bottom w:val="nil"/>
              <w:right w:val="nil"/>
            </w:tcBorders>
            <w:shd w:val="clear"/>
            <w:vAlign w:val="top"/>
          </w:tcPr>
          <w:p w14:paraId="4C012FF6">
            <w:pPr>
              <w:keepNext w:val="0"/>
              <w:keepLines w:val="0"/>
              <w:widowControl w:val="0"/>
              <w:suppressLineNumbers w:val="0"/>
              <w:autoSpaceDE w:val="0"/>
              <w:autoSpaceDN w:val="0"/>
              <w:adjustRightInd w:val="0"/>
              <w:spacing w:before="0" w:beforeAutospacing="0" w:after="0" w:afterAutospacing="0"/>
              <w:ind w:left="0" w:right="0"/>
              <w:jc w:val="center"/>
              <w:rPr>
                <w:rFonts w:eastAsia="SimSun"/>
                <w:color w:val="000000"/>
                <w:kern w:val="2"/>
                <w:sz w:val="24"/>
                <w:szCs w:val="24"/>
                <w:bdr w:val="none" w:color="auto" w:sz="0" w:space="0"/>
                <w:lang w:val="id-ID" w:eastAsia="id-ID"/>
              </w:rPr>
            </w:pPr>
            <w:r>
              <w:rPr>
                <w:rFonts w:hint="default" w:ascii="Times New Roman" w:hAnsi="Times New Roman" w:eastAsia="SimSun" w:cs="Times New Roman"/>
                <w:color w:val="000000"/>
                <w:kern w:val="2"/>
                <w:sz w:val="24"/>
                <w:szCs w:val="24"/>
                <w:bdr w:val="none" w:color="auto" w:sz="0" w:space="0"/>
                <w:lang w:val="id-ID" w:eastAsia="id-ID" w:bidi="ar"/>
              </w:rPr>
              <w:t>8</w:t>
            </w:r>
          </w:p>
        </w:tc>
        <w:tc>
          <w:tcPr>
            <w:tcW w:w="2718" w:type="dxa"/>
            <w:tcBorders>
              <w:top w:val="nil"/>
              <w:left w:val="nil"/>
              <w:bottom w:val="nil"/>
              <w:right w:val="nil"/>
            </w:tcBorders>
            <w:shd w:val="clear"/>
            <w:vAlign w:val="top"/>
          </w:tcPr>
          <w:p w14:paraId="5C5B3333">
            <w:pPr>
              <w:keepNext w:val="0"/>
              <w:keepLines w:val="0"/>
              <w:widowControl w:val="0"/>
              <w:suppressLineNumbers w:val="0"/>
              <w:autoSpaceDE w:val="0"/>
              <w:autoSpaceDN w:val="0"/>
              <w:adjustRightInd w:val="0"/>
              <w:spacing w:before="0" w:beforeAutospacing="0" w:after="0" w:afterAutospacing="0"/>
              <w:ind w:left="0" w:right="0"/>
              <w:jc w:val="center"/>
              <w:rPr>
                <w:rFonts w:eastAsia="SimSun"/>
                <w:b w:val="0"/>
                <w:bCs w:val="0"/>
                <w:color w:val="000000"/>
                <w:kern w:val="2"/>
                <w:sz w:val="24"/>
                <w:szCs w:val="24"/>
                <w:bdr w:val="none" w:color="auto" w:sz="0" w:space="0"/>
                <w:lang w:val="id-ID" w:eastAsia="id-ID"/>
              </w:rPr>
            </w:pPr>
            <w:r>
              <w:rPr>
                <w:rFonts w:hint="default" w:ascii="Times New Roman" w:hAnsi="Times New Roman" w:eastAsia="SimSun" w:cs="Times New Roman"/>
                <w:b w:val="0"/>
                <w:bCs w:val="0"/>
                <w:color w:val="000000"/>
                <w:kern w:val="2"/>
                <w:sz w:val="24"/>
                <w:szCs w:val="24"/>
                <w:bdr w:val="none" w:color="auto" w:sz="0" w:space="0"/>
                <w:lang w:val="id-ID" w:eastAsia="id-ID" w:bidi="ar"/>
              </w:rPr>
              <w:t>6,9%</w:t>
            </w:r>
          </w:p>
        </w:tc>
      </w:tr>
      <w:tr w14:paraId="36A34205">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2717" w:type="dxa"/>
            <w:tcBorders>
              <w:top w:val="nil"/>
              <w:left w:val="nil"/>
              <w:bottom w:val="nil"/>
              <w:right w:val="nil"/>
            </w:tcBorders>
            <w:shd w:val="clear"/>
            <w:vAlign w:val="top"/>
          </w:tcPr>
          <w:p w14:paraId="1000D5B1">
            <w:pPr>
              <w:keepNext w:val="0"/>
              <w:keepLines w:val="0"/>
              <w:widowControl w:val="0"/>
              <w:suppressLineNumbers w:val="0"/>
              <w:autoSpaceDE w:val="0"/>
              <w:autoSpaceDN w:val="0"/>
              <w:adjustRightInd w:val="0"/>
              <w:spacing w:before="0" w:beforeAutospacing="0" w:after="0" w:afterAutospacing="0"/>
              <w:ind w:left="0" w:right="0"/>
              <w:jc w:val="left"/>
              <w:rPr>
                <w:rFonts w:eastAsia="SimSun"/>
                <w:color w:val="000000"/>
                <w:kern w:val="2"/>
                <w:sz w:val="24"/>
                <w:szCs w:val="24"/>
                <w:bdr w:val="none" w:color="auto" w:sz="0" w:space="0"/>
                <w:lang w:val="id-ID" w:eastAsia="id-ID"/>
              </w:rPr>
            </w:pPr>
            <w:r>
              <w:rPr>
                <w:rFonts w:hint="default" w:ascii="Times New Roman" w:hAnsi="Times New Roman" w:eastAsia="SimSun" w:cs="Times New Roman"/>
                <w:color w:val="000000"/>
                <w:kern w:val="2"/>
                <w:sz w:val="24"/>
                <w:szCs w:val="24"/>
                <w:bdr w:val="none" w:color="auto" w:sz="0" w:space="0"/>
                <w:lang w:val="id-ID" w:eastAsia="id-ID" w:bidi="ar"/>
              </w:rPr>
              <w:t>Poor</w:t>
            </w:r>
          </w:p>
        </w:tc>
        <w:tc>
          <w:tcPr>
            <w:tcW w:w="2718" w:type="dxa"/>
            <w:tcBorders>
              <w:top w:val="nil"/>
              <w:left w:val="nil"/>
              <w:bottom w:val="nil"/>
              <w:right w:val="nil"/>
            </w:tcBorders>
            <w:shd w:val="clear"/>
            <w:vAlign w:val="top"/>
          </w:tcPr>
          <w:p w14:paraId="1BEA628A">
            <w:pPr>
              <w:keepNext w:val="0"/>
              <w:keepLines w:val="0"/>
              <w:widowControl w:val="0"/>
              <w:suppressLineNumbers w:val="0"/>
              <w:autoSpaceDE w:val="0"/>
              <w:autoSpaceDN w:val="0"/>
              <w:adjustRightInd w:val="0"/>
              <w:spacing w:before="0" w:beforeAutospacing="0" w:after="0" w:afterAutospacing="0"/>
              <w:ind w:left="0" w:right="0"/>
              <w:jc w:val="center"/>
              <w:rPr>
                <w:rFonts w:eastAsia="SimSun"/>
                <w:color w:val="000000"/>
                <w:kern w:val="2"/>
                <w:sz w:val="24"/>
                <w:szCs w:val="24"/>
                <w:bdr w:val="none" w:color="auto" w:sz="0" w:space="0"/>
                <w:lang w:val="id-ID" w:eastAsia="id-ID"/>
              </w:rPr>
            </w:pPr>
            <w:r>
              <w:rPr>
                <w:rFonts w:hint="default" w:ascii="Times New Roman" w:hAnsi="Times New Roman" w:eastAsia="SimSun" w:cs="Times New Roman"/>
                <w:color w:val="000000"/>
                <w:kern w:val="2"/>
                <w:sz w:val="24"/>
                <w:szCs w:val="24"/>
                <w:bdr w:val="none" w:color="auto" w:sz="0" w:space="0"/>
                <w:lang w:val="id-ID" w:eastAsia="id-ID" w:bidi="ar"/>
              </w:rPr>
              <w:t>29</w:t>
            </w:r>
          </w:p>
        </w:tc>
        <w:tc>
          <w:tcPr>
            <w:tcW w:w="2718" w:type="dxa"/>
            <w:tcBorders>
              <w:top w:val="nil"/>
              <w:left w:val="nil"/>
              <w:bottom w:val="nil"/>
              <w:right w:val="nil"/>
            </w:tcBorders>
            <w:shd w:val="clear"/>
            <w:vAlign w:val="top"/>
          </w:tcPr>
          <w:p w14:paraId="65B938A5">
            <w:pPr>
              <w:keepNext w:val="0"/>
              <w:keepLines w:val="0"/>
              <w:widowControl w:val="0"/>
              <w:suppressLineNumbers w:val="0"/>
              <w:autoSpaceDE w:val="0"/>
              <w:autoSpaceDN w:val="0"/>
              <w:adjustRightInd w:val="0"/>
              <w:spacing w:before="0" w:beforeAutospacing="0" w:after="0" w:afterAutospacing="0"/>
              <w:ind w:left="0" w:right="0"/>
              <w:jc w:val="center"/>
              <w:rPr>
                <w:rFonts w:eastAsia="SimSun"/>
                <w:b w:val="0"/>
                <w:bCs w:val="0"/>
                <w:color w:val="000000"/>
                <w:kern w:val="2"/>
                <w:sz w:val="24"/>
                <w:szCs w:val="24"/>
                <w:bdr w:val="none" w:color="auto" w:sz="0" w:space="0"/>
                <w:lang w:val="id-ID" w:eastAsia="id-ID"/>
              </w:rPr>
            </w:pPr>
            <w:r>
              <w:rPr>
                <w:rFonts w:hint="default" w:ascii="Times New Roman" w:hAnsi="Times New Roman" w:eastAsia="SimSun" w:cs="Times New Roman"/>
                <w:b w:val="0"/>
                <w:bCs w:val="0"/>
                <w:color w:val="000000"/>
                <w:kern w:val="2"/>
                <w:sz w:val="24"/>
                <w:szCs w:val="24"/>
                <w:bdr w:val="none" w:color="auto" w:sz="0" w:space="0"/>
                <w:lang w:val="id-ID" w:eastAsia="id-ID" w:bidi="ar"/>
              </w:rPr>
              <w:t>25,0%</w:t>
            </w:r>
          </w:p>
        </w:tc>
      </w:tr>
      <w:tr w14:paraId="29E81BC2">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2717" w:type="dxa"/>
            <w:tcBorders>
              <w:top w:val="nil"/>
              <w:left w:val="nil"/>
              <w:bottom w:val="nil"/>
              <w:right w:val="nil"/>
            </w:tcBorders>
            <w:shd w:val="clear"/>
            <w:vAlign w:val="top"/>
          </w:tcPr>
          <w:p w14:paraId="495AEE81">
            <w:pPr>
              <w:keepNext w:val="0"/>
              <w:keepLines w:val="0"/>
              <w:widowControl w:val="0"/>
              <w:suppressLineNumbers w:val="0"/>
              <w:autoSpaceDE w:val="0"/>
              <w:autoSpaceDN w:val="0"/>
              <w:adjustRightInd w:val="0"/>
              <w:spacing w:before="0" w:beforeAutospacing="0" w:after="0" w:afterAutospacing="0"/>
              <w:ind w:left="0" w:right="0"/>
              <w:jc w:val="left"/>
              <w:rPr>
                <w:rFonts w:eastAsia="SimSun"/>
                <w:color w:val="000000"/>
                <w:kern w:val="2"/>
                <w:sz w:val="24"/>
                <w:szCs w:val="24"/>
                <w:bdr w:val="none" w:color="auto" w:sz="0" w:space="0"/>
                <w:lang w:val="id-ID" w:eastAsia="id-ID"/>
              </w:rPr>
            </w:pPr>
            <w:r>
              <w:rPr>
                <w:rFonts w:hint="default" w:ascii="Times New Roman" w:hAnsi="Times New Roman" w:eastAsia="SimSun" w:cs="Times New Roman"/>
                <w:color w:val="000000"/>
                <w:kern w:val="2"/>
                <w:sz w:val="24"/>
                <w:szCs w:val="24"/>
                <w:bdr w:val="none" w:color="auto" w:sz="0" w:space="0"/>
                <w:lang w:val="id-ID" w:eastAsia="id-ID" w:bidi="ar"/>
              </w:rPr>
              <w:t>Very Poor</w:t>
            </w:r>
          </w:p>
        </w:tc>
        <w:tc>
          <w:tcPr>
            <w:tcW w:w="2718" w:type="dxa"/>
            <w:tcBorders>
              <w:top w:val="nil"/>
              <w:left w:val="nil"/>
              <w:bottom w:val="nil"/>
              <w:right w:val="nil"/>
            </w:tcBorders>
            <w:shd w:val="clear"/>
            <w:vAlign w:val="top"/>
          </w:tcPr>
          <w:p w14:paraId="21549F19">
            <w:pPr>
              <w:keepNext w:val="0"/>
              <w:keepLines w:val="0"/>
              <w:widowControl w:val="0"/>
              <w:suppressLineNumbers w:val="0"/>
              <w:autoSpaceDE w:val="0"/>
              <w:autoSpaceDN w:val="0"/>
              <w:adjustRightInd w:val="0"/>
              <w:spacing w:before="0" w:beforeAutospacing="0" w:after="0" w:afterAutospacing="0"/>
              <w:ind w:left="0" w:right="0"/>
              <w:jc w:val="center"/>
              <w:rPr>
                <w:rFonts w:eastAsia="SimSun"/>
                <w:color w:val="000000"/>
                <w:kern w:val="2"/>
                <w:sz w:val="24"/>
                <w:szCs w:val="24"/>
                <w:bdr w:val="none" w:color="auto" w:sz="0" w:space="0"/>
                <w:lang w:val="id-ID" w:eastAsia="id-ID"/>
              </w:rPr>
            </w:pPr>
            <w:r>
              <w:rPr>
                <w:rFonts w:hint="default" w:ascii="Times New Roman" w:hAnsi="Times New Roman" w:eastAsia="SimSun" w:cs="Times New Roman"/>
                <w:color w:val="000000"/>
                <w:kern w:val="2"/>
                <w:sz w:val="24"/>
                <w:szCs w:val="24"/>
                <w:bdr w:val="none" w:color="auto" w:sz="0" w:space="0"/>
                <w:lang w:val="id-ID" w:eastAsia="id-ID" w:bidi="ar"/>
              </w:rPr>
              <w:t>68</w:t>
            </w:r>
          </w:p>
        </w:tc>
        <w:tc>
          <w:tcPr>
            <w:tcW w:w="2718" w:type="dxa"/>
            <w:tcBorders>
              <w:top w:val="nil"/>
              <w:left w:val="nil"/>
              <w:bottom w:val="nil"/>
              <w:right w:val="nil"/>
            </w:tcBorders>
            <w:shd w:val="clear"/>
            <w:vAlign w:val="top"/>
          </w:tcPr>
          <w:p w14:paraId="3D600EC9">
            <w:pPr>
              <w:keepNext w:val="0"/>
              <w:keepLines w:val="0"/>
              <w:widowControl w:val="0"/>
              <w:suppressLineNumbers w:val="0"/>
              <w:autoSpaceDE w:val="0"/>
              <w:autoSpaceDN w:val="0"/>
              <w:adjustRightInd w:val="0"/>
              <w:spacing w:before="0" w:beforeAutospacing="0" w:after="0" w:afterAutospacing="0"/>
              <w:ind w:left="0" w:right="0"/>
              <w:jc w:val="center"/>
              <w:rPr>
                <w:rFonts w:eastAsia="SimSun"/>
                <w:b w:val="0"/>
                <w:bCs w:val="0"/>
                <w:color w:val="000000"/>
                <w:kern w:val="2"/>
                <w:sz w:val="24"/>
                <w:szCs w:val="24"/>
                <w:bdr w:val="none" w:color="auto" w:sz="0" w:space="0"/>
                <w:lang w:val="id-ID" w:eastAsia="id-ID"/>
              </w:rPr>
            </w:pPr>
            <w:r>
              <w:rPr>
                <w:rFonts w:hint="default" w:ascii="Times New Roman" w:hAnsi="Times New Roman" w:eastAsia="SimSun" w:cs="Times New Roman"/>
                <w:b w:val="0"/>
                <w:bCs w:val="0"/>
                <w:color w:val="000000"/>
                <w:kern w:val="2"/>
                <w:sz w:val="24"/>
                <w:szCs w:val="24"/>
                <w:bdr w:val="none" w:color="auto" w:sz="0" w:space="0"/>
                <w:lang w:val="id-ID" w:eastAsia="id-ID" w:bidi="ar"/>
              </w:rPr>
              <w:t>58,6%</w:t>
            </w:r>
          </w:p>
        </w:tc>
      </w:tr>
      <w:tr w14:paraId="4958FA50">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tblCellMar>
            <w:top w:w="0" w:type="dxa"/>
            <w:left w:w="108" w:type="dxa"/>
            <w:bottom w:w="0" w:type="dxa"/>
            <w:right w:w="108" w:type="dxa"/>
          </w:tblCellMar>
        </w:tblPrEx>
        <w:tc>
          <w:tcPr>
            <w:tcW w:w="2717" w:type="dxa"/>
            <w:tcBorders>
              <w:top w:val="nil"/>
              <w:left w:val="nil"/>
              <w:bottom w:val="single" w:color="000000" w:sz="8" w:space="0"/>
              <w:right w:val="nil"/>
            </w:tcBorders>
            <w:shd w:val="clear"/>
            <w:vAlign w:val="top"/>
          </w:tcPr>
          <w:p w14:paraId="226A10B5">
            <w:pPr>
              <w:keepNext w:val="0"/>
              <w:keepLines w:val="0"/>
              <w:widowControl w:val="0"/>
              <w:suppressLineNumbers w:val="0"/>
              <w:autoSpaceDE w:val="0"/>
              <w:autoSpaceDN w:val="0"/>
              <w:adjustRightInd w:val="0"/>
              <w:spacing w:before="0" w:beforeAutospacing="0" w:after="0" w:afterAutospacing="0"/>
              <w:ind w:left="0" w:right="0"/>
              <w:jc w:val="center"/>
              <w:rPr>
                <w:rFonts w:eastAsia="SimSun"/>
                <w:b/>
                <w:bCs w:val="0"/>
                <w:color w:val="000000"/>
                <w:kern w:val="2"/>
                <w:sz w:val="24"/>
                <w:szCs w:val="24"/>
                <w:bdr w:val="none" w:color="auto" w:sz="0" w:space="0"/>
                <w:lang w:val="id-ID" w:eastAsia="id-ID"/>
              </w:rPr>
            </w:pPr>
            <w:r>
              <w:rPr>
                <w:rFonts w:hint="default" w:ascii="Times New Roman" w:hAnsi="Times New Roman" w:eastAsia="SimSun" w:cs="Times New Roman"/>
                <w:b/>
                <w:bCs w:val="0"/>
                <w:color w:val="000000"/>
                <w:kern w:val="2"/>
                <w:sz w:val="24"/>
                <w:szCs w:val="24"/>
                <w:bdr w:val="none" w:color="auto" w:sz="0" w:space="0"/>
                <w:lang w:val="id-ID" w:eastAsia="id-ID" w:bidi="ar"/>
              </w:rPr>
              <w:t>Total</w:t>
            </w:r>
          </w:p>
        </w:tc>
        <w:tc>
          <w:tcPr>
            <w:tcW w:w="2718" w:type="dxa"/>
            <w:tcBorders>
              <w:top w:val="nil"/>
              <w:left w:val="nil"/>
              <w:bottom w:val="single" w:color="000000" w:sz="8" w:space="0"/>
              <w:right w:val="nil"/>
            </w:tcBorders>
            <w:shd w:val="clear"/>
            <w:vAlign w:val="top"/>
          </w:tcPr>
          <w:p w14:paraId="2C6294AF">
            <w:pPr>
              <w:keepNext w:val="0"/>
              <w:keepLines w:val="0"/>
              <w:widowControl w:val="0"/>
              <w:suppressLineNumbers w:val="0"/>
              <w:autoSpaceDE w:val="0"/>
              <w:autoSpaceDN w:val="0"/>
              <w:adjustRightInd w:val="0"/>
              <w:spacing w:before="0" w:beforeAutospacing="0" w:after="0" w:afterAutospacing="0"/>
              <w:ind w:left="0" w:right="0"/>
              <w:jc w:val="center"/>
              <w:rPr>
                <w:rFonts w:eastAsia="SimSun"/>
                <w:color w:val="000000"/>
                <w:kern w:val="2"/>
                <w:sz w:val="24"/>
                <w:szCs w:val="24"/>
                <w:bdr w:val="none" w:color="auto" w:sz="0" w:space="0"/>
                <w:lang w:val="id-ID" w:eastAsia="id-ID"/>
              </w:rPr>
            </w:pPr>
            <w:r>
              <w:rPr>
                <w:rFonts w:hint="default" w:ascii="Times New Roman" w:hAnsi="Times New Roman" w:eastAsia="SimSun" w:cs="Times New Roman"/>
                <w:color w:val="000000"/>
                <w:kern w:val="2"/>
                <w:sz w:val="24"/>
                <w:szCs w:val="24"/>
                <w:bdr w:val="none" w:color="auto" w:sz="0" w:space="0"/>
                <w:lang w:val="id-ID" w:eastAsia="id-ID" w:bidi="ar"/>
              </w:rPr>
              <w:t>116</w:t>
            </w:r>
          </w:p>
        </w:tc>
        <w:tc>
          <w:tcPr>
            <w:tcW w:w="2718" w:type="dxa"/>
            <w:tcBorders>
              <w:top w:val="nil"/>
              <w:left w:val="nil"/>
              <w:bottom w:val="single" w:color="000000" w:sz="8" w:space="0"/>
              <w:right w:val="nil"/>
            </w:tcBorders>
            <w:shd w:val="clear"/>
            <w:vAlign w:val="top"/>
          </w:tcPr>
          <w:p w14:paraId="3FDDC3C0">
            <w:pPr>
              <w:keepNext w:val="0"/>
              <w:keepLines w:val="0"/>
              <w:widowControl w:val="0"/>
              <w:suppressLineNumbers w:val="0"/>
              <w:autoSpaceDE w:val="0"/>
              <w:autoSpaceDN w:val="0"/>
              <w:adjustRightInd w:val="0"/>
              <w:spacing w:before="0" w:beforeAutospacing="0" w:after="0" w:afterAutospacing="0"/>
              <w:ind w:left="0" w:right="0"/>
              <w:jc w:val="center"/>
              <w:rPr>
                <w:rFonts w:eastAsia="SimSun"/>
                <w:b w:val="0"/>
                <w:bCs w:val="0"/>
                <w:color w:val="000000"/>
                <w:kern w:val="2"/>
                <w:sz w:val="24"/>
                <w:szCs w:val="24"/>
                <w:bdr w:val="none" w:color="auto" w:sz="0" w:space="0"/>
                <w:lang w:val="id-ID" w:eastAsia="id-ID"/>
              </w:rPr>
            </w:pPr>
            <w:r>
              <w:rPr>
                <w:rFonts w:hint="default" w:ascii="Times New Roman" w:hAnsi="Times New Roman" w:eastAsia="SimSun" w:cs="Times New Roman"/>
                <w:b w:val="0"/>
                <w:bCs w:val="0"/>
                <w:color w:val="000000"/>
                <w:kern w:val="2"/>
                <w:sz w:val="24"/>
                <w:szCs w:val="24"/>
                <w:bdr w:val="none" w:color="auto" w:sz="0" w:space="0"/>
                <w:lang w:val="id-ID" w:eastAsia="id-ID" w:bidi="ar"/>
              </w:rPr>
              <w:t>100%</w:t>
            </w:r>
          </w:p>
        </w:tc>
      </w:tr>
    </w:tbl>
    <w:p w14:paraId="4BCE7A2F">
      <w:pPr>
        <w:jc w:val="both"/>
        <w:rPr>
          <w:color w:val="000000"/>
          <w:sz w:val="24"/>
          <w:szCs w:val="24"/>
          <w:lang w:val="id-ID"/>
        </w:rPr>
      </w:pPr>
    </w:p>
    <w:p w14:paraId="735492A6">
      <w:pPr>
        <w:spacing w:line="360" w:lineRule="auto"/>
        <w:jc w:val="both"/>
        <w:rPr>
          <w:color w:val="000000"/>
          <w:sz w:val="24"/>
          <w:szCs w:val="24"/>
        </w:rPr>
      </w:pPr>
      <w:r>
        <w:rPr>
          <w:color w:val="222222"/>
          <w:sz w:val="24"/>
          <w:szCs w:val="24"/>
          <w:shd w:val="clear" w:color="auto" w:fill="FFFFFF"/>
        </w:rPr>
        <w:t xml:space="preserve"> The result showed that there was </w:t>
      </w:r>
      <w:r>
        <w:rPr>
          <w:color w:val="222222"/>
          <w:sz w:val="24"/>
          <w:szCs w:val="24"/>
          <w:shd w:val="clear" w:color="auto" w:fill="FFFFFF"/>
          <w:lang w:val="id-ID"/>
        </w:rPr>
        <w:t>3</w:t>
      </w:r>
      <w:r>
        <w:rPr>
          <w:color w:val="222222"/>
          <w:sz w:val="24"/>
          <w:szCs w:val="24"/>
          <w:shd w:val="clear" w:color="auto" w:fill="FFFFFF"/>
        </w:rPr>
        <w:t xml:space="preserve"> student (</w:t>
      </w:r>
      <w:r>
        <w:rPr>
          <w:color w:val="222222"/>
          <w:sz w:val="24"/>
          <w:szCs w:val="24"/>
          <w:shd w:val="clear" w:color="auto" w:fill="FFFFFF"/>
          <w:lang w:val="id-ID"/>
        </w:rPr>
        <w:t>2,6</w:t>
      </w:r>
      <w:r>
        <w:rPr>
          <w:color w:val="222222"/>
          <w:sz w:val="24"/>
          <w:szCs w:val="24"/>
          <w:shd w:val="clear" w:color="auto" w:fill="FFFFFF"/>
        </w:rPr>
        <w:t xml:space="preserve">%) was indicated very </w:t>
      </w:r>
      <w:r>
        <w:rPr>
          <w:color w:val="222222"/>
          <w:sz w:val="24"/>
          <w:szCs w:val="24"/>
          <w:shd w:val="clear" w:color="auto" w:fill="FFFFFF"/>
          <w:lang w:val="id-ID"/>
        </w:rPr>
        <w:t>good</w:t>
      </w:r>
      <w:r>
        <w:rPr>
          <w:color w:val="222222"/>
          <w:sz w:val="24"/>
          <w:szCs w:val="24"/>
          <w:shd w:val="clear" w:color="auto" w:fill="FFFFFF"/>
        </w:rPr>
        <w:t xml:space="preserve">, </w:t>
      </w:r>
      <w:r>
        <w:rPr>
          <w:color w:val="222222"/>
          <w:sz w:val="24"/>
          <w:szCs w:val="24"/>
          <w:shd w:val="clear" w:color="auto" w:fill="FFFFFF"/>
          <w:lang w:val="id-ID"/>
        </w:rPr>
        <w:t>8</w:t>
      </w:r>
      <w:r>
        <w:rPr>
          <w:color w:val="222222"/>
          <w:sz w:val="24"/>
          <w:szCs w:val="24"/>
          <w:shd w:val="clear" w:color="auto" w:fill="FFFFFF"/>
        </w:rPr>
        <w:t xml:space="preserve"> students (</w:t>
      </w:r>
      <w:r>
        <w:rPr>
          <w:color w:val="222222"/>
          <w:sz w:val="24"/>
          <w:szCs w:val="24"/>
          <w:shd w:val="clear" w:color="auto" w:fill="FFFFFF"/>
          <w:lang w:val="id-ID"/>
        </w:rPr>
        <w:t>6,9</w:t>
      </w:r>
      <w:r>
        <w:rPr>
          <w:color w:val="222222"/>
          <w:sz w:val="24"/>
          <w:szCs w:val="24"/>
          <w:shd w:val="clear" w:color="auto" w:fill="FFFFFF"/>
        </w:rPr>
        <w:t xml:space="preserve">%) were in </w:t>
      </w:r>
      <w:r>
        <w:rPr>
          <w:color w:val="222222"/>
          <w:sz w:val="24"/>
          <w:szCs w:val="24"/>
          <w:shd w:val="clear" w:color="auto" w:fill="FFFFFF"/>
          <w:lang w:val="id-ID"/>
        </w:rPr>
        <w:t>good</w:t>
      </w:r>
      <w:r>
        <w:rPr>
          <w:color w:val="222222"/>
          <w:sz w:val="24"/>
          <w:szCs w:val="24"/>
          <w:shd w:val="clear" w:color="auto" w:fill="FFFFFF"/>
        </w:rPr>
        <w:t xml:space="preserve">, </w:t>
      </w:r>
      <w:r>
        <w:rPr>
          <w:color w:val="222222"/>
          <w:sz w:val="24"/>
          <w:szCs w:val="24"/>
          <w:shd w:val="clear" w:color="auto" w:fill="FFFFFF"/>
          <w:lang w:val="id-ID"/>
        </w:rPr>
        <w:t>8</w:t>
      </w:r>
      <w:r>
        <w:rPr>
          <w:color w:val="222222"/>
          <w:sz w:val="24"/>
          <w:szCs w:val="24"/>
          <w:shd w:val="clear" w:color="auto" w:fill="FFFFFF"/>
        </w:rPr>
        <w:t xml:space="preserve"> students (</w:t>
      </w:r>
      <w:r>
        <w:rPr>
          <w:color w:val="222222"/>
          <w:sz w:val="24"/>
          <w:szCs w:val="24"/>
          <w:shd w:val="clear" w:color="auto" w:fill="FFFFFF"/>
          <w:lang w:val="id-ID"/>
        </w:rPr>
        <w:t>6,9</w:t>
      </w:r>
      <w:r>
        <w:rPr>
          <w:color w:val="222222"/>
          <w:sz w:val="24"/>
          <w:szCs w:val="24"/>
          <w:shd w:val="clear" w:color="auto" w:fill="FFFFFF"/>
        </w:rPr>
        <w:t xml:space="preserve">%) were in </w:t>
      </w:r>
      <w:r>
        <w:rPr>
          <w:color w:val="222222"/>
          <w:sz w:val="24"/>
          <w:szCs w:val="24"/>
          <w:shd w:val="clear" w:color="auto" w:fill="FFFFFF"/>
          <w:lang w:val="id-ID"/>
        </w:rPr>
        <w:t>average</w:t>
      </w:r>
      <w:r>
        <w:rPr>
          <w:color w:val="222222"/>
          <w:sz w:val="24"/>
          <w:szCs w:val="24"/>
          <w:shd w:val="clear" w:color="auto" w:fill="FFFFFF"/>
        </w:rPr>
        <w:t xml:space="preserve">, </w:t>
      </w:r>
      <w:r>
        <w:rPr>
          <w:color w:val="222222"/>
          <w:sz w:val="24"/>
          <w:szCs w:val="24"/>
          <w:shd w:val="clear" w:color="auto" w:fill="FFFFFF"/>
          <w:lang w:val="id-ID"/>
        </w:rPr>
        <w:t>29</w:t>
      </w:r>
      <w:r>
        <w:rPr>
          <w:color w:val="222222"/>
          <w:sz w:val="24"/>
          <w:szCs w:val="24"/>
          <w:shd w:val="clear" w:color="auto" w:fill="FFFFFF"/>
        </w:rPr>
        <w:t xml:space="preserve"> student</w:t>
      </w:r>
      <w:r>
        <w:rPr>
          <w:color w:val="222222"/>
          <w:sz w:val="24"/>
          <w:szCs w:val="24"/>
          <w:shd w:val="clear" w:color="auto" w:fill="FFFFFF"/>
          <w:lang w:val="id-ID"/>
        </w:rPr>
        <w:t>s</w:t>
      </w:r>
      <w:r>
        <w:rPr>
          <w:color w:val="222222"/>
          <w:sz w:val="24"/>
          <w:szCs w:val="24"/>
          <w:shd w:val="clear" w:color="auto" w:fill="FFFFFF"/>
        </w:rPr>
        <w:t xml:space="preserve"> (</w:t>
      </w:r>
      <w:r>
        <w:rPr>
          <w:color w:val="222222"/>
          <w:sz w:val="24"/>
          <w:szCs w:val="24"/>
          <w:shd w:val="clear" w:color="auto" w:fill="FFFFFF"/>
          <w:lang w:val="id-ID"/>
        </w:rPr>
        <w:t>25,0</w:t>
      </w:r>
      <w:r>
        <w:rPr>
          <w:color w:val="222222"/>
          <w:sz w:val="24"/>
          <w:szCs w:val="24"/>
          <w:shd w:val="clear" w:color="auto" w:fill="FFFFFF"/>
        </w:rPr>
        <w:t xml:space="preserve">%) were in </w:t>
      </w:r>
      <w:r>
        <w:rPr>
          <w:color w:val="222222"/>
          <w:sz w:val="24"/>
          <w:szCs w:val="24"/>
          <w:shd w:val="clear" w:color="auto" w:fill="FFFFFF"/>
          <w:lang w:val="id-ID"/>
        </w:rPr>
        <w:t>poor, 68 students (58,6%) were in very poor</w:t>
      </w:r>
      <w:r>
        <w:rPr>
          <w:color w:val="222222"/>
          <w:sz w:val="24"/>
          <w:szCs w:val="24"/>
          <w:shd w:val="clear" w:color="auto" w:fill="FFFFFF"/>
        </w:rPr>
        <w:t xml:space="preserve">. In conclusion, it revealed that from </w:t>
      </w:r>
      <w:r>
        <w:rPr>
          <w:color w:val="222222"/>
          <w:sz w:val="24"/>
          <w:szCs w:val="24"/>
          <w:shd w:val="clear" w:color="auto" w:fill="FFFFFF"/>
          <w:lang w:val="id-ID"/>
        </w:rPr>
        <w:t>the reading comprehension</w:t>
      </w:r>
      <w:r>
        <w:rPr>
          <w:color w:val="222222"/>
          <w:sz w:val="24"/>
          <w:szCs w:val="24"/>
          <w:shd w:val="clear" w:color="auto" w:fill="FFFFFF"/>
        </w:rPr>
        <w:t xml:space="preserve"> test,</w:t>
      </w:r>
      <w:r>
        <w:rPr>
          <w:color w:val="222222"/>
          <w:sz w:val="24"/>
          <w:szCs w:val="24"/>
          <w:shd w:val="clear" w:color="auto" w:fill="FFFFFF"/>
          <w:lang w:val="id-ID"/>
        </w:rPr>
        <w:t xml:space="preserve"> very poor</w:t>
      </w:r>
      <w:r>
        <w:rPr>
          <w:color w:val="222222"/>
          <w:sz w:val="24"/>
          <w:szCs w:val="24"/>
          <w:shd w:val="clear" w:color="auto" w:fill="FFFFFF"/>
        </w:rPr>
        <w:t xml:space="preserve"> level was the most perceived by the students.</w:t>
      </w:r>
      <w:r>
        <w:rPr>
          <w:color w:val="222222"/>
          <w:sz w:val="24"/>
          <w:szCs w:val="24"/>
          <w:shd w:val="clear" w:color="auto" w:fill="FFFFFF"/>
        </w:rPr>
        <w:br w:type="textWrapping"/>
      </w:r>
      <w:bookmarkStart w:id="0" w:name="_GoBack"/>
      <w:bookmarkEnd w:id="0"/>
    </w:p>
    <w:p w14:paraId="28526310">
      <w:pPr>
        <w:rPr>
          <w:color w:val="000000"/>
          <w:sz w:val="24"/>
          <w:szCs w:val="24"/>
          <w:lang w:val="id-ID"/>
        </w:rPr>
      </w:pPr>
      <w:r>
        <w:rPr>
          <w:i/>
          <w:color w:val="000000"/>
          <w:sz w:val="24"/>
          <w:szCs w:val="24"/>
          <w:lang w:val="id-ID"/>
        </w:rPr>
        <w:t>Table 4</w:t>
      </w:r>
      <w:r>
        <w:rPr>
          <w:color w:val="000000"/>
          <w:sz w:val="24"/>
          <w:szCs w:val="24"/>
          <w:lang w:val="id-ID"/>
        </w:rPr>
        <w:t xml:space="preserve">. </w:t>
      </w:r>
      <w:r>
        <w:rPr>
          <w:color w:val="000000"/>
          <w:sz w:val="24"/>
          <w:szCs w:val="24"/>
        </w:rPr>
        <w:t xml:space="preserve">Descriptive Statistics of Reading </w:t>
      </w:r>
      <w:r>
        <w:rPr>
          <w:color w:val="000000"/>
          <w:sz w:val="24"/>
          <w:szCs w:val="24"/>
          <w:lang w:val="id-ID"/>
        </w:rPr>
        <w:t xml:space="preserve">Comprehension </w:t>
      </w:r>
      <w:r>
        <w:rPr>
          <w:color w:val="000000"/>
          <w:sz w:val="24"/>
          <w:szCs w:val="24"/>
        </w:rPr>
        <w:t>Achievement</w:t>
      </w:r>
    </w:p>
    <w:p w14:paraId="48C0E72B">
      <w:pPr>
        <w:jc w:val="both"/>
        <w:rPr>
          <w:color w:val="000000"/>
          <w:sz w:val="24"/>
          <w:szCs w:val="24"/>
          <w:lang w:val="id-ID"/>
        </w:rPr>
      </w:pPr>
    </w:p>
    <w:tbl>
      <w:tblPr>
        <w:tblStyle w:val="3"/>
        <w:tblW w:w="7875" w:type="dxa"/>
        <w:tblInd w:w="80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FFFFFF" w:themeFill="background1"/>
        <w:tblLayout w:type="fixed"/>
        <w:tblCellMar>
          <w:top w:w="0" w:type="dxa"/>
          <w:left w:w="0" w:type="dxa"/>
          <w:bottom w:w="0" w:type="dxa"/>
          <w:right w:w="0" w:type="dxa"/>
        </w:tblCellMar>
      </w:tblPr>
      <w:tblGrid>
        <w:gridCol w:w="1559"/>
        <w:gridCol w:w="1249"/>
        <w:gridCol w:w="1249"/>
        <w:gridCol w:w="1249"/>
        <w:gridCol w:w="1249"/>
        <w:gridCol w:w="1320"/>
      </w:tblGrid>
      <w:tr w14:paraId="140BE7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FFFFFF" w:themeFill="background1"/>
          <w:tblCellMar>
            <w:top w:w="0" w:type="dxa"/>
            <w:left w:w="0" w:type="dxa"/>
            <w:bottom w:w="0" w:type="dxa"/>
            <w:right w:w="0" w:type="dxa"/>
          </w:tblCellMar>
        </w:tblPrEx>
        <w:trPr>
          <w:cantSplit/>
          <w:trHeight w:val="325" w:hRule="atLeast"/>
        </w:trPr>
        <w:tc>
          <w:tcPr>
            <w:tcW w:w="7875" w:type="dxa"/>
            <w:gridSpan w:val="6"/>
            <w:tcBorders>
              <w:top w:val="nil"/>
              <w:left w:val="nil"/>
              <w:bottom w:val="nil"/>
              <w:right w:val="nil"/>
            </w:tcBorders>
            <w:shd w:val="clear" w:color="auto" w:fill="FFFFFF" w:themeFill="background1"/>
            <w:vAlign w:val="center"/>
          </w:tcPr>
          <w:p w14:paraId="5C9566D0">
            <w:pPr>
              <w:widowControl/>
              <w:adjustRightInd w:val="0"/>
              <w:spacing w:line="320" w:lineRule="atLeast"/>
              <w:ind w:left="60" w:right="60"/>
              <w:jc w:val="center"/>
              <w:rPr>
                <w:rFonts w:ascii="Arial" w:hAnsi="Arial" w:cs="Arial" w:eastAsiaTheme="minorHAnsi"/>
                <w:color w:val="000000" w:themeColor="text1"/>
                <w:highlight w:val="none"/>
                <w:lang w:val="id-ID"/>
                <w14:textFill>
                  <w14:solidFill>
                    <w14:schemeClr w14:val="tx1"/>
                  </w14:solidFill>
                </w14:textFill>
              </w:rPr>
            </w:pPr>
            <w:r>
              <w:rPr>
                <w:rFonts w:ascii="Arial" w:hAnsi="Arial" w:cs="Arial" w:eastAsiaTheme="minorHAnsi"/>
                <w:b/>
                <w:bCs/>
                <w:color w:val="000000" w:themeColor="text1"/>
                <w:highlight w:val="none"/>
                <w:lang w:val="id-ID"/>
                <w14:textFill>
                  <w14:solidFill>
                    <w14:schemeClr w14:val="tx1"/>
                  </w14:solidFill>
                </w14:textFill>
              </w:rPr>
              <w:t>Descriptive Statistics</w:t>
            </w:r>
          </w:p>
        </w:tc>
      </w:tr>
      <w:tr w14:paraId="56D438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FFFFFF" w:themeFill="background1"/>
          <w:tblCellMar>
            <w:top w:w="0" w:type="dxa"/>
            <w:left w:w="0" w:type="dxa"/>
            <w:bottom w:w="0" w:type="dxa"/>
            <w:right w:w="0" w:type="dxa"/>
          </w:tblCellMar>
        </w:tblPrEx>
        <w:trPr>
          <w:cantSplit/>
          <w:trHeight w:val="325" w:hRule="atLeast"/>
        </w:trPr>
        <w:tc>
          <w:tcPr>
            <w:tcW w:w="1559" w:type="dxa"/>
            <w:tcBorders>
              <w:top w:val="single" w:color="auto" w:sz="4" w:space="0"/>
              <w:left w:val="nil"/>
              <w:bottom w:val="single" w:color="152935" w:sz="8" w:space="0"/>
              <w:right w:val="nil"/>
            </w:tcBorders>
            <w:shd w:val="clear" w:color="auto" w:fill="FFFFFF" w:themeFill="background1"/>
            <w:vAlign w:val="bottom"/>
          </w:tcPr>
          <w:p w14:paraId="66E01D51">
            <w:pPr>
              <w:widowControl/>
              <w:adjustRightInd w:val="0"/>
              <w:rPr>
                <w:rFonts w:eastAsiaTheme="minorHAnsi"/>
                <w:color w:val="000000" w:themeColor="text1"/>
                <w:sz w:val="24"/>
                <w:szCs w:val="24"/>
                <w:highlight w:val="none"/>
                <w:lang w:val="id-ID"/>
                <w14:textFill>
                  <w14:solidFill>
                    <w14:schemeClr w14:val="tx1"/>
                  </w14:solidFill>
                </w14:textFill>
              </w:rPr>
            </w:pPr>
          </w:p>
        </w:tc>
        <w:tc>
          <w:tcPr>
            <w:tcW w:w="1249" w:type="dxa"/>
            <w:tcBorders>
              <w:top w:val="single" w:color="auto" w:sz="4" w:space="0"/>
              <w:left w:val="nil"/>
              <w:bottom w:val="single" w:color="152935" w:sz="8" w:space="0"/>
              <w:right w:val="single" w:color="E0E0E0" w:sz="8" w:space="0"/>
            </w:tcBorders>
            <w:shd w:val="clear" w:color="auto" w:fill="FFFFFF" w:themeFill="background1"/>
            <w:vAlign w:val="bottom"/>
          </w:tcPr>
          <w:p w14:paraId="5A202794">
            <w:pPr>
              <w:widowControl/>
              <w:adjustRightInd w:val="0"/>
              <w:spacing w:line="320" w:lineRule="atLeast"/>
              <w:ind w:left="60" w:right="60"/>
              <w:jc w:val="center"/>
              <w:rPr>
                <w:rFonts w:ascii="Arial" w:hAnsi="Arial" w:cs="Arial" w:eastAsiaTheme="minorHAnsi"/>
                <w:color w:val="000000" w:themeColor="text1"/>
                <w:sz w:val="18"/>
                <w:szCs w:val="18"/>
                <w:highlight w:val="none"/>
                <w:lang w:val="id-ID"/>
                <w14:textFill>
                  <w14:solidFill>
                    <w14:schemeClr w14:val="tx1"/>
                  </w14:solidFill>
                </w14:textFill>
              </w:rPr>
            </w:pPr>
            <w:r>
              <w:rPr>
                <w:rFonts w:ascii="Arial" w:hAnsi="Arial" w:cs="Arial" w:eastAsiaTheme="minorHAnsi"/>
                <w:color w:val="000000" w:themeColor="text1"/>
                <w:sz w:val="18"/>
                <w:szCs w:val="18"/>
                <w:highlight w:val="none"/>
                <w:lang w:val="id-ID"/>
                <w14:textFill>
                  <w14:solidFill>
                    <w14:schemeClr w14:val="tx1"/>
                  </w14:solidFill>
                </w14:textFill>
              </w:rPr>
              <w:t>N</w:t>
            </w:r>
          </w:p>
        </w:tc>
        <w:tc>
          <w:tcPr>
            <w:tcW w:w="1249" w:type="dxa"/>
            <w:tcBorders>
              <w:top w:val="single" w:color="auto" w:sz="4" w:space="0"/>
              <w:left w:val="single" w:color="E0E0E0" w:sz="8" w:space="0"/>
              <w:bottom w:val="single" w:color="152935" w:sz="8" w:space="0"/>
              <w:right w:val="single" w:color="E0E0E0" w:sz="8" w:space="0"/>
            </w:tcBorders>
            <w:shd w:val="clear" w:color="auto" w:fill="FFFFFF" w:themeFill="background1"/>
            <w:vAlign w:val="bottom"/>
          </w:tcPr>
          <w:p w14:paraId="56F4E8C7">
            <w:pPr>
              <w:widowControl/>
              <w:adjustRightInd w:val="0"/>
              <w:spacing w:line="320" w:lineRule="atLeast"/>
              <w:ind w:left="60" w:right="60"/>
              <w:jc w:val="center"/>
              <w:rPr>
                <w:rFonts w:ascii="Arial" w:hAnsi="Arial" w:cs="Arial" w:eastAsiaTheme="minorHAnsi"/>
                <w:color w:val="000000" w:themeColor="text1"/>
                <w:sz w:val="18"/>
                <w:szCs w:val="18"/>
                <w:highlight w:val="none"/>
                <w:lang w:val="id-ID"/>
                <w14:textFill>
                  <w14:solidFill>
                    <w14:schemeClr w14:val="tx1"/>
                  </w14:solidFill>
                </w14:textFill>
              </w:rPr>
            </w:pPr>
            <w:r>
              <w:rPr>
                <w:rFonts w:ascii="Arial" w:hAnsi="Arial" w:cs="Arial" w:eastAsiaTheme="minorHAnsi"/>
                <w:color w:val="000000" w:themeColor="text1"/>
                <w:sz w:val="18"/>
                <w:szCs w:val="18"/>
                <w:highlight w:val="none"/>
                <w:lang w:val="id-ID"/>
                <w14:textFill>
                  <w14:solidFill>
                    <w14:schemeClr w14:val="tx1"/>
                  </w14:solidFill>
                </w14:textFill>
              </w:rPr>
              <w:t>Minimum</w:t>
            </w:r>
          </w:p>
        </w:tc>
        <w:tc>
          <w:tcPr>
            <w:tcW w:w="1249" w:type="dxa"/>
            <w:tcBorders>
              <w:top w:val="single" w:color="auto" w:sz="4" w:space="0"/>
              <w:left w:val="single" w:color="E0E0E0" w:sz="8" w:space="0"/>
              <w:bottom w:val="single" w:color="152935" w:sz="8" w:space="0"/>
              <w:right w:val="single" w:color="E0E0E0" w:sz="8" w:space="0"/>
            </w:tcBorders>
            <w:shd w:val="clear" w:color="auto" w:fill="FFFFFF" w:themeFill="background1"/>
            <w:vAlign w:val="bottom"/>
          </w:tcPr>
          <w:p w14:paraId="4C7439D6">
            <w:pPr>
              <w:widowControl/>
              <w:adjustRightInd w:val="0"/>
              <w:spacing w:line="320" w:lineRule="atLeast"/>
              <w:ind w:left="60" w:right="60"/>
              <w:jc w:val="center"/>
              <w:rPr>
                <w:rFonts w:ascii="Arial" w:hAnsi="Arial" w:cs="Arial" w:eastAsiaTheme="minorHAnsi"/>
                <w:color w:val="000000" w:themeColor="text1"/>
                <w:sz w:val="18"/>
                <w:szCs w:val="18"/>
                <w:highlight w:val="none"/>
                <w:lang w:val="id-ID"/>
                <w14:textFill>
                  <w14:solidFill>
                    <w14:schemeClr w14:val="tx1"/>
                  </w14:solidFill>
                </w14:textFill>
              </w:rPr>
            </w:pPr>
            <w:r>
              <w:rPr>
                <w:rFonts w:ascii="Arial" w:hAnsi="Arial" w:cs="Arial" w:eastAsiaTheme="minorHAnsi"/>
                <w:color w:val="000000" w:themeColor="text1"/>
                <w:sz w:val="18"/>
                <w:szCs w:val="18"/>
                <w:highlight w:val="none"/>
                <w:lang w:val="id-ID"/>
                <w14:textFill>
                  <w14:solidFill>
                    <w14:schemeClr w14:val="tx1"/>
                  </w14:solidFill>
                </w14:textFill>
              </w:rPr>
              <w:t>Maximum</w:t>
            </w:r>
          </w:p>
        </w:tc>
        <w:tc>
          <w:tcPr>
            <w:tcW w:w="1249" w:type="dxa"/>
            <w:tcBorders>
              <w:top w:val="single" w:color="auto" w:sz="4" w:space="0"/>
              <w:left w:val="single" w:color="E0E0E0" w:sz="8" w:space="0"/>
              <w:bottom w:val="single" w:color="152935" w:sz="8" w:space="0"/>
              <w:right w:val="single" w:color="E0E0E0" w:sz="8" w:space="0"/>
            </w:tcBorders>
            <w:shd w:val="clear" w:color="auto" w:fill="FFFFFF" w:themeFill="background1"/>
            <w:vAlign w:val="bottom"/>
          </w:tcPr>
          <w:p w14:paraId="3A55CC1C">
            <w:pPr>
              <w:widowControl/>
              <w:adjustRightInd w:val="0"/>
              <w:spacing w:line="320" w:lineRule="atLeast"/>
              <w:ind w:left="60" w:right="60"/>
              <w:jc w:val="center"/>
              <w:rPr>
                <w:rFonts w:ascii="Arial" w:hAnsi="Arial" w:cs="Arial" w:eastAsiaTheme="minorHAnsi"/>
                <w:color w:val="000000" w:themeColor="text1"/>
                <w:sz w:val="18"/>
                <w:szCs w:val="18"/>
                <w:highlight w:val="none"/>
                <w:lang w:val="id-ID"/>
                <w14:textFill>
                  <w14:solidFill>
                    <w14:schemeClr w14:val="tx1"/>
                  </w14:solidFill>
                </w14:textFill>
              </w:rPr>
            </w:pPr>
            <w:r>
              <w:rPr>
                <w:rFonts w:ascii="Arial" w:hAnsi="Arial" w:cs="Arial" w:eastAsiaTheme="minorHAnsi"/>
                <w:color w:val="000000" w:themeColor="text1"/>
                <w:sz w:val="18"/>
                <w:szCs w:val="18"/>
                <w:highlight w:val="none"/>
                <w:lang w:val="id-ID"/>
                <w14:textFill>
                  <w14:solidFill>
                    <w14:schemeClr w14:val="tx1"/>
                  </w14:solidFill>
                </w14:textFill>
              </w:rPr>
              <w:t>Mean</w:t>
            </w:r>
          </w:p>
        </w:tc>
        <w:tc>
          <w:tcPr>
            <w:tcW w:w="1320" w:type="dxa"/>
            <w:tcBorders>
              <w:top w:val="single" w:color="auto" w:sz="4" w:space="0"/>
              <w:left w:val="single" w:color="E0E0E0" w:sz="8" w:space="0"/>
              <w:bottom w:val="single" w:color="152935" w:sz="8" w:space="0"/>
              <w:right w:val="nil"/>
            </w:tcBorders>
            <w:shd w:val="clear" w:color="auto" w:fill="FFFFFF" w:themeFill="background1"/>
            <w:vAlign w:val="bottom"/>
          </w:tcPr>
          <w:p w14:paraId="56409D9F">
            <w:pPr>
              <w:widowControl/>
              <w:adjustRightInd w:val="0"/>
              <w:spacing w:line="320" w:lineRule="atLeast"/>
              <w:ind w:left="60" w:right="60"/>
              <w:jc w:val="center"/>
              <w:rPr>
                <w:rFonts w:ascii="Arial" w:hAnsi="Arial" w:cs="Arial" w:eastAsiaTheme="minorHAnsi"/>
                <w:color w:val="000000" w:themeColor="text1"/>
                <w:sz w:val="18"/>
                <w:szCs w:val="18"/>
                <w:highlight w:val="none"/>
                <w:lang w:val="id-ID"/>
                <w14:textFill>
                  <w14:solidFill>
                    <w14:schemeClr w14:val="tx1"/>
                  </w14:solidFill>
                </w14:textFill>
              </w:rPr>
            </w:pPr>
            <w:r>
              <w:rPr>
                <w:rFonts w:ascii="Arial" w:hAnsi="Arial" w:cs="Arial" w:eastAsiaTheme="minorHAnsi"/>
                <w:color w:val="000000" w:themeColor="text1"/>
                <w:sz w:val="18"/>
                <w:szCs w:val="18"/>
                <w:highlight w:val="none"/>
                <w:lang w:val="id-ID"/>
                <w14:textFill>
                  <w14:solidFill>
                    <w14:schemeClr w14:val="tx1"/>
                  </w14:solidFill>
                </w14:textFill>
              </w:rPr>
              <w:t>Std. Deviation</w:t>
            </w:r>
          </w:p>
        </w:tc>
      </w:tr>
      <w:tr w14:paraId="1C1020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FFFFFF" w:themeFill="background1"/>
          <w:tblCellMar>
            <w:top w:w="0" w:type="dxa"/>
            <w:left w:w="0" w:type="dxa"/>
            <w:bottom w:w="0" w:type="dxa"/>
            <w:right w:w="0" w:type="dxa"/>
          </w:tblCellMar>
        </w:tblPrEx>
        <w:trPr>
          <w:cantSplit/>
          <w:trHeight w:val="670" w:hRule="atLeast"/>
        </w:trPr>
        <w:tc>
          <w:tcPr>
            <w:tcW w:w="1559" w:type="dxa"/>
            <w:tcBorders>
              <w:top w:val="single" w:color="152935" w:sz="8" w:space="0"/>
              <w:left w:val="nil"/>
              <w:right w:val="nil"/>
            </w:tcBorders>
            <w:shd w:val="clear" w:color="auto" w:fill="FFFFFF" w:themeFill="background1"/>
          </w:tcPr>
          <w:p w14:paraId="5B20C878">
            <w:pPr>
              <w:widowControl/>
              <w:shd w:val="clear" w:color="auto" w:fill="FFFFFF" w:themeFill="background1"/>
              <w:adjustRightInd w:val="0"/>
              <w:spacing w:line="320" w:lineRule="atLeast"/>
              <w:ind w:left="60" w:right="60"/>
              <w:rPr>
                <w:rFonts w:ascii="Arial" w:hAnsi="Arial" w:cs="Arial" w:eastAsiaTheme="minorHAnsi"/>
                <w:color w:val="000000" w:themeColor="text1"/>
                <w:sz w:val="18"/>
                <w:szCs w:val="18"/>
                <w:highlight w:val="none"/>
                <w:lang w:val="id-ID"/>
                <w14:textFill>
                  <w14:solidFill>
                    <w14:schemeClr w14:val="tx1"/>
                  </w14:solidFill>
                </w14:textFill>
              </w:rPr>
            </w:pPr>
            <w:r>
              <w:rPr>
                <w:rFonts w:ascii="Arial" w:hAnsi="Arial" w:cs="Arial" w:eastAsiaTheme="minorHAnsi"/>
                <w:color w:val="000000" w:themeColor="text1"/>
                <w:sz w:val="18"/>
                <w:szCs w:val="18"/>
                <w:highlight w:val="none"/>
                <w:lang w:val="id-ID"/>
                <w14:textFill>
                  <w14:solidFill>
                    <w14:schemeClr w14:val="tx1"/>
                  </w14:solidFill>
                </w14:textFill>
              </w:rPr>
              <w:t>RCA</w:t>
            </w:r>
          </w:p>
          <w:p w14:paraId="6AAF0330">
            <w:pPr>
              <w:shd w:val="clear" w:color="auto" w:fill="FFFFFF" w:themeFill="background1"/>
              <w:adjustRightInd w:val="0"/>
              <w:spacing w:line="320" w:lineRule="atLeast"/>
              <w:ind w:left="60" w:right="60"/>
              <w:rPr>
                <w:rFonts w:ascii="Arial" w:hAnsi="Arial" w:cs="Arial" w:eastAsiaTheme="minorHAnsi"/>
                <w:color w:val="000000" w:themeColor="text1"/>
                <w:sz w:val="18"/>
                <w:szCs w:val="18"/>
                <w:highlight w:val="none"/>
                <w:lang w:val="id-ID"/>
                <w14:textFill>
                  <w14:solidFill>
                    <w14:schemeClr w14:val="tx1"/>
                  </w14:solidFill>
                </w14:textFill>
              </w:rPr>
            </w:pPr>
            <w:r>
              <w:rPr>
                <w:rFonts w:ascii="Arial" w:hAnsi="Arial" w:cs="Arial" w:eastAsiaTheme="minorHAnsi"/>
                <w:color w:val="000000" w:themeColor="text1"/>
                <w:sz w:val="18"/>
                <w:szCs w:val="18"/>
                <w:highlight w:val="none"/>
                <w:lang w:val="id-ID"/>
                <w14:textFill>
                  <w14:solidFill>
                    <w14:schemeClr w14:val="tx1"/>
                  </w14:solidFill>
                </w14:textFill>
              </w:rPr>
              <w:t>Valid N (listwise)</w:t>
            </w:r>
          </w:p>
        </w:tc>
        <w:tc>
          <w:tcPr>
            <w:tcW w:w="1249" w:type="dxa"/>
            <w:tcBorders>
              <w:top w:val="single" w:color="152935" w:sz="8" w:space="0"/>
              <w:left w:val="nil"/>
              <w:right w:val="single" w:color="E0E0E0" w:sz="8" w:space="0"/>
            </w:tcBorders>
            <w:shd w:val="clear" w:color="auto" w:fill="FFFFFF" w:themeFill="background1"/>
          </w:tcPr>
          <w:p w14:paraId="45D55CE7">
            <w:pPr>
              <w:widowControl/>
              <w:adjustRightInd w:val="0"/>
              <w:spacing w:line="320" w:lineRule="atLeast"/>
              <w:ind w:left="60" w:right="60"/>
              <w:jc w:val="right"/>
              <w:rPr>
                <w:rFonts w:ascii="Arial" w:hAnsi="Arial" w:cs="Arial" w:eastAsiaTheme="minorHAnsi"/>
                <w:color w:val="000000" w:themeColor="text1"/>
                <w:sz w:val="18"/>
                <w:szCs w:val="18"/>
                <w:highlight w:val="none"/>
                <w:lang w:val="id-ID"/>
                <w14:textFill>
                  <w14:solidFill>
                    <w14:schemeClr w14:val="tx1"/>
                  </w14:solidFill>
                </w14:textFill>
              </w:rPr>
            </w:pPr>
            <w:r>
              <w:rPr>
                <w:rFonts w:ascii="Arial" w:hAnsi="Arial" w:cs="Arial" w:eastAsiaTheme="minorHAnsi"/>
                <w:color w:val="000000" w:themeColor="text1"/>
                <w:sz w:val="18"/>
                <w:szCs w:val="18"/>
                <w:highlight w:val="none"/>
                <w:lang w:val="id-ID"/>
                <w14:textFill>
                  <w14:solidFill>
                    <w14:schemeClr w14:val="tx1"/>
                  </w14:solidFill>
                </w14:textFill>
              </w:rPr>
              <w:t>116</w:t>
            </w:r>
          </w:p>
          <w:p w14:paraId="7262D075">
            <w:pPr>
              <w:adjustRightInd w:val="0"/>
              <w:spacing w:line="320" w:lineRule="atLeast"/>
              <w:ind w:left="60" w:right="60"/>
              <w:jc w:val="right"/>
              <w:rPr>
                <w:rFonts w:ascii="Arial" w:hAnsi="Arial" w:cs="Arial" w:eastAsiaTheme="minorHAnsi"/>
                <w:color w:val="000000" w:themeColor="text1"/>
                <w:sz w:val="18"/>
                <w:szCs w:val="18"/>
                <w:highlight w:val="none"/>
                <w:lang w:val="id-ID"/>
                <w14:textFill>
                  <w14:solidFill>
                    <w14:schemeClr w14:val="tx1"/>
                  </w14:solidFill>
                </w14:textFill>
              </w:rPr>
            </w:pPr>
            <w:r>
              <w:rPr>
                <w:rFonts w:ascii="Arial" w:hAnsi="Arial" w:cs="Arial" w:eastAsiaTheme="minorHAnsi"/>
                <w:color w:val="000000" w:themeColor="text1"/>
                <w:sz w:val="18"/>
                <w:szCs w:val="18"/>
                <w:highlight w:val="none"/>
                <w:lang w:val="id-ID"/>
                <w14:textFill>
                  <w14:solidFill>
                    <w14:schemeClr w14:val="tx1"/>
                  </w14:solidFill>
                </w14:textFill>
              </w:rPr>
              <w:t>116</w:t>
            </w:r>
          </w:p>
        </w:tc>
        <w:tc>
          <w:tcPr>
            <w:tcW w:w="1249" w:type="dxa"/>
            <w:tcBorders>
              <w:top w:val="single" w:color="152935" w:sz="8" w:space="0"/>
              <w:left w:val="single" w:color="E0E0E0" w:sz="8" w:space="0"/>
              <w:right w:val="single" w:color="E0E0E0" w:sz="8" w:space="0"/>
            </w:tcBorders>
            <w:shd w:val="clear" w:color="auto" w:fill="FFFFFF" w:themeFill="background1"/>
          </w:tcPr>
          <w:p w14:paraId="0966113D">
            <w:pPr>
              <w:widowControl/>
              <w:adjustRightInd w:val="0"/>
              <w:spacing w:line="320" w:lineRule="atLeast"/>
              <w:ind w:left="60" w:right="60"/>
              <w:jc w:val="right"/>
              <w:rPr>
                <w:rFonts w:ascii="Arial" w:hAnsi="Arial" w:cs="Arial" w:eastAsiaTheme="minorHAnsi"/>
                <w:color w:val="000000" w:themeColor="text1"/>
                <w:sz w:val="18"/>
                <w:szCs w:val="18"/>
                <w:highlight w:val="none"/>
                <w:lang w:val="id-ID"/>
                <w14:textFill>
                  <w14:solidFill>
                    <w14:schemeClr w14:val="tx1"/>
                  </w14:solidFill>
                </w14:textFill>
              </w:rPr>
            </w:pPr>
            <w:r>
              <w:rPr>
                <w:rFonts w:ascii="Arial" w:hAnsi="Arial" w:cs="Arial" w:eastAsiaTheme="minorHAnsi"/>
                <w:color w:val="000000" w:themeColor="text1"/>
                <w:sz w:val="18"/>
                <w:szCs w:val="18"/>
                <w:highlight w:val="none"/>
                <w:lang w:val="id-ID"/>
                <w14:textFill>
                  <w14:solidFill>
                    <w14:schemeClr w14:val="tx1"/>
                  </w14:solidFill>
                </w14:textFill>
              </w:rPr>
              <w:t>14</w:t>
            </w:r>
          </w:p>
        </w:tc>
        <w:tc>
          <w:tcPr>
            <w:tcW w:w="1249" w:type="dxa"/>
            <w:tcBorders>
              <w:top w:val="single" w:color="152935" w:sz="8" w:space="0"/>
              <w:left w:val="single" w:color="E0E0E0" w:sz="8" w:space="0"/>
              <w:right w:val="single" w:color="E0E0E0" w:sz="8" w:space="0"/>
            </w:tcBorders>
            <w:shd w:val="clear" w:color="auto" w:fill="FFFFFF" w:themeFill="background1"/>
          </w:tcPr>
          <w:p w14:paraId="3DA6C05F">
            <w:pPr>
              <w:widowControl/>
              <w:adjustRightInd w:val="0"/>
              <w:spacing w:line="320" w:lineRule="atLeast"/>
              <w:ind w:left="60" w:right="60"/>
              <w:jc w:val="right"/>
              <w:rPr>
                <w:rFonts w:ascii="Arial" w:hAnsi="Arial" w:cs="Arial" w:eastAsiaTheme="minorHAnsi"/>
                <w:color w:val="000000" w:themeColor="text1"/>
                <w:sz w:val="18"/>
                <w:szCs w:val="18"/>
                <w:highlight w:val="none"/>
                <w:lang w:val="id-ID"/>
                <w14:textFill>
                  <w14:solidFill>
                    <w14:schemeClr w14:val="tx1"/>
                  </w14:solidFill>
                </w14:textFill>
              </w:rPr>
            </w:pPr>
            <w:r>
              <w:rPr>
                <w:rFonts w:ascii="Arial" w:hAnsi="Arial" w:cs="Arial" w:eastAsiaTheme="minorHAnsi"/>
                <w:color w:val="000000" w:themeColor="text1"/>
                <w:sz w:val="18"/>
                <w:szCs w:val="18"/>
                <w:highlight w:val="none"/>
                <w:lang w:val="id-ID"/>
                <w14:textFill>
                  <w14:solidFill>
                    <w14:schemeClr w14:val="tx1"/>
                  </w14:solidFill>
                </w14:textFill>
              </w:rPr>
              <w:t>82</w:t>
            </w:r>
          </w:p>
        </w:tc>
        <w:tc>
          <w:tcPr>
            <w:tcW w:w="1249" w:type="dxa"/>
            <w:tcBorders>
              <w:top w:val="single" w:color="152935" w:sz="8" w:space="0"/>
              <w:left w:val="single" w:color="E0E0E0" w:sz="8" w:space="0"/>
              <w:right w:val="single" w:color="E0E0E0" w:sz="8" w:space="0"/>
            </w:tcBorders>
            <w:shd w:val="clear" w:color="auto" w:fill="FFFFFF" w:themeFill="background1"/>
          </w:tcPr>
          <w:p w14:paraId="410106B9">
            <w:pPr>
              <w:widowControl/>
              <w:adjustRightInd w:val="0"/>
              <w:spacing w:line="320" w:lineRule="atLeast"/>
              <w:ind w:left="60" w:right="60"/>
              <w:jc w:val="right"/>
              <w:rPr>
                <w:rFonts w:ascii="Arial" w:hAnsi="Arial" w:cs="Arial" w:eastAsiaTheme="minorHAnsi"/>
                <w:color w:val="000000" w:themeColor="text1"/>
                <w:sz w:val="18"/>
                <w:szCs w:val="18"/>
                <w:highlight w:val="none"/>
                <w:lang w:val="id-ID"/>
                <w14:textFill>
                  <w14:solidFill>
                    <w14:schemeClr w14:val="tx1"/>
                  </w14:solidFill>
                </w14:textFill>
              </w:rPr>
            </w:pPr>
            <w:r>
              <w:rPr>
                <w:rFonts w:ascii="Arial" w:hAnsi="Arial" w:cs="Arial" w:eastAsiaTheme="minorHAnsi"/>
                <w:color w:val="000000" w:themeColor="text1"/>
                <w:sz w:val="18"/>
                <w:szCs w:val="18"/>
                <w:highlight w:val="none"/>
                <w:lang w:val="id-ID"/>
                <w14:textFill>
                  <w14:solidFill>
                    <w14:schemeClr w14:val="tx1"/>
                  </w14:solidFill>
                </w14:textFill>
              </w:rPr>
              <w:t>44.57</w:t>
            </w:r>
          </w:p>
        </w:tc>
        <w:tc>
          <w:tcPr>
            <w:tcW w:w="1320" w:type="dxa"/>
            <w:tcBorders>
              <w:top w:val="single" w:color="152935" w:sz="8" w:space="0"/>
              <w:left w:val="single" w:color="E0E0E0" w:sz="8" w:space="0"/>
              <w:right w:val="nil"/>
            </w:tcBorders>
            <w:shd w:val="clear" w:color="auto" w:fill="FFFFFF" w:themeFill="background1"/>
          </w:tcPr>
          <w:p w14:paraId="5346226A">
            <w:pPr>
              <w:widowControl/>
              <w:adjustRightInd w:val="0"/>
              <w:spacing w:line="320" w:lineRule="atLeast"/>
              <w:ind w:left="60" w:right="60"/>
              <w:jc w:val="right"/>
              <w:rPr>
                <w:rFonts w:ascii="Arial" w:hAnsi="Arial" w:cs="Arial" w:eastAsiaTheme="minorHAnsi"/>
                <w:color w:val="000000" w:themeColor="text1"/>
                <w:sz w:val="18"/>
                <w:szCs w:val="18"/>
                <w:highlight w:val="none"/>
                <w:lang w:val="id-ID"/>
                <w14:textFill>
                  <w14:solidFill>
                    <w14:schemeClr w14:val="tx1"/>
                  </w14:solidFill>
                </w14:textFill>
              </w:rPr>
            </w:pPr>
            <w:r>
              <w:rPr>
                <w:rFonts w:ascii="Arial" w:hAnsi="Arial" w:cs="Arial" w:eastAsiaTheme="minorHAnsi"/>
                <w:color w:val="000000" w:themeColor="text1"/>
                <w:sz w:val="18"/>
                <w:szCs w:val="18"/>
                <w:highlight w:val="none"/>
                <w:lang w:val="id-ID"/>
                <w14:textFill>
                  <w14:solidFill>
                    <w14:schemeClr w14:val="tx1"/>
                  </w14:solidFill>
                </w14:textFill>
              </w:rPr>
              <w:t>16.256</w:t>
            </w:r>
          </w:p>
        </w:tc>
      </w:tr>
    </w:tbl>
    <w:p w14:paraId="31975B96">
      <w:pPr>
        <w:jc w:val="both"/>
        <w:rPr>
          <w:color w:val="000000"/>
          <w:sz w:val="24"/>
          <w:szCs w:val="24"/>
          <w:lang w:val="id-ID"/>
        </w:rPr>
      </w:pPr>
    </w:p>
    <w:p w14:paraId="3B6E5306">
      <w:pPr>
        <w:jc w:val="both"/>
        <w:rPr>
          <w:color w:val="000000"/>
          <w:sz w:val="24"/>
          <w:szCs w:val="24"/>
          <w:lang w:val="id-ID"/>
        </w:rPr>
      </w:pPr>
    </w:p>
    <w:p w14:paraId="7C66E8EF">
      <w:pPr>
        <w:spacing w:line="360" w:lineRule="auto"/>
        <w:jc w:val="both"/>
        <w:rPr>
          <w:color w:val="000000"/>
          <w:sz w:val="24"/>
          <w:szCs w:val="24"/>
          <w:lang w:val="id-ID"/>
        </w:rPr>
      </w:pPr>
      <w:r>
        <w:rPr>
          <w:sz w:val="24"/>
          <w:szCs w:val="24"/>
          <w:lang w:val="id-ID"/>
        </w:rPr>
        <w:t xml:space="preserve">In this research, a pre-existing reading test consisting of 50 questions was utilized to measure reading achievement. In the descriptive statistical </w:t>
      </w:r>
      <w:r>
        <w:rPr>
          <w:rFonts w:hint="default"/>
          <w:sz w:val="24"/>
          <w:szCs w:val="24"/>
          <w:lang w:val="en-US"/>
        </w:rPr>
        <w:t>a</w:t>
      </w:r>
      <w:r>
        <w:rPr>
          <w:sz w:val="24"/>
          <w:szCs w:val="24"/>
          <w:lang w:val="id-ID"/>
        </w:rPr>
        <w:t>nalysis of the participants' reading comprehension test, it was revealed that the highest score attained was 82, while the lowest score was 14. Scores ranged from 0 to 100, with a mean score of 44.57 and a standard deviation of 16.256 among participants.</w:t>
      </w:r>
    </w:p>
    <w:p w14:paraId="6F575167">
      <w:pPr>
        <w:jc w:val="both"/>
        <w:rPr>
          <w:color w:val="000000"/>
          <w:sz w:val="24"/>
          <w:szCs w:val="24"/>
          <w:lang w:val="id-ID"/>
        </w:rPr>
      </w:pPr>
    </w:p>
    <w:p w14:paraId="534CBF77">
      <w:pPr>
        <w:jc w:val="both"/>
        <w:rPr>
          <w:b/>
          <w:color w:val="000000"/>
          <w:sz w:val="24"/>
          <w:szCs w:val="24"/>
          <w:lang w:val="id-ID"/>
        </w:rPr>
      </w:pPr>
      <w:r>
        <w:rPr>
          <w:rFonts w:hint="default"/>
          <w:b/>
          <w:bCs/>
          <w:color w:val="000000"/>
          <w:sz w:val="24"/>
          <w:szCs w:val="24"/>
          <w:lang w:val="en-US"/>
        </w:rPr>
        <w:t>3.</w:t>
      </w:r>
      <w:r>
        <w:rPr>
          <w:rFonts w:hint="default"/>
          <w:color w:val="000000"/>
          <w:sz w:val="24"/>
          <w:szCs w:val="24"/>
          <w:lang w:val="en-US"/>
        </w:rPr>
        <w:t xml:space="preserve"> </w:t>
      </w:r>
      <w:r>
        <w:rPr>
          <w:color w:val="000000"/>
          <w:sz w:val="24"/>
          <w:szCs w:val="24"/>
          <w:lang w:val="id-ID"/>
        </w:rPr>
        <w:t xml:space="preserve"> </w:t>
      </w:r>
      <w:r>
        <w:rPr>
          <w:b/>
          <w:color w:val="000000"/>
          <w:sz w:val="24"/>
          <w:szCs w:val="24"/>
          <w:lang w:val="id-ID"/>
        </w:rPr>
        <w:t>Correlation between Students’ Self-esteem and Their Reading Comprehension Achievement</w:t>
      </w:r>
    </w:p>
    <w:p w14:paraId="49DCF3DB">
      <w:pPr>
        <w:spacing w:line="360" w:lineRule="auto"/>
        <w:ind w:firstLine="720"/>
        <w:jc w:val="both"/>
        <w:rPr>
          <w:color w:val="000000"/>
          <w:sz w:val="24"/>
          <w:szCs w:val="24"/>
          <w:lang w:val="id-ID"/>
        </w:rPr>
      </w:pPr>
      <w:r>
        <w:rPr>
          <w:color w:val="000000"/>
          <w:sz w:val="24"/>
          <w:szCs w:val="24"/>
        </w:rPr>
        <w:t>The examination of</w:t>
      </w:r>
      <w:commentRangeStart w:id="20"/>
      <w:r>
        <w:rPr>
          <w:color w:val="000000"/>
          <w:sz w:val="24"/>
          <w:szCs w:val="24"/>
          <w:lang w:val="id-ID"/>
        </w:rPr>
        <w:t xml:space="preserve"> students' self-esteem and reading comprehension achievement</w:t>
      </w:r>
      <w:r>
        <w:rPr>
          <w:color w:val="000000"/>
          <w:sz w:val="24"/>
          <w:szCs w:val="24"/>
        </w:rPr>
        <w:t xml:space="preserve"> revealed that the dataset did not meet the assumption of normality, as indicated by a significance value exceeding 0.05. As a result, the researcher applied non-parametric statistical techniques to conduct a more sutable analysis</w:t>
      </w:r>
      <w:r>
        <w:rPr>
          <w:color w:val="000000"/>
          <w:sz w:val="24"/>
          <w:szCs w:val="24"/>
          <w:lang w:val="id-ID"/>
        </w:rPr>
        <w:t>.</w:t>
      </w:r>
      <w:r>
        <w:rPr>
          <w:color w:val="000000"/>
          <w:sz w:val="24"/>
          <w:szCs w:val="24"/>
        </w:rPr>
        <w:tab/>
      </w:r>
      <w:r>
        <w:rPr>
          <w:color w:val="000000"/>
          <w:sz w:val="24"/>
          <w:szCs w:val="24"/>
          <w:lang w:val="id-ID"/>
        </w:rPr>
        <w:br w:type="textWrapping"/>
      </w:r>
      <w:commentRangeEnd w:id="20"/>
      <w:r>
        <w:rPr>
          <w:rStyle w:val="5"/>
        </w:rPr>
        <w:commentReference w:id="20"/>
      </w:r>
      <w:r>
        <w:rPr>
          <w:color w:val="000000"/>
          <w:sz w:val="24"/>
          <w:szCs w:val="24"/>
          <w:lang w:val="id-ID"/>
        </w:rPr>
        <w:br w:type="textWrapping"/>
      </w:r>
    </w:p>
    <w:p w14:paraId="53C5EDC1">
      <w:pPr>
        <w:spacing w:line="360" w:lineRule="auto"/>
        <w:ind w:firstLine="720"/>
        <w:jc w:val="both"/>
        <w:rPr>
          <w:color w:val="000000"/>
          <w:sz w:val="24"/>
          <w:szCs w:val="24"/>
          <w:lang w:val="id-ID"/>
        </w:rPr>
      </w:pPr>
    </w:p>
    <w:p w14:paraId="6B8D4387">
      <w:pPr>
        <w:spacing w:line="360" w:lineRule="auto"/>
        <w:ind w:firstLine="720"/>
        <w:jc w:val="both"/>
        <w:rPr>
          <w:color w:val="000000"/>
          <w:sz w:val="24"/>
          <w:szCs w:val="24"/>
          <w:lang w:val="id-ID"/>
        </w:rPr>
      </w:pPr>
    </w:p>
    <w:p w14:paraId="58A9671B">
      <w:pPr>
        <w:jc w:val="both"/>
        <w:rPr>
          <w:rFonts w:hint="default"/>
          <w:color w:val="000000"/>
          <w:sz w:val="24"/>
          <w:szCs w:val="24"/>
          <w:lang w:val="en-US"/>
        </w:rPr>
      </w:pPr>
      <w:r>
        <w:rPr>
          <w:i/>
          <w:iCs/>
          <w:color w:val="000000"/>
          <w:sz w:val="24"/>
          <w:szCs w:val="24"/>
          <w:lang w:val="id-ID"/>
        </w:rPr>
        <w:t>Table 5</w:t>
      </w:r>
      <w:r>
        <w:rPr>
          <w:color w:val="000000"/>
          <w:sz w:val="24"/>
          <w:szCs w:val="24"/>
          <w:lang w:val="id-ID"/>
        </w:rPr>
        <w:t xml:space="preserve">. Correlation </w:t>
      </w:r>
      <w:r>
        <w:rPr>
          <w:rFonts w:hint="default"/>
          <w:color w:val="000000"/>
          <w:sz w:val="24"/>
          <w:szCs w:val="24"/>
          <w:lang w:val="en-US"/>
        </w:rPr>
        <w:t>Analysis Result</w:t>
      </w:r>
    </w:p>
    <w:p w14:paraId="5F625089">
      <w:pPr>
        <w:ind w:firstLine="720"/>
        <w:jc w:val="both"/>
        <w:rPr>
          <w:color w:val="000000"/>
          <w:sz w:val="24"/>
          <w:szCs w:val="24"/>
          <w:lang w:val="id-ID"/>
        </w:rPr>
      </w:pPr>
    </w:p>
    <w:tbl>
      <w:tblPr>
        <w:tblStyle w:val="13"/>
        <w:tblStyleRowBandSize w:val="1"/>
        <w:tblStyleColBandSize w:val="1"/>
        <w:tblW w:w="7340" w:type="dxa"/>
        <w:tblInd w:w="0" w:type="dxa"/>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shd w:val="clear"/>
        <w:tblLayout w:type="fixed"/>
        <w:tblCellMar>
          <w:top w:w="0" w:type="dxa"/>
          <w:left w:w="108" w:type="dxa"/>
          <w:bottom w:w="0" w:type="dxa"/>
          <w:right w:w="108" w:type="dxa"/>
        </w:tblCellMar>
      </w:tblPr>
      <w:tblGrid>
        <w:gridCol w:w="1477"/>
        <w:gridCol w:w="1338"/>
        <w:gridCol w:w="1804"/>
        <w:gridCol w:w="1485"/>
        <w:gridCol w:w="1236"/>
      </w:tblGrid>
      <w:tr w14:paraId="54D78A10">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shd w:val="clear"/>
          <w:tblCellMar>
            <w:top w:w="0" w:type="dxa"/>
            <w:left w:w="108" w:type="dxa"/>
            <w:bottom w:w="0" w:type="dxa"/>
            <w:right w:w="108" w:type="dxa"/>
          </w:tblCellMar>
        </w:tblPrEx>
        <w:trPr>
          <w:trHeight w:val="263" w:hRule="atLeast"/>
        </w:trPr>
        <w:tc>
          <w:tcPr>
            <w:tcW w:w="7340" w:type="dxa"/>
            <w:gridSpan w:val="5"/>
            <w:tcBorders>
              <w:top w:val="single" w:color="000000" w:sz="8" w:space="0"/>
              <w:left w:val="nil"/>
              <w:bottom w:val="single" w:color="000000" w:sz="8" w:space="0"/>
              <w:right w:val="nil"/>
            </w:tcBorders>
            <w:shd w:val="clear"/>
            <w:vAlign w:val="top"/>
          </w:tcPr>
          <w:p w14:paraId="2C0C7F1A">
            <w:pPr>
              <w:keepNext w:val="0"/>
              <w:keepLines w:val="0"/>
              <w:widowControl/>
              <w:suppressLineNumbers w:val="0"/>
              <w:autoSpaceDE w:val="0"/>
              <w:autoSpaceDN w:val="0"/>
              <w:adjustRightInd w:val="0"/>
              <w:spacing w:before="0" w:beforeAutospacing="0" w:after="0" w:afterAutospacing="0" w:line="320" w:lineRule="atLeast"/>
              <w:ind w:left="60" w:right="60"/>
              <w:jc w:val="center"/>
              <w:rPr>
                <w:rFonts w:eastAsia="Calibri"/>
                <w:b/>
                <w:bCs/>
                <w:color w:val="000000" w:themeColor="text1"/>
                <w:kern w:val="2"/>
                <w:bdr w:val="none" w:color="auto" w:sz="0" w:space="0"/>
                <w:lang w:val="en-US"/>
                <w14:textFill>
                  <w14:solidFill>
                    <w14:schemeClr w14:val="tx1"/>
                  </w14:solidFill>
                </w14:textFill>
              </w:rPr>
            </w:pPr>
            <w:r>
              <w:rPr>
                <w:rFonts w:hint="default" w:ascii="Times New Roman" w:hAnsi="Times New Roman" w:eastAsia="Calibri" w:cs="Times New Roman"/>
                <w:color w:val="000000" w:themeColor="text1"/>
                <w:kern w:val="2"/>
                <w:sz w:val="22"/>
                <w:szCs w:val="22"/>
                <w:bdr w:val="none" w:color="auto" w:sz="0" w:space="0"/>
                <w:lang w:val="en-US" w:eastAsia="zh-CN" w:bidi="ar"/>
                <w14:textFill>
                  <w14:solidFill>
                    <w14:schemeClr w14:val="tx1"/>
                  </w14:solidFill>
                </w14:textFill>
              </w:rPr>
              <w:t>Correlations</w:t>
            </w:r>
          </w:p>
        </w:tc>
      </w:tr>
      <w:tr w14:paraId="1925A15F">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shd w:val="clear"/>
          <w:tblCellMar>
            <w:top w:w="0" w:type="dxa"/>
            <w:left w:w="108" w:type="dxa"/>
            <w:bottom w:w="0" w:type="dxa"/>
            <w:right w:w="108" w:type="dxa"/>
          </w:tblCellMar>
        </w:tblPrEx>
        <w:trPr>
          <w:trHeight w:val="509" w:hRule="atLeast"/>
        </w:trPr>
        <w:tc>
          <w:tcPr>
            <w:tcW w:w="4619" w:type="dxa"/>
            <w:gridSpan w:val="3"/>
            <w:tcBorders>
              <w:top w:val="nil"/>
              <w:left w:val="nil"/>
              <w:bottom w:val="nil"/>
              <w:right w:val="nil"/>
            </w:tcBorders>
            <w:shd w:val="clear"/>
            <w:vAlign w:val="top"/>
          </w:tcPr>
          <w:p w14:paraId="712509E2">
            <w:pPr>
              <w:keepNext w:val="0"/>
              <w:keepLines w:val="0"/>
              <w:widowControl/>
              <w:suppressLineNumbers w:val="0"/>
              <w:autoSpaceDE w:val="0"/>
              <w:autoSpaceDN w:val="0"/>
              <w:adjustRightInd w:val="0"/>
              <w:spacing w:before="0" w:beforeAutospacing="0" w:after="0" w:afterAutospacing="0"/>
              <w:ind w:left="0" w:right="0"/>
              <w:jc w:val="left"/>
              <w:rPr>
                <w:rFonts w:eastAsia="Calibri"/>
                <w:color w:val="000000" w:themeColor="text1"/>
                <w:kern w:val="2"/>
                <w:sz w:val="24"/>
                <w:szCs w:val="24"/>
                <w:bdr w:val="none" w:color="auto" w:sz="0" w:space="0"/>
                <w:lang w:val="en-US"/>
                <w14:textFill>
                  <w14:solidFill>
                    <w14:schemeClr w14:val="tx1"/>
                  </w14:solidFill>
                </w14:textFill>
              </w:rPr>
            </w:pPr>
          </w:p>
        </w:tc>
        <w:tc>
          <w:tcPr>
            <w:tcW w:w="1485" w:type="dxa"/>
            <w:tcBorders>
              <w:top w:val="nil"/>
              <w:left w:val="nil"/>
              <w:bottom w:val="nil"/>
              <w:right w:val="nil"/>
            </w:tcBorders>
            <w:shd w:val="clear"/>
            <w:vAlign w:val="top"/>
          </w:tcPr>
          <w:p w14:paraId="433C7951">
            <w:pPr>
              <w:keepNext w:val="0"/>
              <w:keepLines w:val="0"/>
              <w:widowControl/>
              <w:suppressLineNumbers w:val="0"/>
              <w:autoSpaceDE w:val="0"/>
              <w:autoSpaceDN w:val="0"/>
              <w:adjustRightInd w:val="0"/>
              <w:spacing w:before="0" w:beforeAutospacing="0" w:after="0" w:afterAutospacing="0" w:line="320" w:lineRule="atLeast"/>
              <w:ind w:left="60" w:right="60"/>
              <w:jc w:val="center"/>
              <w:rPr>
                <w:rFonts w:hint="default" w:ascii="Arial" w:hAnsi="Arial" w:eastAsia="Calibri" w:cs="Arial"/>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color w:val="000000" w:themeColor="text1"/>
                <w:kern w:val="2"/>
                <w:sz w:val="18"/>
                <w:szCs w:val="18"/>
                <w:bdr w:val="none" w:color="auto" w:sz="0" w:space="0"/>
                <w:lang w:val="en-US" w:eastAsia="zh-CN" w:bidi="ar"/>
                <w14:textFill>
                  <w14:solidFill>
                    <w14:schemeClr w14:val="tx1"/>
                  </w14:solidFill>
                </w14:textFill>
              </w:rPr>
              <w:t>Questionnaire</w:t>
            </w:r>
          </w:p>
        </w:tc>
        <w:tc>
          <w:tcPr>
            <w:tcW w:w="1236" w:type="dxa"/>
            <w:tcBorders>
              <w:top w:val="nil"/>
              <w:left w:val="nil"/>
              <w:bottom w:val="nil"/>
              <w:right w:val="nil"/>
            </w:tcBorders>
            <w:shd w:val="clear"/>
            <w:vAlign w:val="top"/>
          </w:tcPr>
          <w:p w14:paraId="6183BB1A">
            <w:pPr>
              <w:keepNext w:val="0"/>
              <w:keepLines w:val="0"/>
              <w:widowControl/>
              <w:suppressLineNumbers w:val="0"/>
              <w:autoSpaceDE w:val="0"/>
              <w:autoSpaceDN w:val="0"/>
              <w:adjustRightInd w:val="0"/>
              <w:spacing w:before="0" w:beforeAutospacing="0" w:after="0" w:afterAutospacing="0" w:line="320" w:lineRule="atLeast"/>
              <w:ind w:left="60" w:right="60"/>
              <w:jc w:val="center"/>
              <w:rPr>
                <w:rFonts w:hint="default" w:ascii="Arial" w:hAnsi="Arial" w:eastAsia="Calibri" w:cs="Arial"/>
                <w:b/>
                <w:bCs/>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b/>
                <w:bCs/>
                <w:color w:val="000000" w:themeColor="text1"/>
                <w:kern w:val="2"/>
                <w:sz w:val="18"/>
                <w:szCs w:val="18"/>
                <w:bdr w:val="none" w:color="auto" w:sz="0" w:space="0"/>
                <w:lang w:val="en-US" w:eastAsia="zh-CN" w:bidi="ar"/>
                <w14:textFill>
                  <w14:solidFill>
                    <w14:schemeClr w14:val="tx1"/>
                  </w14:solidFill>
                </w14:textFill>
              </w:rPr>
              <w:t>RCA</w:t>
            </w:r>
          </w:p>
        </w:tc>
      </w:tr>
      <w:tr w14:paraId="3F3357A1">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shd w:val="clear"/>
          <w:tblCellMar>
            <w:top w:w="0" w:type="dxa"/>
            <w:left w:w="108" w:type="dxa"/>
            <w:bottom w:w="0" w:type="dxa"/>
            <w:right w:w="108" w:type="dxa"/>
          </w:tblCellMar>
        </w:tblPrEx>
        <w:trPr>
          <w:trHeight w:val="494" w:hRule="atLeast"/>
        </w:trPr>
        <w:tc>
          <w:tcPr>
            <w:tcW w:w="1477" w:type="dxa"/>
            <w:vMerge w:val="restart"/>
            <w:tcBorders>
              <w:top w:val="nil"/>
              <w:left w:val="nil"/>
              <w:bottom w:val="single" w:color="000000" w:sz="8" w:space="0"/>
              <w:right w:val="nil"/>
            </w:tcBorders>
            <w:shd w:val="clear"/>
            <w:vAlign w:val="top"/>
          </w:tcPr>
          <w:p w14:paraId="6B11272F">
            <w:pPr>
              <w:keepNext w:val="0"/>
              <w:keepLines w:val="0"/>
              <w:widowControl/>
              <w:suppressLineNumbers w:val="0"/>
              <w:autoSpaceDE w:val="0"/>
              <w:autoSpaceDN w:val="0"/>
              <w:adjustRightInd w:val="0"/>
              <w:spacing w:before="0" w:beforeAutospacing="0" w:after="0" w:afterAutospacing="0" w:line="320" w:lineRule="atLeast"/>
              <w:ind w:left="60" w:right="60"/>
              <w:jc w:val="left"/>
              <w:rPr>
                <w:rFonts w:hint="default" w:ascii="Arial" w:hAnsi="Arial" w:eastAsia="Calibri" w:cs="Arial"/>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color w:val="000000" w:themeColor="text1"/>
                <w:kern w:val="2"/>
                <w:sz w:val="18"/>
                <w:szCs w:val="18"/>
                <w:bdr w:val="none" w:color="auto" w:sz="0" w:space="0"/>
                <w:lang w:val="en-US" w:eastAsia="zh-CN" w:bidi="ar"/>
                <w14:textFill>
                  <w14:solidFill>
                    <w14:schemeClr w14:val="tx1"/>
                  </w14:solidFill>
                </w14:textFill>
              </w:rPr>
              <w:t>Spearman's rho</w:t>
            </w:r>
          </w:p>
        </w:tc>
        <w:tc>
          <w:tcPr>
            <w:tcW w:w="1338" w:type="dxa"/>
            <w:vMerge w:val="restart"/>
            <w:tcBorders>
              <w:top w:val="nil"/>
              <w:left w:val="nil"/>
              <w:bottom w:val="nil"/>
              <w:right w:val="nil"/>
            </w:tcBorders>
            <w:shd w:val="clear"/>
            <w:vAlign w:val="top"/>
          </w:tcPr>
          <w:p w14:paraId="3FBAB787">
            <w:pPr>
              <w:keepNext w:val="0"/>
              <w:keepLines w:val="0"/>
              <w:widowControl/>
              <w:suppressLineNumbers w:val="0"/>
              <w:autoSpaceDE w:val="0"/>
              <w:autoSpaceDN w:val="0"/>
              <w:adjustRightInd w:val="0"/>
              <w:spacing w:before="0" w:beforeAutospacing="0" w:after="0" w:afterAutospacing="0" w:line="320" w:lineRule="atLeast"/>
              <w:ind w:left="60" w:right="60"/>
              <w:jc w:val="left"/>
              <w:rPr>
                <w:rFonts w:hint="default" w:ascii="Arial" w:hAnsi="Arial" w:eastAsia="Calibri" w:cs="Arial"/>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color w:val="000000" w:themeColor="text1"/>
                <w:kern w:val="2"/>
                <w:sz w:val="18"/>
                <w:szCs w:val="18"/>
                <w:bdr w:val="none" w:color="auto" w:sz="0" w:space="0"/>
                <w:lang w:val="en-US" w:eastAsia="zh-CN" w:bidi="ar"/>
                <w14:textFill>
                  <w14:solidFill>
                    <w14:schemeClr w14:val="tx1"/>
                  </w14:solidFill>
                </w14:textFill>
              </w:rPr>
              <w:t>Questionnaire</w:t>
            </w:r>
          </w:p>
        </w:tc>
        <w:tc>
          <w:tcPr>
            <w:tcW w:w="1804" w:type="dxa"/>
            <w:tcBorders>
              <w:top w:val="nil"/>
              <w:left w:val="nil"/>
              <w:bottom w:val="nil"/>
              <w:right w:val="nil"/>
            </w:tcBorders>
            <w:shd w:val="clear"/>
            <w:vAlign w:val="top"/>
          </w:tcPr>
          <w:p w14:paraId="07CF6523">
            <w:pPr>
              <w:keepNext w:val="0"/>
              <w:keepLines w:val="0"/>
              <w:widowControl/>
              <w:suppressLineNumbers w:val="0"/>
              <w:autoSpaceDE w:val="0"/>
              <w:autoSpaceDN w:val="0"/>
              <w:adjustRightInd w:val="0"/>
              <w:spacing w:before="0" w:beforeAutospacing="0" w:after="0" w:afterAutospacing="0" w:line="320" w:lineRule="atLeast"/>
              <w:ind w:left="60" w:right="60"/>
              <w:jc w:val="left"/>
              <w:rPr>
                <w:rFonts w:hint="default" w:ascii="Arial" w:hAnsi="Arial" w:eastAsia="Calibri" w:cs="Arial"/>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color w:val="000000" w:themeColor="text1"/>
                <w:kern w:val="2"/>
                <w:sz w:val="18"/>
                <w:szCs w:val="18"/>
                <w:bdr w:val="none" w:color="auto" w:sz="0" w:space="0"/>
                <w:lang w:val="en-US" w:eastAsia="zh-CN" w:bidi="ar"/>
                <w14:textFill>
                  <w14:solidFill>
                    <w14:schemeClr w14:val="tx1"/>
                  </w14:solidFill>
                </w14:textFill>
              </w:rPr>
              <w:t>Correlation Coefficient</w:t>
            </w:r>
          </w:p>
        </w:tc>
        <w:tc>
          <w:tcPr>
            <w:tcW w:w="1485" w:type="dxa"/>
            <w:tcBorders>
              <w:top w:val="nil"/>
              <w:left w:val="nil"/>
              <w:bottom w:val="nil"/>
              <w:right w:val="nil"/>
            </w:tcBorders>
            <w:shd w:val="clear"/>
            <w:vAlign w:val="top"/>
          </w:tcPr>
          <w:p w14:paraId="3AB91CB4">
            <w:pPr>
              <w:keepNext w:val="0"/>
              <w:keepLines w:val="0"/>
              <w:widowControl/>
              <w:suppressLineNumbers w:val="0"/>
              <w:autoSpaceDE w:val="0"/>
              <w:autoSpaceDN w:val="0"/>
              <w:adjustRightInd w:val="0"/>
              <w:spacing w:before="0" w:beforeAutospacing="0" w:after="0" w:afterAutospacing="0" w:line="320" w:lineRule="atLeast"/>
              <w:ind w:left="60" w:right="60"/>
              <w:jc w:val="right"/>
              <w:rPr>
                <w:rFonts w:hint="default" w:ascii="Arial" w:hAnsi="Arial" w:eastAsia="Calibri" w:cs="Arial"/>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color w:val="000000" w:themeColor="text1"/>
                <w:kern w:val="2"/>
                <w:sz w:val="18"/>
                <w:szCs w:val="18"/>
                <w:bdr w:val="none" w:color="auto" w:sz="0" w:space="0"/>
                <w:lang w:val="en-US" w:eastAsia="zh-CN" w:bidi="ar"/>
                <w14:textFill>
                  <w14:solidFill>
                    <w14:schemeClr w14:val="tx1"/>
                  </w14:solidFill>
                </w14:textFill>
              </w:rPr>
              <w:t>1.000</w:t>
            </w:r>
          </w:p>
        </w:tc>
        <w:tc>
          <w:tcPr>
            <w:tcW w:w="1236" w:type="dxa"/>
            <w:tcBorders>
              <w:top w:val="nil"/>
              <w:left w:val="nil"/>
              <w:bottom w:val="nil"/>
              <w:right w:val="nil"/>
            </w:tcBorders>
            <w:shd w:val="clear"/>
            <w:vAlign w:val="top"/>
          </w:tcPr>
          <w:p w14:paraId="5930786C">
            <w:pPr>
              <w:keepNext w:val="0"/>
              <w:keepLines w:val="0"/>
              <w:widowControl/>
              <w:suppressLineNumbers w:val="0"/>
              <w:autoSpaceDE w:val="0"/>
              <w:autoSpaceDN w:val="0"/>
              <w:adjustRightInd w:val="0"/>
              <w:spacing w:before="0" w:beforeAutospacing="0" w:after="0" w:afterAutospacing="0" w:line="320" w:lineRule="atLeast"/>
              <w:ind w:left="60" w:right="60"/>
              <w:jc w:val="right"/>
              <w:rPr>
                <w:rFonts w:hint="default" w:ascii="Arial" w:hAnsi="Arial" w:eastAsia="Calibri" w:cs="Arial"/>
                <w:b/>
                <w:bCs/>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b/>
                <w:bCs/>
                <w:color w:val="000000" w:themeColor="text1"/>
                <w:kern w:val="2"/>
                <w:sz w:val="18"/>
                <w:szCs w:val="18"/>
                <w:bdr w:val="none" w:color="auto" w:sz="0" w:space="0"/>
                <w:lang w:val="en-US" w:eastAsia="zh-CN" w:bidi="ar"/>
                <w14:textFill>
                  <w14:solidFill>
                    <w14:schemeClr w14:val="tx1"/>
                  </w14:solidFill>
                </w14:textFill>
              </w:rPr>
              <w:t>.125</w:t>
            </w:r>
          </w:p>
        </w:tc>
      </w:tr>
      <w:tr w14:paraId="12498C81">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shd w:val="clear"/>
          <w:tblCellMar>
            <w:top w:w="0" w:type="dxa"/>
            <w:left w:w="108" w:type="dxa"/>
            <w:bottom w:w="0" w:type="dxa"/>
            <w:right w:w="108" w:type="dxa"/>
          </w:tblCellMar>
        </w:tblPrEx>
        <w:trPr>
          <w:trHeight w:val="263" w:hRule="atLeast"/>
        </w:trPr>
        <w:tc>
          <w:tcPr>
            <w:tcW w:w="1477" w:type="dxa"/>
            <w:vMerge w:val="continue"/>
            <w:tcBorders>
              <w:top w:val="nil"/>
              <w:left w:val="nil"/>
              <w:bottom w:val="single" w:color="000000" w:sz="8" w:space="0"/>
              <w:right w:val="nil"/>
            </w:tcBorders>
            <w:shd w:val="clear"/>
            <w:vAlign w:val="top"/>
          </w:tcPr>
          <w:p w14:paraId="4725183D">
            <w:pPr>
              <w:rPr>
                <w:rFonts w:hint="eastAsia" w:ascii="Calibri" w:hAnsi="Calibri" w:cs="Times New Roman"/>
                <w:color w:val="000000" w:themeColor="text1"/>
                <w:kern w:val="2"/>
                <w:sz w:val="22"/>
                <w:szCs w:val="22"/>
                <w:lang w:eastAsia="en-US"/>
                <w14:textFill>
                  <w14:solidFill>
                    <w14:schemeClr w14:val="tx1"/>
                  </w14:solidFill>
                </w14:textFill>
              </w:rPr>
            </w:pPr>
          </w:p>
        </w:tc>
        <w:tc>
          <w:tcPr>
            <w:tcW w:w="1338" w:type="dxa"/>
            <w:vMerge w:val="continue"/>
            <w:tcBorders>
              <w:top w:val="nil"/>
              <w:left w:val="nil"/>
              <w:bottom w:val="nil"/>
              <w:right w:val="nil"/>
            </w:tcBorders>
            <w:shd w:val="clear"/>
            <w:vAlign w:val="top"/>
          </w:tcPr>
          <w:p w14:paraId="3271A925">
            <w:pPr>
              <w:rPr>
                <w:rFonts w:hint="eastAsia" w:ascii="Calibri" w:hAnsi="Calibri" w:cs="Times New Roman"/>
                <w:color w:val="000000" w:themeColor="text1"/>
                <w:kern w:val="2"/>
                <w:sz w:val="22"/>
                <w:szCs w:val="22"/>
                <w:lang w:eastAsia="en-US"/>
                <w14:textFill>
                  <w14:solidFill>
                    <w14:schemeClr w14:val="tx1"/>
                  </w14:solidFill>
                </w14:textFill>
              </w:rPr>
            </w:pPr>
          </w:p>
        </w:tc>
        <w:tc>
          <w:tcPr>
            <w:tcW w:w="1804" w:type="dxa"/>
            <w:tcBorders>
              <w:top w:val="nil"/>
              <w:left w:val="nil"/>
              <w:bottom w:val="nil"/>
              <w:right w:val="nil"/>
            </w:tcBorders>
            <w:shd w:val="clear"/>
            <w:vAlign w:val="top"/>
          </w:tcPr>
          <w:p w14:paraId="6DE264FA">
            <w:pPr>
              <w:keepNext w:val="0"/>
              <w:keepLines w:val="0"/>
              <w:widowControl/>
              <w:suppressLineNumbers w:val="0"/>
              <w:autoSpaceDE w:val="0"/>
              <w:autoSpaceDN w:val="0"/>
              <w:adjustRightInd w:val="0"/>
              <w:spacing w:before="0" w:beforeAutospacing="0" w:after="0" w:afterAutospacing="0" w:line="320" w:lineRule="atLeast"/>
              <w:ind w:left="60" w:right="60"/>
              <w:jc w:val="left"/>
              <w:rPr>
                <w:rFonts w:hint="default" w:ascii="Arial" w:hAnsi="Arial" w:eastAsia="Calibri" w:cs="Arial"/>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color w:val="000000" w:themeColor="text1"/>
                <w:kern w:val="2"/>
                <w:sz w:val="18"/>
                <w:szCs w:val="18"/>
                <w:bdr w:val="none" w:color="auto" w:sz="0" w:space="0"/>
                <w:lang w:val="en-US" w:eastAsia="zh-CN" w:bidi="ar"/>
                <w14:textFill>
                  <w14:solidFill>
                    <w14:schemeClr w14:val="tx1"/>
                  </w14:solidFill>
                </w14:textFill>
              </w:rPr>
              <w:t>Sig. (2-tailed)</w:t>
            </w:r>
          </w:p>
        </w:tc>
        <w:tc>
          <w:tcPr>
            <w:tcW w:w="1485" w:type="dxa"/>
            <w:tcBorders>
              <w:top w:val="nil"/>
              <w:left w:val="nil"/>
              <w:bottom w:val="nil"/>
              <w:right w:val="nil"/>
            </w:tcBorders>
            <w:shd w:val="clear"/>
            <w:vAlign w:val="top"/>
          </w:tcPr>
          <w:p w14:paraId="25A79FD1">
            <w:pPr>
              <w:keepNext w:val="0"/>
              <w:keepLines w:val="0"/>
              <w:widowControl/>
              <w:suppressLineNumbers w:val="0"/>
              <w:autoSpaceDE w:val="0"/>
              <w:autoSpaceDN w:val="0"/>
              <w:adjustRightInd w:val="0"/>
              <w:spacing w:before="0" w:beforeAutospacing="0" w:after="0" w:afterAutospacing="0" w:line="320" w:lineRule="atLeast"/>
              <w:ind w:left="60" w:right="60"/>
              <w:jc w:val="right"/>
              <w:rPr>
                <w:rFonts w:hint="default" w:ascii="Arial" w:hAnsi="Arial" w:eastAsia="Calibri" w:cs="Arial"/>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color w:val="000000" w:themeColor="text1"/>
                <w:kern w:val="2"/>
                <w:sz w:val="18"/>
                <w:szCs w:val="18"/>
                <w:bdr w:val="none" w:color="auto" w:sz="0" w:space="0"/>
                <w:lang w:val="en-US" w:eastAsia="zh-CN" w:bidi="ar"/>
                <w14:textFill>
                  <w14:solidFill>
                    <w14:schemeClr w14:val="tx1"/>
                  </w14:solidFill>
                </w14:textFill>
              </w:rPr>
              <w:t>.</w:t>
            </w:r>
          </w:p>
        </w:tc>
        <w:tc>
          <w:tcPr>
            <w:tcW w:w="1236" w:type="dxa"/>
            <w:tcBorders>
              <w:top w:val="nil"/>
              <w:left w:val="nil"/>
              <w:bottom w:val="nil"/>
              <w:right w:val="nil"/>
            </w:tcBorders>
            <w:shd w:val="clear"/>
            <w:vAlign w:val="top"/>
          </w:tcPr>
          <w:p w14:paraId="67FCA4C7">
            <w:pPr>
              <w:keepNext w:val="0"/>
              <w:keepLines w:val="0"/>
              <w:widowControl/>
              <w:suppressLineNumbers w:val="0"/>
              <w:autoSpaceDE w:val="0"/>
              <w:autoSpaceDN w:val="0"/>
              <w:adjustRightInd w:val="0"/>
              <w:spacing w:before="0" w:beforeAutospacing="0" w:after="0" w:afterAutospacing="0" w:line="320" w:lineRule="atLeast"/>
              <w:ind w:left="60" w:right="60"/>
              <w:jc w:val="right"/>
              <w:rPr>
                <w:rFonts w:hint="default" w:ascii="Arial" w:hAnsi="Arial" w:eastAsia="Calibri" w:cs="Arial"/>
                <w:b/>
                <w:bCs/>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b/>
                <w:bCs/>
                <w:color w:val="000000" w:themeColor="text1"/>
                <w:kern w:val="2"/>
                <w:sz w:val="18"/>
                <w:szCs w:val="18"/>
                <w:bdr w:val="none" w:color="auto" w:sz="0" w:space="0"/>
                <w:lang w:val="en-US" w:eastAsia="zh-CN" w:bidi="ar"/>
                <w14:textFill>
                  <w14:solidFill>
                    <w14:schemeClr w14:val="tx1"/>
                  </w14:solidFill>
                </w14:textFill>
              </w:rPr>
              <w:t>.181</w:t>
            </w:r>
          </w:p>
        </w:tc>
      </w:tr>
      <w:tr w14:paraId="7A0C81A2">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shd w:val="clear"/>
          <w:tblCellMar>
            <w:top w:w="0" w:type="dxa"/>
            <w:left w:w="108" w:type="dxa"/>
            <w:bottom w:w="0" w:type="dxa"/>
            <w:right w:w="108" w:type="dxa"/>
          </w:tblCellMar>
        </w:tblPrEx>
        <w:trPr>
          <w:trHeight w:val="263" w:hRule="atLeast"/>
        </w:trPr>
        <w:tc>
          <w:tcPr>
            <w:tcW w:w="1477" w:type="dxa"/>
            <w:vMerge w:val="continue"/>
            <w:tcBorders>
              <w:top w:val="nil"/>
              <w:left w:val="nil"/>
              <w:bottom w:val="single" w:color="000000" w:sz="8" w:space="0"/>
              <w:right w:val="nil"/>
            </w:tcBorders>
            <w:shd w:val="clear"/>
            <w:vAlign w:val="top"/>
          </w:tcPr>
          <w:p w14:paraId="6E3B9E65">
            <w:pPr>
              <w:rPr>
                <w:rFonts w:hint="eastAsia" w:ascii="Calibri" w:hAnsi="Calibri" w:cs="Times New Roman"/>
                <w:color w:val="000000" w:themeColor="text1"/>
                <w:kern w:val="2"/>
                <w:sz w:val="22"/>
                <w:szCs w:val="22"/>
                <w:lang w:eastAsia="en-US"/>
                <w14:textFill>
                  <w14:solidFill>
                    <w14:schemeClr w14:val="tx1"/>
                  </w14:solidFill>
                </w14:textFill>
              </w:rPr>
            </w:pPr>
          </w:p>
        </w:tc>
        <w:tc>
          <w:tcPr>
            <w:tcW w:w="1338" w:type="dxa"/>
            <w:vMerge w:val="continue"/>
            <w:tcBorders>
              <w:top w:val="nil"/>
              <w:left w:val="nil"/>
              <w:bottom w:val="nil"/>
              <w:right w:val="nil"/>
            </w:tcBorders>
            <w:shd w:val="clear"/>
            <w:vAlign w:val="top"/>
          </w:tcPr>
          <w:p w14:paraId="378CCCAA">
            <w:pPr>
              <w:rPr>
                <w:rFonts w:hint="eastAsia" w:ascii="Calibri" w:hAnsi="Calibri" w:cs="Times New Roman"/>
                <w:color w:val="000000" w:themeColor="text1"/>
                <w:kern w:val="2"/>
                <w:sz w:val="22"/>
                <w:szCs w:val="22"/>
                <w:lang w:eastAsia="en-US"/>
                <w14:textFill>
                  <w14:solidFill>
                    <w14:schemeClr w14:val="tx1"/>
                  </w14:solidFill>
                </w14:textFill>
              </w:rPr>
            </w:pPr>
          </w:p>
        </w:tc>
        <w:tc>
          <w:tcPr>
            <w:tcW w:w="1804" w:type="dxa"/>
            <w:tcBorders>
              <w:top w:val="nil"/>
              <w:left w:val="nil"/>
              <w:bottom w:val="nil"/>
              <w:right w:val="nil"/>
            </w:tcBorders>
            <w:shd w:val="clear"/>
            <w:vAlign w:val="top"/>
          </w:tcPr>
          <w:p w14:paraId="5B112434">
            <w:pPr>
              <w:keepNext w:val="0"/>
              <w:keepLines w:val="0"/>
              <w:widowControl/>
              <w:suppressLineNumbers w:val="0"/>
              <w:autoSpaceDE w:val="0"/>
              <w:autoSpaceDN w:val="0"/>
              <w:adjustRightInd w:val="0"/>
              <w:spacing w:before="0" w:beforeAutospacing="0" w:after="0" w:afterAutospacing="0" w:line="320" w:lineRule="atLeast"/>
              <w:ind w:left="60" w:right="60"/>
              <w:jc w:val="left"/>
              <w:rPr>
                <w:rFonts w:hint="default" w:ascii="Arial" w:hAnsi="Arial" w:eastAsia="Calibri" w:cs="Arial"/>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color w:val="000000" w:themeColor="text1"/>
                <w:kern w:val="2"/>
                <w:sz w:val="18"/>
                <w:szCs w:val="18"/>
                <w:bdr w:val="none" w:color="auto" w:sz="0" w:space="0"/>
                <w:lang w:val="en-US" w:eastAsia="zh-CN" w:bidi="ar"/>
                <w14:textFill>
                  <w14:solidFill>
                    <w14:schemeClr w14:val="tx1"/>
                  </w14:solidFill>
                </w14:textFill>
              </w:rPr>
              <w:t>N</w:t>
            </w:r>
          </w:p>
        </w:tc>
        <w:tc>
          <w:tcPr>
            <w:tcW w:w="1485" w:type="dxa"/>
            <w:tcBorders>
              <w:top w:val="nil"/>
              <w:left w:val="nil"/>
              <w:bottom w:val="nil"/>
              <w:right w:val="nil"/>
            </w:tcBorders>
            <w:shd w:val="clear"/>
            <w:vAlign w:val="top"/>
          </w:tcPr>
          <w:p w14:paraId="6DC27DB4">
            <w:pPr>
              <w:keepNext w:val="0"/>
              <w:keepLines w:val="0"/>
              <w:widowControl/>
              <w:suppressLineNumbers w:val="0"/>
              <w:autoSpaceDE w:val="0"/>
              <w:autoSpaceDN w:val="0"/>
              <w:adjustRightInd w:val="0"/>
              <w:spacing w:before="0" w:beforeAutospacing="0" w:after="0" w:afterAutospacing="0" w:line="320" w:lineRule="atLeast"/>
              <w:ind w:left="60" w:right="60"/>
              <w:jc w:val="right"/>
              <w:rPr>
                <w:rFonts w:hint="default" w:ascii="Arial" w:hAnsi="Arial" w:eastAsia="Calibri" w:cs="Arial"/>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color w:val="000000" w:themeColor="text1"/>
                <w:kern w:val="2"/>
                <w:sz w:val="18"/>
                <w:szCs w:val="18"/>
                <w:bdr w:val="none" w:color="auto" w:sz="0" w:space="0"/>
                <w:lang w:val="en-US" w:eastAsia="zh-CN" w:bidi="ar"/>
                <w14:textFill>
                  <w14:solidFill>
                    <w14:schemeClr w14:val="tx1"/>
                  </w14:solidFill>
                </w14:textFill>
              </w:rPr>
              <w:t>116</w:t>
            </w:r>
          </w:p>
        </w:tc>
        <w:tc>
          <w:tcPr>
            <w:tcW w:w="1236" w:type="dxa"/>
            <w:tcBorders>
              <w:top w:val="nil"/>
              <w:left w:val="nil"/>
              <w:bottom w:val="nil"/>
              <w:right w:val="nil"/>
            </w:tcBorders>
            <w:shd w:val="clear"/>
            <w:vAlign w:val="top"/>
          </w:tcPr>
          <w:p w14:paraId="1C47D942">
            <w:pPr>
              <w:keepNext w:val="0"/>
              <w:keepLines w:val="0"/>
              <w:widowControl/>
              <w:suppressLineNumbers w:val="0"/>
              <w:autoSpaceDE w:val="0"/>
              <w:autoSpaceDN w:val="0"/>
              <w:adjustRightInd w:val="0"/>
              <w:spacing w:before="0" w:beforeAutospacing="0" w:after="0" w:afterAutospacing="0" w:line="320" w:lineRule="atLeast"/>
              <w:ind w:left="60" w:right="60"/>
              <w:jc w:val="right"/>
              <w:rPr>
                <w:rFonts w:hint="default" w:ascii="Arial" w:hAnsi="Arial" w:eastAsia="Calibri" w:cs="Arial"/>
                <w:b/>
                <w:bCs/>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b/>
                <w:bCs/>
                <w:color w:val="000000" w:themeColor="text1"/>
                <w:kern w:val="2"/>
                <w:sz w:val="18"/>
                <w:szCs w:val="18"/>
                <w:bdr w:val="none" w:color="auto" w:sz="0" w:space="0"/>
                <w:lang w:val="en-US" w:eastAsia="zh-CN" w:bidi="ar"/>
                <w14:textFill>
                  <w14:solidFill>
                    <w14:schemeClr w14:val="tx1"/>
                  </w14:solidFill>
                </w14:textFill>
              </w:rPr>
              <w:t>116</w:t>
            </w:r>
          </w:p>
        </w:tc>
      </w:tr>
      <w:tr w14:paraId="6717093C">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shd w:val="clear"/>
          <w:tblCellMar>
            <w:top w:w="0" w:type="dxa"/>
            <w:left w:w="108" w:type="dxa"/>
            <w:bottom w:w="0" w:type="dxa"/>
            <w:right w:w="108" w:type="dxa"/>
          </w:tblCellMar>
        </w:tblPrEx>
        <w:trPr>
          <w:trHeight w:val="509" w:hRule="atLeast"/>
        </w:trPr>
        <w:tc>
          <w:tcPr>
            <w:tcW w:w="1477" w:type="dxa"/>
            <w:vMerge w:val="continue"/>
            <w:tcBorders>
              <w:top w:val="nil"/>
              <w:left w:val="nil"/>
              <w:bottom w:val="single" w:color="000000" w:sz="8" w:space="0"/>
              <w:right w:val="nil"/>
            </w:tcBorders>
            <w:shd w:val="clear"/>
            <w:vAlign w:val="top"/>
          </w:tcPr>
          <w:p w14:paraId="7E29C732">
            <w:pPr>
              <w:rPr>
                <w:rFonts w:hint="eastAsia" w:ascii="Calibri" w:hAnsi="Calibri" w:cs="Times New Roman"/>
                <w:color w:val="000000" w:themeColor="text1"/>
                <w:kern w:val="2"/>
                <w:sz w:val="22"/>
                <w:szCs w:val="22"/>
                <w:lang w:eastAsia="en-US"/>
                <w14:textFill>
                  <w14:solidFill>
                    <w14:schemeClr w14:val="tx1"/>
                  </w14:solidFill>
                </w14:textFill>
              </w:rPr>
            </w:pPr>
          </w:p>
        </w:tc>
        <w:tc>
          <w:tcPr>
            <w:tcW w:w="1338" w:type="dxa"/>
            <w:vMerge w:val="restart"/>
            <w:tcBorders>
              <w:top w:val="nil"/>
              <w:left w:val="nil"/>
              <w:bottom w:val="single" w:color="000000" w:sz="8" w:space="0"/>
              <w:right w:val="nil"/>
            </w:tcBorders>
            <w:shd w:val="clear"/>
            <w:vAlign w:val="top"/>
          </w:tcPr>
          <w:p w14:paraId="4D3D50EF">
            <w:pPr>
              <w:keepNext w:val="0"/>
              <w:keepLines w:val="0"/>
              <w:widowControl/>
              <w:suppressLineNumbers w:val="0"/>
              <w:autoSpaceDE w:val="0"/>
              <w:autoSpaceDN w:val="0"/>
              <w:adjustRightInd w:val="0"/>
              <w:spacing w:before="0" w:beforeAutospacing="0" w:after="0" w:afterAutospacing="0" w:line="320" w:lineRule="atLeast"/>
              <w:ind w:left="60" w:right="60"/>
              <w:jc w:val="left"/>
              <w:rPr>
                <w:rFonts w:hint="default" w:ascii="Arial" w:hAnsi="Arial" w:eastAsia="Calibri" w:cs="Arial"/>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color w:val="000000" w:themeColor="text1"/>
                <w:kern w:val="2"/>
                <w:sz w:val="18"/>
                <w:szCs w:val="18"/>
                <w:bdr w:val="none" w:color="auto" w:sz="0" w:space="0"/>
                <w:lang w:val="en-US" w:eastAsia="zh-CN" w:bidi="ar"/>
                <w14:textFill>
                  <w14:solidFill>
                    <w14:schemeClr w14:val="tx1"/>
                  </w14:solidFill>
                </w14:textFill>
              </w:rPr>
              <w:t>RCA</w:t>
            </w:r>
          </w:p>
        </w:tc>
        <w:tc>
          <w:tcPr>
            <w:tcW w:w="1804" w:type="dxa"/>
            <w:tcBorders>
              <w:top w:val="nil"/>
              <w:left w:val="nil"/>
              <w:bottom w:val="nil"/>
              <w:right w:val="nil"/>
            </w:tcBorders>
            <w:shd w:val="clear"/>
            <w:vAlign w:val="top"/>
          </w:tcPr>
          <w:p w14:paraId="68D67546">
            <w:pPr>
              <w:keepNext w:val="0"/>
              <w:keepLines w:val="0"/>
              <w:widowControl/>
              <w:suppressLineNumbers w:val="0"/>
              <w:autoSpaceDE w:val="0"/>
              <w:autoSpaceDN w:val="0"/>
              <w:adjustRightInd w:val="0"/>
              <w:spacing w:before="0" w:beforeAutospacing="0" w:after="0" w:afterAutospacing="0" w:line="320" w:lineRule="atLeast"/>
              <w:ind w:left="60" w:right="60"/>
              <w:jc w:val="left"/>
              <w:rPr>
                <w:rFonts w:hint="default" w:ascii="Arial" w:hAnsi="Arial" w:eastAsia="Calibri" w:cs="Arial"/>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color w:val="000000" w:themeColor="text1"/>
                <w:kern w:val="2"/>
                <w:sz w:val="18"/>
                <w:szCs w:val="18"/>
                <w:bdr w:val="none" w:color="auto" w:sz="0" w:space="0"/>
                <w:lang w:val="en-US" w:eastAsia="zh-CN" w:bidi="ar"/>
                <w14:textFill>
                  <w14:solidFill>
                    <w14:schemeClr w14:val="tx1"/>
                  </w14:solidFill>
                </w14:textFill>
              </w:rPr>
              <w:t>Correlation Coefficient</w:t>
            </w:r>
          </w:p>
        </w:tc>
        <w:tc>
          <w:tcPr>
            <w:tcW w:w="1485" w:type="dxa"/>
            <w:tcBorders>
              <w:top w:val="nil"/>
              <w:left w:val="nil"/>
              <w:bottom w:val="nil"/>
              <w:right w:val="nil"/>
            </w:tcBorders>
            <w:shd w:val="clear"/>
            <w:vAlign w:val="top"/>
          </w:tcPr>
          <w:p w14:paraId="482907E3">
            <w:pPr>
              <w:keepNext w:val="0"/>
              <w:keepLines w:val="0"/>
              <w:widowControl/>
              <w:suppressLineNumbers w:val="0"/>
              <w:autoSpaceDE w:val="0"/>
              <w:autoSpaceDN w:val="0"/>
              <w:adjustRightInd w:val="0"/>
              <w:spacing w:before="0" w:beforeAutospacing="0" w:after="0" w:afterAutospacing="0" w:line="320" w:lineRule="atLeast"/>
              <w:ind w:left="60" w:right="60"/>
              <w:jc w:val="right"/>
              <w:rPr>
                <w:rFonts w:hint="default" w:ascii="Arial" w:hAnsi="Arial" w:eastAsia="Calibri" w:cs="Arial"/>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color w:val="000000" w:themeColor="text1"/>
                <w:kern w:val="2"/>
                <w:sz w:val="18"/>
                <w:szCs w:val="18"/>
                <w:bdr w:val="none" w:color="auto" w:sz="0" w:space="0"/>
                <w:lang w:val="en-US" w:eastAsia="zh-CN" w:bidi="ar"/>
                <w14:textFill>
                  <w14:solidFill>
                    <w14:schemeClr w14:val="tx1"/>
                  </w14:solidFill>
                </w14:textFill>
              </w:rPr>
              <w:t>.125</w:t>
            </w:r>
          </w:p>
        </w:tc>
        <w:tc>
          <w:tcPr>
            <w:tcW w:w="1236" w:type="dxa"/>
            <w:tcBorders>
              <w:top w:val="nil"/>
              <w:left w:val="nil"/>
              <w:bottom w:val="nil"/>
              <w:right w:val="nil"/>
            </w:tcBorders>
            <w:shd w:val="clear"/>
            <w:vAlign w:val="top"/>
          </w:tcPr>
          <w:p w14:paraId="1F0DF5D4">
            <w:pPr>
              <w:keepNext w:val="0"/>
              <w:keepLines w:val="0"/>
              <w:widowControl/>
              <w:suppressLineNumbers w:val="0"/>
              <w:autoSpaceDE w:val="0"/>
              <w:autoSpaceDN w:val="0"/>
              <w:adjustRightInd w:val="0"/>
              <w:spacing w:before="0" w:beforeAutospacing="0" w:after="0" w:afterAutospacing="0" w:line="320" w:lineRule="atLeast"/>
              <w:ind w:left="60" w:right="60"/>
              <w:jc w:val="right"/>
              <w:rPr>
                <w:rFonts w:hint="default" w:ascii="Arial" w:hAnsi="Arial" w:eastAsia="Calibri" w:cs="Arial"/>
                <w:b/>
                <w:bCs/>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b/>
                <w:bCs/>
                <w:color w:val="000000" w:themeColor="text1"/>
                <w:kern w:val="2"/>
                <w:sz w:val="18"/>
                <w:szCs w:val="18"/>
                <w:bdr w:val="none" w:color="auto" w:sz="0" w:space="0"/>
                <w:lang w:val="en-US" w:eastAsia="zh-CN" w:bidi="ar"/>
                <w14:textFill>
                  <w14:solidFill>
                    <w14:schemeClr w14:val="tx1"/>
                  </w14:solidFill>
                </w14:textFill>
              </w:rPr>
              <w:t>1.000</w:t>
            </w:r>
          </w:p>
        </w:tc>
      </w:tr>
      <w:tr w14:paraId="6D61D129">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63" w:hRule="atLeast"/>
        </w:trPr>
        <w:tc>
          <w:tcPr>
            <w:tcW w:w="1477" w:type="dxa"/>
            <w:vMerge w:val="continue"/>
            <w:tcBorders>
              <w:top w:val="nil"/>
              <w:left w:val="nil"/>
              <w:bottom w:val="single" w:color="000000" w:sz="8" w:space="0"/>
              <w:right w:val="nil"/>
            </w:tcBorders>
            <w:shd w:val="clear"/>
            <w:vAlign w:val="top"/>
          </w:tcPr>
          <w:p w14:paraId="5A0E2B5E">
            <w:pPr>
              <w:rPr>
                <w:rFonts w:hint="eastAsia" w:ascii="Calibri" w:hAnsi="Calibri" w:cs="Times New Roman"/>
                <w:color w:val="000000" w:themeColor="text1"/>
                <w:kern w:val="2"/>
                <w:sz w:val="22"/>
                <w:szCs w:val="22"/>
                <w:lang w:eastAsia="en-US"/>
                <w14:textFill>
                  <w14:solidFill>
                    <w14:schemeClr w14:val="tx1"/>
                  </w14:solidFill>
                </w14:textFill>
              </w:rPr>
            </w:pPr>
          </w:p>
        </w:tc>
        <w:tc>
          <w:tcPr>
            <w:tcW w:w="1338" w:type="dxa"/>
            <w:vMerge w:val="continue"/>
            <w:tcBorders>
              <w:top w:val="nil"/>
              <w:left w:val="nil"/>
              <w:bottom w:val="single" w:color="000000" w:sz="8" w:space="0"/>
              <w:right w:val="nil"/>
            </w:tcBorders>
            <w:shd w:val="clear"/>
            <w:vAlign w:val="top"/>
          </w:tcPr>
          <w:p w14:paraId="1AA50F29">
            <w:pPr>
              <w:rPr>
                <w:rFonts w:hint="eastAsia" w:ascii="Calibri" w:hAnsi="Calibri" w:cs="Times New Roman"/>
                <w:color w:val="000000" w:themeColor="text1"/>
                <w:kern w:val="2"/>
                <w:sz w:val="22"/>
                <w:szCs w:val="22"/>
                <w:lang w:eastAsia="en-US"/>
                <w14:textFill>
                  <w14:solidFill>
                    <w14:schemeClr w14:val="tx1"/>
                  </w14:solidFill>
                </w14:textFill>
              </w:rPr>
            </w:pPr>
          </w:p>
        </w:tc>
        <w:tc>
          <w:tcPr>
            <w:tcW w:w="1804" w:type="dxa"/>
            <w:tcBorders>
              <w:top w:val="nil"/>
              <w:left w:val="nil"/>
              <w:bottom w:val="nil"/>
              <w:right w:val="nil"/>
            </w:tcBorders>
            <w:shd w:val="clear"/>
            <w:vAlign w:val="top"/>
          </w:tcPr>
          <w:p w14:paraId="5171FC3A">
            <w:pPr>
              <w:keepNext w:val="0"/>
              <w:keepLines w:val="0"/>
              <w:widowControl/>
              <w:suppressLineNumbers w:val="0"/>
              <w:autoSpaceDE w:val="0"/>
              <w:autoSpaceDN w:val="0"/>
              <w:adjustRightInd w:val="0"/>
              <w:spacing w:before="0" w:beforeAutospacing="0" w:after="0" w:afterAutospacing="0" w:line="320" w:lineRule="atLeast"/>
              <w:ind w:left="60" w:right="60"/>
              <w:jc w:val="left"/>
              <w:rPr>
                <w:rFonts w:hint="default" w:ascii="Arial" w:hAnsi="Arial" w:eastAsia="Calibri" w:cs="Arial"/>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color w:val="000000" w:themeColor="text1"/>
                <w:kern w:val="2"/>
                <w:sz w:val="18"/>
                <w:szCs w:val="18"/>
                <w:bdr w:val="none" w:color="auto" w:sz="0" w:space="0"/>
                <w:lang w:val="en-US" w:eastAsia="zh-CN" w:bidi="ar"/>
                <w14:textFill>
                  <w14:solidFill>
                    <w14:schemeClr w14:val="tx1"/>
                  </w14:solidFill>
                </w14:textFill>
              </w:rPr>
              <w:t>Sig. (2-tailed)</w:t>
            </w:r>
          </w:p>
        </w:tc>
        <w:tc>
          <w:tcPr>
            <w:tcW w:w="1485" w:type="dxa"/>
            <w:tcBorders>
              <w:top w:val="nil"/>
              <w:left w:val="nil"/>
              <w:bottom w:val="nil"/>
              <w:right w:val="nil"/>
            </w:tcBorders>
            <w:shd w:val="clear"/>
            <w:vAlign w:val="top"/>
          </w:tcPr>
          <w:p w14:paraId="4E241D12">
            <w:pPr>
              <w:keepNext w:val="0"/>
              <w:keepLines w:val="0"/>
              <w:widowControl/>
              <w:suppressLineNumbers w:val="0"/>
              <w:autoSpaceDE w:val="0"/>
              <w:autoSpaceDN w:val="0"/>
              <w:adjustRightInd w:val="0"/>
              <w:spacing w:before="0" w:beforeAutospacing="0" w:after="0" w:afterAutospacing="0" w:line="320" w:lineRule="atLeast"/>
              <w:ind w:left="60" w:right="60"/>
              <w:jc w:val="right"/>
              <w:rPr>
                <w:rFonts w:hint="default" w:ascii="Arial" w:hAnsi="Arial" w:eastAsia="Calibri" w:cs="Arial"/>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color w:val="000000" w:themeColor="text1"/>
                <w:kern w:val="2"/>
                <w:sz w:val="18"/>
                <w:szCs w:val="18"/>
                <w:bdr w:val="none" w:color="auto" w:sz="0" w:space="0"/>
                <w:lang w:val="en-US" w:eastAsia="zh-CN" w:bidi="ar"/>
                <w14:textFill>
                  <w14:solidFill>
                    <w14:schemeClr w14:val="tx1"/>
                  </w14:solidFill>
                </w14:textFill>
              </w:rPr>
              <w:t>.181</w:t>
            </w:r>
          </w:p>
        </w:tc>
        <w:tc>
          <w:tcPr>
            <w:tcW w:w="1236" w:type="dxa"/>
            <w:tcBorders>
              <w:top w:val="nil"/>
              <w:left w:val="nil"/>
              <w:bottom w:val="nil"/>
              <w:right w:val="nil"/>
            </w:tcBorders>
            <w:shd w:val="clear"/>
            <w:vAlign w:val="top"/>
          </w:tcPr>
          <w:p w14:paraId="47B09FB6">
            <w:pPr>
              <w:keepNext w:val="0"/>
              <w:keepLines w:val="0"/>
              <w:widowControl/>
              <w:suppressLineNumbers w:val="0"/>
              <w:autoSpaceDE w:val="0"/>
              <w:autoSpaceDN w:val="0"/>
              <w:adjustRightInd w:val="0"/>
              <w:spacing w:before="0" w:beforeAutospacing="0" w:after="0" w:afterAutospacing="0" w:line="320" w:lineRule="atLeast"/>
              <w:ind w:left="60" w:right="60"/>
              <w:jc w:val="right"/>
              <w:rPr>
                <w:rFonts w:hint="default" w:ascii="Arial" w:hAnsi="Arial" w:eastAsia="Calibri" w:cs="Arial"/>
                <w:b/>
                <w:bCs/>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b/>
                <w:bCs/>
                <w:color w:val="000000" w:themeColor="text1"/>
                <w:kern w:val="2"/>
                <w:sz w:val="18"/>
                <w:szCs w:val="18"/>
                <w:bdr w:val="none" w:color="auto" w:sz="0" w:space="0"/>
                <w:lang w:val="en-US" w:eastAsia="zh-CN" w:bidi="ar"/>
                <w14:textFill>
                  <w14:solidFill>
                    <w14:schemeClr w14:val="tx1"/>
                  </w14:solidFill>
                </w14:textFill>
              </w:rPr>
              <w:t>.</w:t>
            </w:r>
          </w:p>
        </w:tc>
      </w:tr>
      <w:tr w14:paraId="60A363E3">
        <w:tblPrEx>
          <w:tblBorders>
            <w:top w:val="single" w:color="000000" w:sz="8" w:space="0"/>
            <w:left w:val="none" w:color="auto" w:sz="6" w:space="0"/>
            <w:bottom w:val="single" w:color="000000" w:sz="8" w:space="0"/>
            <w:right w:val="none" w:color="auto" w:sz="6" w:space="0"/>
            <w:insideH w:val="outset" w:color="auto" w:sz="6" w:space="0"/>
            <w:insideV w:val="outset" w:color="auto" w:sz="6" w:space="0"/>
          </w:tblBorders>
          <w:shd w:val="clear"/>
          <w:tblCellMar>
            <w:top w:w="0" w:type="dxa"/>
            <w:left w:w="108" w:type="dxa"/>
            <w:bottom w:w="0" w:type="dxa"/>
            <w:right w:w="108" w:type="dxa"/>
          </w:tblCellMar>
        </w:tblPrEx>
        <w:trPr>
          <w:trHeight w:val="293" w:hRule="atLeast"/>
        </w:trPr>
        <w:tc>
          <w:tcPr>
            <w:tcW w:w="1477" w:type="dxa"/>
            <w:vMerge w:val="continue"/>
            <w:tcBorders>
              <w:top w:val="nil"/>
              <w:left w:val="nil"/>
              <w:bottom w:val="single" w:color="000000" w:sz="8" w:space="0"/>
              <w:right w:val="nil"/>
            </w:tcBorders>
            <w:shd w:val="clear"/>
            <w:vAlign w:val="top"/>
          </w:tcPr>
          <w:p w14:paraId="127D7967">
            <w:pPr>
              <w:rPr>
                <w:rFonts w:hint="eastAsia" w:ascii="Calibri" w:hAnsi="Calibri" w:cs="Times New Roman"/>
                <w:color w:val="000000" w:themeColor="text1"/>
                <w:kern w:val="2"/>
                <w:sz w:val="22"/>
                <w:szCs w:val="22"/>
                <w:lang w:eastAsia="en-US"/>
                <w14:textFill>
                  <w14:solidFill>
                    <w14:schemeClr w14:val="tx1"/>
                  </w14:solidFill>
                </w14:textFill>
              </w:rPr>
            </w:pPr>
          </w:p>
        </w:tc>
        <w:tc>
          <w:tcPr>
            <w:tcW w:w="1338" w:type="dxa"/>
            <w:vMerge w:val="continue"/>
            <w:tcBorders>
              <w:top w:val="nil"/>
              <w:left w:val="nil"/>
              <w:bottom w:val="single" w:color="000000" w:sz="8" w:space="0"/>
              <w:right w:val="nil"/>
            </w:tcBorders>
            <w:shd w:val="clear"/>
            <w:vAlign w:val="top"/>
          </w:tcPr>
          <w:p w14:paraId="5DC3DD11">
            <w:pPr>
              <w:rPr>
                <w:rFonts w:hint="eastAsia" w:ascii="Calibri" w:hAnsi="Calibri" w:cs="Times New Roman"/>
                <w:color w:val="000000" w:themeColor="text1"/>
                <w:kern w:val="2"/>
                <w:sz w:val="22"/>
                <w:szCs w:val="22"/>
                <w:lang w:eastAsia="en-US"/>
                <w14:textFill>
                  <w14:solidFill>
                    <w14:schemeClr w14:val="tx1"/>
                  </w14:solidFill>
                </w14:textFill>
              </w:rPr>
            </w:pPr>
          </w:p>
        </w:tc>
        <w:tc>
          <w:tcPr>
            <w:tcW w:w="1804" w:type="dxa"/>
            <w:tcBorders>
              <w:top w:val="nil"/>
              <w:left w:val="nil"/>
              <w:bottom w:val="single" w:color="000000" w:sz="8" w:space="0"/>
              <w:right w:val="nil"/>
            </w:tcBorders>
            <w:shd w:val="clear"/>
            <w:vAlign w:val="top"/>
          </w:tcPr>
          <w:p w14:paraId="28CD7354">
            <w:pPr>
              <w:keepNext w:val="0"/>
              <w:keepLines w:val="0"/>
              <w:widowControl/>
              <w:suppressLineNumbers w:val="0"/>
              <w:autoSpaceDE w:val="0"/>
              <w:autoSpaceDN w:val="0"/>
              <w:adjustRightInd w:val="0"/>
              <w:spacing w:before="0" w:beforeAutospacing="0" w:after="0" w:afterAutospacing="0" w:line="320" w:lineRule="atLeast"/>
              <w:ind w:left="60" w:right="60"/>
              <w:jc w:val="left"/>
              <w:rPr>
                <w:rFonts w:hint="default" w:ascii="Arial" w:hAnsi="Arial" w:eastAsia="Calibri" w:cs="Arial"/>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color w:val="000000" w:themeColor="text1"/>
                <w:kern w:val="2"/>
                <w:sz w:val="18"/>
                <w:szCs w:val="18"/>
                <w:bdr w:val="none" w:color="auto" w:sz="0" w:space="0"/>
                <w:lang w:val="en-US" w:eastAsia="zh-CN" w:bidi="ar"/>
                <w14:textFill>
                  <w14:solidFill>
                    <w14:schemeClr w14:val="tx1"/>
                  </w14:solidFill>
                </w14:textFill>
              </w:rPr>
              <w:t>N</w:t>
            </w:r>
          </w:p>
        </w:tc>
        <w:tc>
          <w:tcPr>
            <w:tcW w:w="1485" w:type="dxa"/>
            <w:tcBorders>
              <w:top w:val="nil"/>
              <w:left w:val="nil"/>
              <w:bottom w:val="single" w:color="000000" w:sz="8" w:space="0"/>
              <w:right w:val="nil"/>
            </w:tcBorders>
            <w:shd w:val="clear"/>
            <w:vAlign w:val="top"/>
          </w:tcPr>
          <w:p w14:paraId="3E621B15">
            <w:pPr>
              <w:keepNext w:val="0"/>
              <w:keepLines w:val="0"/>
              <w:widowControl/>
              <w:suppressLineNumbers w:val="0"/>
              <w:autoSpaceDE w:val="0"/>
              <w:autoSpaceDN w:val="0"/>
              <w:adjustRightInd w:val="0"/>
              <w:spacing w:before="0" w:beforeAutospacing="0" w:after="0" w:afterAutospacing="0" w:line="320" w:lineRule="atLeast"/>
              <w:ind w:left="60" w:right="60"/>
              <w:jc w:val="right"/>
              <w:rPr>
                <w:rFonts w:hint="default" w:ascii="Arial" w:hAnsi="Arial" w:eastAsia="Calibri" w:cs="Arial"/>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color w:val="000000" w:themeColor="text1"/>
                <w:kern w:val="2"/>
                <w:sz w:val="18"/>
                <w:szCs w:val="18"/>
                <w:bdr w:val="none" w:color="auto" w:sz="0" w:space="0"/>
                <w:lang w:val="en-US" w:eastAsia="zh-CN" w:bidi="ar"/>
                <w14:textFill>
                  <w14:solidFill>
                    <w14:schemeClr w14:val="tx1"/>
                  </w14:solidFill>
                </w14:textFill>
              </w:rPr>
              <w:t>116</w:t>
            </w:r>
          </w:p>
        </w:tc>
        <w:tc>
          <w:tcPr>
            <w:tcW w:w="1236" w:type="dxa"/>
            <w:tcBorders>
              <w:top w:val="nil"/>
              <w:left w:val="nil"/>
              <w:bottom w:val="single" w:color="000000" w:sz="8" w:space="0"/>
              <w:right w:val="nil"/>
            </w:tcBorders>
            <w:shd w:val="clear"/>
            <w:vAlign w:val="top"/>
          </w:tcPr>
          <w:p w14:paraId="4297AD20">
            <w:pPr>
              <w:keepNext w:val="0"/>
              <w:keepLines w:val="0"/>
              <w:widowControl/>
              <w:suppressLineNumbers w:val="0"/>
              <w:autoSpaceDE w:val="0"/>
              <w:autoSpaceDN w:val="0"/>
              <w:adjustRightInd w:val="0"/>
              <w:spacing w:before="0" w:beforeAutospacing="0" w:after="0" w:afterAutospacing="0" w:line="320" w:lineRule="atLeast"/>
              <w:ind w:left="60" w:right="60"/>
              <w:jc w:val="right"/>
              <w:rPr>
                <w:rFonts w:hint="default" w:ascii="Arial" w:hAnsi="Arial" w:eastAsia="Calibri" w:cs="Arial"/>
                <w:b/>
                <w:bCs/>
                <w:color w:val="000000" w:themeColor="text1"/>
                <w:kern w:val="2"/>
                <w:sz w:val="18"/>
                <w:szCs w:val="18"/>
                <w:bdr w:val="none" w:color="auto" w:sz="0" w:space="0"/>
                <w:lang w:val="en-US"/>
                <w14:textFill>
                  <w14:solidFill>
                    <w14:schemeClr w14:val="tx1"/>
                  </w14:solidFill>
                </w14:textFill>
              </w:rPr>
            </w:pPr>
            <w:r>
              <w:rPr>
                <w:rFonts w:hint="default" w:ascii="Arial" w:hAnsi="Arial" w:eastAsia="Calibri" w:cs="Arial"/>
                <w:b/>
                <w:bCs/>
                <w:color w:val="000000" w:themeColor="text1"/>
                <w:kern w:val="2"/>
                <w:sz w:val="18"/>
                <w:szCs w:val="18"/>
                <w:bdr w:val="none" w:color="auto" w:sz="0" w:space="0"/>
                <w:lang w:val="en-US" w:eastAsia="zh-CN" w:bidi="ar"/>
                <w14:textFill>
                  <w14:solidFill>
                    <w14:schemeClr w14:val="tx1"/>
                  </w14:solidFill>
                </w14:textFill>
              </w:rPr>
              <w:t>116</w:t>
            </w:r>
          </w:p>
        </w:tc>
      </w:tr>
    </w:tbl>
    <w:p w14:paraId="201A322E">
      <w:pPr>
        <w:ind w:firstLine="720"/>
        <w:jc w:val="both"/>
        <w:rPr>
          <w:color w:val="000000"/>
          <w:sz w:val="24"/>
          <w:szCs w:val="24"/>
          <w:lang w:val="id-ID"/>
        </w:rPr>
      </w:pPr>
    </w:p>
    <w:p w14:paraId="1DB280E2">
      <w:pPr>
        <w:ind w:firstLine="720"/>
        <w:jc w:val="both"/>
        <w:rPr>
          <w:color w:val="000000"/>
          <w:sz w:val="24"/>
          <w:szCs w:val="24"/>
        </w:rPr>
      </w:pPr>
      <w:r>
        <w:rPr>
          <w:color w:val="000000"/>
          <w:sz w:val="24"/>
          <w:szCs w:val="24"/>
        </w:rPr>
        <w:br w:type="textWrapping"/>
      </w:r>
    </w:p>
    <w:p w14:paraId="67BCFD87">
      <w:pPr>
        <w:spacing w:line="360" w:lineRule="auto"/>
        <w:ind w:firstLine="720"/>
        <w:jc w:val="both"/>
        <w:rPr>
          <w:color w:val="000000"/>
          <w:sz w:val="24"/>
          <w:szCs w:val="24"/>
          <w:lang w:val="id-ID"/>
        </w:rPr>
      </w:pPr>
      <w:r>
        <w:rPr>
          <w:sz w:val="24"/>
          <w:szCs w:val="24"/>
        </w:rPr>
        <w:t>The researchers used the Spearman Rank Correlation Coefficient because the data was not normal. The analysis results showed that the obtained correlation coefficient (0.125) was lower than the value considered significant (0.180). Based on the standard interpretation guidelines by Sugiono (2013), indicating a low relationship. Additionally, the significance level (p) was 0.181, meaning that the p-value (0.181) was greater than 0.05. Therefore, it can be concluded that there was no significant relationship between student self-esteem and their reading achievement at MA Patra Mandiri Palembang. This conclusion was supported by the fact that the p-value was greater than 0.05, leading to the acceptance of the null hypothesis (Ho) and the rejection of the alternative hypothesis (Hα).</w:t>
      </w:r>
    </w:p>
    <w:p w14:paraId="11475CE0">
      <w:pPr>
        <w:jc w:val="both"/>
        <w:rPr>
          <w:color w:val="000000"/>
          <w:sz w:val="24"/>
          <w:szCs w:val="24"/>
          <w:lang w:val="id-ID"/>
        </w:rPr>
      </w:pPr>
    </w:p>
    <w:p w14:paraId="46293BE9">
      <w:pPr>
        <w:jc w:val="both"/>
        <w:rPr>
          <w:b/>
          <w:color w:val="000000"/>
          <w:sz w:val="24"/>
          <w:szCs w:val="24"/>
          <w:lang w:val="id-ID"/>
        </w:rPr>
      </w:pPr>
      <w:r>
        <w:rPr>
          <w:b/>
          <w:color w:val="000000"/>
          <w:sz w:val="24"/>
          <w:szCs w:val="24"/>
          <w:lang w:val="id-ID"/>
        </w:rPr>
        <w:t>CONCLUSIONS</w:t>
      </w:r>
    </w:p>
    <w:p w14:paraId="5C2E322D">
      <w:pPr>
        <w:pStyle w:val="10"/>
        <w:spacing w:line="360" w:lineRule="auto"/>
        <w:jc w:val="both"/>
        <w:rPr>
          <w:lang w:val="en-US"/>
        </w:rPr>
      </w:pPr>
      <w:r>
        <w:t xml:space="preserve"> </w:t>
      </w:r>
      <w:r>
        <w:tab/>
      </w:r>
      <w:commentRangeStart w:id="21"/>
      <w:r>
        <w:t>T</w:t>
      </w:r>
      <w:r>
        <w:rPr>
          <w:lang w:val="en-US"/>
        </w:rPr>
        <w:t>his study</w:t>
      </w:r>
      <w:r>
        <w:t xml:space="preserve"> </w:t>
      </w:r>
      <w:r>
        <w:rPr>
          <w:lang w:val="en-US"/>
        </w:rPr>
        <w:t xml:space="preserve">investigated </w:t>
      </w:r>
      <w:r>
        <w:t xml:space="preserve">the </w:t>
      </w:r>
      <w:r>
        <w:rPr>
          <w:lang w:val="en-US"/>
        </w:rPr>
        <w:t>correlation</w:t>
      </w:r>
      <w:r>
        <w:t xml:space="preserve"> between self-esteem and reading comprehension achievement among tenth-grade students at MA Patra Mandiri Palembang. </w:t>
      </w:r>
      <w:r>
        <w:rPr>
          <w:lang w:val="en-US"/>
        </w:rPr>
        <w:t>Although</w:t>
      </w:r>
      <w:r>
        <w:t xml:space="preserve"> a correlation </w:t>
      </w:r>
      <w:r>
        <w:rPr>
          <w:lang w:val="en-US"/>
        </w:rPr>
        <w:t>was detected</w:t>
      </w:r>
      <w:r>
        <w:t xml:space="preserve">, it did not reach statistical significance. The </w:t>
      </w:r>
      <w:r>
        <w:rPr>
          <w:lang w:val="en-US"/>
        </w:rPr>
        <w:t>correlation coefficient</w:t>
      </w:r>
      <w:r>
        <w:t xml:space="preserve"> </w:t>
      </w:r>
      <w:r>
        <w:rPr>
          <w:lang w:val="en-US"/>
        </w:rPr>
        <w:t xml:space="preserve">(r = </w:t>
      </w:r>
      <w:r>
        <w:t xml:space="preserve">0.125) </w:t>
      </w:r>
      <w:r>
        <w:rPr>
          <w:lang w:val="en-US"/>
        </w:rPr>
        <w:t>fell below</w:t>
      </w:r>
      <w:r>
        <w:t xml:space="preserve"> the critical r-table value (0.180), </w:t>
      </w:r>
      <w:r>
        <w:rPr>
          <w:lang w:val="en-US"/>
        </w:rPr>
        <w:t>suggesting</w:t>
      </w:r>
      <w:r>
        <w:t xml:space="preserve"> a </w:t>
      </w:r>
      <w:r>
        <w:rPr>
          <w:lang w:val="en-US"/>
        </w:rPr>
        <w:t>weak</w:t>
      </w:r>
      <w:r>
        <w:t xml:space="preserve"> </w:t>
      </w:r>
      <w:r>
        <w:rPr>
          <w:lang w:val="en-US"/>
        </w:rPr>
        <w:t>relationship</w:t>
      </w:r>
      <w:r>
        <w:t xml:space="preserve">. </w:t>
      </w:r>
      <w:r>
        <w:rPr>
          <w:lang w:val="en-US"/>
        </w:rPr>
        <w:t>Futhermore</w:t>
      </w:r>
      <w:r>
        <w:t xml:space="preserve">, the </w:t>
      </w:r>
      <w:r>
        <w:rPr>
          <w:lang w:val="en-US"/>
        </w:rPr>
        <w:t>effect</w:t>
      </w:r>
      <w:r>
        <w:t xml:space="preserve"> of self-esteem on reading comprehension achievement was </w:t>
      </w:r>
      <w:r>
        <w:rPr>
          <w:lang w:val="en-US"/>
        </w:rPr>
        <w:t xml:space="preserve">not statiscally </w:t>
      </w:r>
      <w:r>
        <w:t>significant</w:t>
      </w:r>
      <w:r>
        <w:rPr>
          <w:lang w:val="en-US"/>
        </w:rPr>
        <w:t>,</w:t>
      </w:r>
      <w:r>
        <w:t xml:space="preserve"> </w:t>
      </w:r>
      <w:r>
        <w:rPr>
          <w:lang w:val="en-US"/>
        </w:rPr>
        <w:t>as indicated</w:t>
      </w:r>
      <w:r>
        <w:t xml:space="preserve"> </w:t>
      </w:r>
      <w:r>
        <w:rPr>
          <w:lang w:val="en-US"/>
        </w:rPr>
        <w:t>by a p-</w:t>
      </w:r>
      <w:r>
        <w:t>value 0.181</w:t>
      </w:r>
      <w:r>
        <w:rPr>
          <w:lang w:val="en-US"/>
        </w:rPr>
        <w:t xml:space="preserve">, which </w:t>
      </w:r>
      <w:r>
        <w:t>exceed</w:t>
      </w:r>
      <w:r>
        <w:rPr>
          <w:lang w:val="en-US"/>
        </w:rPr>
        <w:t>ed</w:t>
      </w:r>
      <w:r>
        <w:t xml:space="preserve"> the </w:t>
      </w:r>
      <w:r>
        <w:rPr>
          <w:lang w:val="en-US"/>
        </w:rPr>
        <w:t>standard</w:t>
      </w:r>
      <w:r>
        <w:t xml:space="preserve"> threshold </w:t>
      </w:r>
      <w:r>
        <w:rPr>
          <w:lang w:val="en-US"/>
        </w:rPr>
        <w:t xml:space="preserve">of </w:t>
      </w:r>
      <w:r>
        <w:t>0.05. The</w:t>
      </w:r>
      <w:r>
        <w:rPr>
          <w:lang w:val="en-US"/>
        </w:rPr>
        <w:t>se findings suggest</w:t>
      </w:r>
      <w:r>
        <w:t xml:space="preserve"> that self-esteem </w:t>
      </w:r>
      <w:r>
        <w:rPr>
          <w:lang w:val="en-US"/>
        </w:rPr>
        <w:t xml:space="preserve">is </w:t>
      </w:r>
      <w:r>
        <w:t xml:space="preserve">not </w:t>
      </w:r>
      <w:r>
        <w:rPr>
          <w:lang w:val="en-US"/>
        </w:rPr>
        <w:t>determining</w:t>
      </w:r>
      <w:r>
        <w:t xml:space="preserve"> </w:t>
      </w:r>
      <w:r>
        <w:rPr>
          <w:lang w:val="en-US"/>
        </w:rPr>
        <w:t>factor in students’</w:t>
      </w:r>
      <w:r>
        <w:t xml:space="preserve"> reading comprehension achievement. </w:t>
      </w:r>
      <w:r>
        <w:rPr>
          <w:lang w:val="en-US"/>
        </w:rPr>
        <w:t>Instead, other</w:t>
      </w:r>
      <w:r>
        <w:t xml:space="preserve"> </w:t>
      </w:r>
      <w:r>
        <w:rPr>
          <w:lang w:val="en-US"/>
        </w:rPr>
        <w:t>cognitive, linguistic, or environmental factors may have a more substantial influence on their reading proficiency</w:t>
      </w:r>
      <w:r>
        <w:t>.</w:t>
      </w:r>
      <w:commentRangeEnd w:id="21"/>
      <w:r>
        <w:rPr>
          <w:rStyle w:val="5"/>
          <w:lang w:val="en-US" w:eastAsia="en-US"/>
        </w:rPr>
        <w:commentReference w:id="21"/>
      </w:r>
      <w:r>
        <w:rPr>
          <w:rStyle w:val="5"/>
          <w:lang w:val="en-US" w:eastAsia="en-US"/>
        </w:rPr>
        <w:br w:type="textWrapping"/>
      </w:r>
      <w:r>
        <w:rPr>
          <w:rStyle w:val="5"/>
          <w:rFonts w:hint="default"/>
          <w:lang w:val="en-US" w:eastAsia="en-US"/>
        </w:rPr>
        <w:t xml:space="preserve"> </w:t>
      </w:r>
      <w:r>
        <w:rPr>
          <w:rStyle w:val="5"/>
          <w:rFonts w:hint="default"/>
          <w:lang w:val="en-US" w:eastAsia="en-US"/>
        </w:rPr>
        <w:tab/>
      </w:r>
      <w:commentRangeStart w:id="22"/>
      <w:r>
        <w:t xml:space="preserve">The </w:t>
      </w:r>
      <w:r>
        <w:rPr>
          <w:lang w:val="en-US"/>
        </w:rPr>
        <w:t>result suggest that multiple factors influence students’ self-esteem and reading comprehension achievement. Among these, motivation played a key role, as many students exhibited low enthusiasm during testing. Additionally, difficulties in understanding texts due to unfamiliar vocabulary hindered comprehension. A lack of interest in English, especially in reading, further contributed to students perceiving it as a challenging subject. Limited reading experience also intensified these difficulties, leading to lower reading comprehension scores</w:t>
      </w:r>
      <w:r>
        <w:t>.</w:t>
      </w:r>
      <w:r>
        <w:rPr>
          <w:lang w:val="en-US"/>
        </w:rPr>
        <w:t xml:space="preserve"> </w:t>
      </w:r>
      <w:commentRangeEnd w:id="22"/>
      <w:r>
        <w:rPr>
          <w:rStyle w:val="5"/>
          <w:lang w:val="en-US" w:eastAsia="en-US"/>
        </w:rPr>
        <w:commentReference w:id="22"/>
      </w:r>
      <w:r>
        <w:rPr>
          <w:lang w:val="en-US"/>
        </w:rPr>
        <w:tab/>
      </w:r>
      <w:r>
        <w:rPr>
          <w:lang w:val="en-US"/>
        </w:rPr>
        <w:br w:type="textWrapping"/>
      </w:r>
      <w:r>
        <w:rPr>
          <w:lang w:val="en-US"/>
        </w:rPr>
        <w:br w:type="textWrapping"/>
      </w:r>
      <w:r>
        <w:rPr>
          <w:lang w:val="en-US"/>
        </w:rPr>
        <w:br w:type="textWrapping"/>
      </w:r>
      <w:r>
        <w:br w:type="textWrapping"/>
      </w:r>
      <w:r>
        <w:rPr>
          <w:b/>
        </w:rPr>
        <w:t>REFERENCES</w:t>
      </w:r>
    </w:p>
    <w:p w14:paraId="2CADF123">
      <w:pPr>
        <w:pStyle w:val="10"/>
        <w:ind w:left="720" w:hanging="720"/>
        <w:rPr>
          <w:i/>
        </w:rPr>
      </w:pPr>
      <w:r>
        <w:t xml:space="preserve">Andres, V. D. (2002). The influence of affective variables on EFL/ESL learning and teaching. </w:t>
      </w:r>
      <w:r>
        <w:rPr>
          <w:i/>
        </w:rPr>
        <w:t>The journal of the imagination in language learning and teaching, 7, 1-5.</w:t>
      </w:r>
      <w:r>
        <w:rPr>
          <w:i/>
        </w:rPr>
        <w:tab/>
      </w:r>
    </w:p>
    <w:p w14:paraId="567780A8">
      <w:pPr>
        <w:pStyle w:val="10"/>
        <w:ind w:left="720" w:hanging="720"/>
      </w:pPr>
      <w:r>
        <w:t xml:space="preserve">Bagheri, M. S., &amp; Faghih, M. (2012). The relationship between self-esteem, personality type and reading comprehension of Iranian EFL students. </w:t>
      </w:r>
      <w:r>
        <w:rPr>
          <w:i/>
        </w:rPr>
        <w:t>Theory and practice in language studies,</w:t>
      </w:r>
      <w:r>
        <w:t xml:space="preserve"> </w:t>
      </w:r>
      <w:r>
        <w:rPr>
          <w:i/>
        </w:rPr>
        <w:t>2(8),</w:t>
      </w:r>
      <w:r>
        <w:t xml:space="preserve"> 1641.</w:t>
      </w:r>
      <w:r>
        <w:tab/>
      </w:r>
    </w:p>
    <w:p w14:paraId="3C6BA7A9">
      <w:pPr>
        <w:pStyle w:val="10"/>
        <w:ind w:left="720" w:hanging="720"/>
      </w:pPr>
      <w:r>
        <w:t xml:space="preserve">Etikan, I., Musa, SA, &amp; Alkassim, RS (2016). Comparison of convenience sampling and purposive sampling. </w:t>
      </w:r>
      <w:r>
        <w:rPr>
          <w:i/>
        </w:rPr>
        <w:t>American journal of theoretical and applied statistics,</w:t>
      </w:r>
      <w:r>
        <w:t xml:space="preserve"> 5(1), 1-4.</w:t>
      </w:r>
    </w:p>
    <w:p w14:paraId="17879661">
      <w:pPr>
        <w:pStyle w:val="10"/>
        <w:ind w:left="720" w:hanging="720"/>
      </w:pPr>
      <w:r>
        <w:t xml:space="preserve">Falah, R. N. (2022). </w:t>
      </w:r>
      <w:r>
        <w:rPr>
          <w:i/>
        </w:rPr>
        <w:t>The relationship between students’ self-esteem and their speaking ability: A quantitative study in the fifth semester of English education in UIN Syarif Hidayatullah Jakarta</w:t>
      </w:r>
      <w:r>
        <w:t xml:space="preserve"> (Bachelor's thesis, FITK UIN Syarif Hidayatulah Jakarta).</w:t>
      </w:r>
    </w:p>
    <w:p w14:paraId="7AF82136">
      <w:pPr>
        <w:pStyle w:val="10"/>
        <w:ind w:left="720" w:hanging="720"/>
      </w:pPr>
      <w:r>
        <w:t xml:space="preserve">Gustaman, W. W. (2015). the Correlation Between Students’ Self–Esteem and Their English Speaking Competencies. </w:t>
      </w:r>
      <w:r>
        <w:rPr>
          <w:i/>
        </w:rPr>
        <w:t>Journal of English and Education</w:t>
      </w:r>
      <w:r>
        <w:t>, 3(2), 121-137.</w:t>
      </w:r>
    </w:p>
    <w:p w14:paraId="205DE266">
      <w:pPr>
        <w:pStyle w:val="10"/>
        <w:ind w:left="720" w:hanging="720"/>
        <w:rPr>
          <w:lang w:val="en-US"/>
        </w:rPr>
      </w:pPr>
      <w:r>
        <w:t xml:space="preserve">Indrayani, S. A. (2014). </w:t>
      </w:r>
      <w:r>
        <w:rPr>
          <w:i/>
        </w:rPr>
        <w:t>The Effectiveness of Using Mind Mapping in improving students Reading Comprehension of Narrative Text</w:t>
      </w:r>
      <w:r>
        <w:t>. Skripsi. Syarif Hidayatullah State Islamic University, jakarta.</w:t>
      </w:r>
      <w:r>
        <w:tab/>
      </w:r>
    </w:p>
    <w:p w14:paraId="39564CAE">
      <w:pPr>
        <w:pStyle w:val="10"/>
        <w:ind w:left="720" w:hanging="720"/>
        <w:rPr>
          <w:lang w:val="en-US"/>
        </w:rPr>
      </w:pPr>
      <w:r>
        <w:rPr>
          <w:lang w:val="en-US"/>
        </w:rPr>
        <w:t xml:space="preserve">Julistri, A., Tridinanti, G., &amp; Manurung, J. E. (2024). The Correlation between Vocabulary Learning Strategies and Reading Comprehension. </w:t>
      </w:r>
      <w:r>
        <w:rPr>
          <w:i/>
          <w:lang w:val="en-US"/>
        </w:rPr>
        <w:t xml:space="preserve">Didascein: Journal of English Education, </w:t>
      </w:r>
      <w:r>
        <w:rPr>
          <w:lang w:val="en-US"/>
        </w:rPr>
        <w:t>5(1), 30-43</w:t>
      </w:r>
      <w:r>
        <w:rPr>
          <w:i/>
          <w:lang w:val="en-US"/>
        </w:rPr>
        <w:t>.</w:t>
      </w:r>
    </w:p>
    <w:p w14:paraId="57BCED5B">
      <w:pPr>
        <w:pStyle w:val="10"/>
        <w:ind w:left="720" w:hanging="720"/>
      </w:pPr>
      <w:r>
        <w:t>Kartika, S. (2023). The influence of students' self-esteem and attitude on their reading comprehension at SMPN 6 Teluk Kuantan (Doctoral dissertation). Universitas Islam Negeri Sultan Syarif Kasim Riau.</w:t>
      </w:r>
    </w:p>
    <w:p w14:paraId="72C3A0AF">
      <w:pPr>
        <w:pStyle w:val="10"/>
        <w:ind w:left="720" w:hanging="720"/>
      </w:pPr>
      <w:r>
        <w:t>Koosha, M., Abdollahi, A., &amp; Karimi, F. (2016). The relationship among EFL learners' self-esteem, autonomy, and reading comprehension. Theory and Practice in Language Studies, 6(1), 68.</w:t>
      </w:r>
    </w:p>
    <w:p w14:paraId="3DA5C4F3">
      <w:pPr>
        <w:pStyle w:val="10"/>
        <w:ind w:left="720" w:hanging="720"/>
      </w:pPr>
      <w:r>
        <w:t xml:space="preserve">Lestari, R. P., Asrori, M., &amp; Sulistyawati, H. (2019). </w:t>
      </w:r>
      <w:r>
        <w:rPr>
          <w:i/>
        </w:rPr>
        <w:t>The English teaching strategies for young learners in an international primary school in Surakarta</w:t>
      </w:r>
      <w:r>
        <w:t>. English Education, 7(2), 151-163.</w:t>
      </w:r>
    </w:p>
    <w:p w14:paraId="497E5F5D">
      <w:pPr>
        <w:pStyle w:val="14"/>
        <w:ind w:left="720" w:hanging="720"/>
      </w:pPr>
      <w:r>
        <w:t>Top of Form</w:t>
      </w:r>
    </w:p>
    <w:p w14:paraId="5F2B53B3">
      <w:pPr>
        <w:pStyle w:val="16"/>
        <w:ind w:left="720" w:hanging="720"/>
      </w:pPr>
      <w:r>
        <w:t>Bottom of Form</w:t>
      </w:r>
    </w:p>
    <w:p w14:paraId="5A45F867">
      <w:pPr>
        <w:ind w:left="720" w:hanging="720"/>
        <w:rPr>
          <w:sz w:val="24"/>
          <w:szCs w:val="24"/>
        </w:rPr>
      </w:pPr>
      <w:r>
        <w:rPr>
          <w:sz w:val="24"/>
          <w:szCs w:val="24"/>
        </w:rPr>
        <w:t xml:space="preserve">Mutahhara, M. (2021). </w:t>
      </w:r>
      <w:r>
        <w:rPr>
          <w:i/>
          <w:sz w:val="24"/>
          <w:szCs w:val="24"/>
        </w:rPr>
        <w:t>The Correlation between Students’ Self-Esteem and Students’ Reading Comprehension at the second grade of SMA Negeri 4 Parepare</w:t>
      </w:r>
      <w:r>
        <w:rPr>
          <w:sz w:val="24"/>
          <w:szCs w:val="24"/>
        </w:rPr>
        <w:t xml:space="preserve"> (Doctoral dissertation, IAIN Parepare).</w:t>
      </w:r>
    </w:p>
    <w:p w14:paraId="27616A92">
      <w:pPr>
        <w:pStyle w:val="10"/>
        <w:ind w:left="720" w:hanging="720"/>
        <w:rPr>
          <w:lang w:val="en-US"/>
        </w:rPr>
      </w:pPr>
      <w:r>
        <w:t xml:space="preserve">Novia, F., &amp; Ramayanti, R. (2023). </w:t>
      </w:r>
      <w:r>
        <w:rPr>
          <w:lang w:val="en-US"/>
        </w:rPr>
        <w:t>The</w:t>
      </w:r>
      <w:r>
        <w:t xml:space="preserve"> </w:t>
      </w:r>
      <w:r>
        <w:rPr>
          <w:lang w:val="en-US"/>
        </w:rPr>
        <w:t xml:space="preserve">correlation </w:t>
      </w:r>
      <w:r>
        <w:t xml:space="preserve"> </w:t>
      </w:r>
      <w:r>
        <w:rPr>
          <w:lang w:val="en-US"/>
        </w:rPr>
        <w:t>between students’ self-esteem</w:t>
      </w:r>
      <w:r>
        <w:t xml:space="preserve"> </w:t>
      </w:r>
      <w:r>
        <w:rPr>
          <w:lang w:val="en-US"/>
        </w:rPr>
        <w:t>and</w:t>
      </w:r>
      <w:r>
        <w:t xml:space="preserve"> </w:t>
      </w:r>
      <w:r>
        <w:rPr>
          <w:lang w:val="en-US"/>
        </w:rPr>
        <w:t>speaking</w:t>
      </w:r>
      <w:r>
        <w:t xml:space="preserve"> </w:t>
      </w:r>
      <w:r>
        <w:rPr>
          <w:lang w:val="en-US"/>
        </w:rPr>
        <w:t>achievement</w:t>
      </w:r>
      <w:r>
        <w:rPr>
          <w:i/>
        </w:rPr>
        <w:t>.</w:t>
      </w:r>
      <w:r>
        <w:t xml:space="preserve"> </w:t>
      </w:r>
      <w:r>
        <w:rPr>
          <w:i/>
          <w:lang w:val="en-US"/>
        </w:rPr>
        <w:t>Didascein</w:t>
      </w:r>
      <w:r>
        <w:rPr>
          <w:i/>
        </w:rPr>
        <w:t>: Journal of English Education</w:t>
      </w:r>
      <w:r>
        <w:t>, 4(1), 35-43.</w:t>
      </w:r>
    </w:p>
    <w:p w14:paraId="06A5EFA2">
      <w:pPr>
        <w:ind w:left="720" w:hanging="720"/>
        <w:rPr>
          <w:sz w:val="24"/>
          <w:szCs w:val="24"/>
          <w:lang w:val="id-ID"/>
        </w:rPr>
      </w:pPr>
      <w:r>
        <w:rPr>
          <w:sz w:val="24"/>
          <w:szCs w:val="24"/>
          <w:lang w:val="id-ID"/>
        </w:rPr>
        <w:t xml:space="preserve">Purnama Sari. (2021). </w:t>
      </w:r>
      <w:r>
        <w:rPr>
          <w:i/>
          <w:sz w:val="24"/>
          <w:szCs w:val="24"/>
          <w:lang w:val="id-ID"/>
        </w:rPr>
        <w:t>The correlation between self-esteem and reading comprehension achievement of eleventh grade students at UPT SMA Negeri 15 Ogan Ilir</w:t>
      </w:r>
      <w:r>
        <w:rPr>
          <w:sz w:val="24"/>
          <w:szCs w:val="24"/>
          <w:lang w:val="id-ID"/>
        </w:rPr>
        <w:t>. Palembang: Universitas Muhammadiyah.</w:t>
      </w:r>
      <w:r>
        <w:rPr>
          <w:sz w:val="24"/>
          <w:szCs w:val="24"/>
          <w:lang w:val="id-ID"/>
        </w:rPr>
        <w:tab/>
      </w:r>
      <w:r>
        <w:rPr>
          <w:sz w:val="24"/>
          <w:szCs w:val="24"/>
          <w:lang w:val="id-ID"/>
        </w:rPr>
        <w:br w:type="textWrapping"/>
      </w:r>
    </w:p>
    <w:p w14:paraId="5141FB04">
      <w:pPr>
        <w:ind w:left="720" w:hanging="720"/>
        <w:rPr>
          <w:sz w:val="24"/>
          <w:szCs w:val="24"/>
          <w:lang w:val="id-ID"/>
        </w:rPr>
      </w:pPr>
      <w:r>
        <w:rPr>
          <w:sz w:val="24"/>
          <w:szCs w:val="24"/>
        </w:rPr>
        <w:t>Rianyansa, A. A. (2022). Investigating Students’ Self-Directed Learning in Mastering English speaking Skills During the Covid-19 Pandemic (</w:t>
      </w:r>
      <w:r>
        <w:rPr>
          <w:i/>
          <w:sz w:val="24"/>
          <w:szCs w:val="24"/>
        </w:rPr>
        <w:t>A Case Study of High Achievements Students of EFL Speaking Skills of UIN Fatmawati Sukarno Bengkulu</w:t>
      </w:r>
      <w:r>
        <w:rPr>
          <w:sz w:val="24"/>
          <w:szCs w:val="24"/>
        </w:rPr>
        <w:t>) (Doctoral dissertation, UIN Fatmawati Sukarno Bengkulu).</w:t>
      </w:r>
      <w:r>
        <w:rPr>
          <w:sz w:val="24"/>
          <w:szCs w:val="24"/>
          <w:lang w:val="id-ID"/>
        </w:rPr>
        <w:tab/>
      </w:r>
      <w:r>
        <w:rPr>
          <w:sz w:val="24"/>
          <w:szCs w:val="24"/>
          <w:lang w:val="id-ID"/>
        </w:rPr>
        <w:br w:type="textWrapping"/>
      </w:r>
    </w:p>
    <w:p w14:paraId="31919796">
      <w:pPr>
        <w:ind w:left="720" w:hanging="720"/>
        <w:rPr>
          <w:sz w:val="24"/>
          <w:szCs w:val="24"/>
          <w:lang w:val="id-ID"/>
        </w:rPr>
      </w:pPr>
      <w:r>
        <w:rPr>
          <w:sz w:val="24"/>
          <w:szCs w:val="24"/>
          <w:lang w:val="id-ID"/>
        </w:rPr>
        <w:t>Sugiyono, D. (2013). Metode penelitian pendidikan pendekatan kuantitatif, kualitatif dan R&amp;D.</w:t>
      </w:r>
      <w:r>
        <w:rPr>
          <w:sz w:val="24"/>
          <w:szCs w:val="24"/>
          <w:lang w:val="id-ID"/>
        </w:rPr>
        <w:br w:type="textWrapping"/>
      </w:r>
    </w:p>
    <w:p w14:paraId="15E92459">
      <w:pPr>
        <w:ind w:left="720" w:hanging="720"/>
        <w:rPr>
          <w:sz w:val="24"/>
          <w:szCs w:val="24"/>
          <w:lang w:val="id-ID"/>
        </w:rPr>
      </w:pPr>
      <w:r>
        <w:rPr>
          <w:sz w:val="24"/>
          <w:szCs w:val="24"/>
        </w:rPr>
        <w:t xml:space="preserve">Tus, J. (2020). Self–concept, self–esteem, self–efficacy and academic performance of the senior high school students. </w:t>
      </w:r>
      <w:r>
        <w:rPr>
          <w:i/>
          <w:sz w:val="24"/>
          <w:szCs w:val="24"/>
        </w:rPr>
        <w:t>International Journal of Research Culture Society</w:t>
      </w:r>
      <w:r>
        <w:rPr>
          <w:sz w:val="24"/>
          <w:szCs w:val="24"/>
        </w:rPr>
        <w:t>, 4(10), 45-59.</w:t>
      </w:r>
      <w:r>
        <w:rPr>
          <w:sz w:val="24"/>
          <w:szCs w:val="24"/>
          <w:lang w:val="id-ID"/>
        </w:rPr>
        <w:br w:type="textWrapping"/>
      </w:r>
    </w:p>
    <w:p w14:paraId="5FB09EE5">
      <w:pPr>
        <w:ind w:left="720" w:hanging="720"/>
      </w:pPr>
      <w:r>
        <w:rPr>
          <w:sz w:val="24"/>
          <w:szCs w:val="24"/>
        </w:rPr>
        <w:t xml:space="preserve">Talebi, S. H. (2015). Linguistic Proficiency and Strategies on Reading Performance in English. </w:t>
      </w:r>
      <w:r>
        <w:rPr>
          <w:i/>
          <w:sz w:val="24"/>
          <w:szCs w:val="24"/>
        </w:rPr>
        <w:t>International Journal of Instruction</w:t>
      </w:r>
      <w:r>
        <w:rPr>
          <w:sz w:val="24"/>
          <w:szCs w:val="24"/>
        </w:rPr>
        <w:t>, 8(1), 47-60.</w:t>
      </w:r>
    </w:p>
    <w:p w14:paraId="0C763FE4">
      <w:pPr>
        <w:pStyle w:val="10"/>
        <w:rPr>
          <w:color w:val="000000"/>
        </w:rPr>
      </w:pPr>
      <w:r>
        <w:tab/>
      </w:r>
      <w:r>
        <w:br w:type="textWrapping"/>
      </w:r>
      <w:r>
        <w:br w:type="textWrapping"/>
      </w:r>
    </w:p>
    <w:sectPr>
      <w:pgSz w:w="11906" w:h="16838"/>
      <w:pgMar w:top="1701" w:right="1701" w:bottom="1701" w:left="1701" w:header="709" w:footer="709"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armawan Budiyanto" w:date="2025-03-18T20:11:00Z" w:initials="DB">
    <w:p w14:paraId="74BBE51A">
      <w:pPr>
        <w:widowControl/>
        <w:autoSpaceDE/>
        <w:autoSpaceDN/>
        <w:rPr>
          <w:sz w:val="24"/>
          <w:szCs w:val="24"/>
          <w:lang w:val="zh-CN"/>
        </w:rPr>
      </w:pPr>
      <w:r>
        <w:t>Suggestion “</w:t>
      </w:r>
      <w:r>
        <w:rPr>
          <w:sz w:val="24"/>
          <w:szCs w:val="24"/>
          <w:lang w:val="zh-CN"/>
        </w:rPr>
        <w:t>Self-Esteem and Reading Comprehension: A Correlational Study of Tenth Graders"</w:t>
      </w:r>
    </w:p>
  </w:comment>
  <w:comment w:id="1" w:author="Darmawan Budiyanto" w:date="2025-03-18T20:15:00Z" w:initials="DB">
    <w:p w14:paraId="7A5F1287">
      <w:pPr>
        <w:widowControl/>
        <w:autoSpaceDE/>
        <w:autoSpaceDN/>
        <w:rPr>
          <w:sz w:val="24"/>
          <w:szCs w:val="24"/>
          <w:lang w:val="zh-CN"/>
        </w:rPr>
      </w:pPr>
      <w:r>
        <w:t xml:space="preserve">Revise” </w:t>
      </w:r>
      <w:r>
        <w:rPr>
          <w:sz w:val="24"/>
          <w:szCs w:val="24"/>
          <w:lang w:val="zh-CN"/>
        </w:rPr>
        <w:t>"This study was aimed at investigating the correlation between self-esteem and reading comprehension achievement among tenth-grade students at MA Patra Mandiri Palembang."</w:t>
      </w:r>
    </w:p>
  </w:comment>
  <w:comment w:id="2" w:author="Darmawan Budiyanto" w:date="2025-05-11T19:16:00Z" w:initials="DB">
    <w:p w14:paraId="5918150D">
      <w:pPr>
        <w:widowControl/>
        <w:autoSpaceDE/>
        <w:autoSpaceDN/>
        <w:rPr>
          <w:sz w:val="24"/>
          <w:szCs w:val="24"/>
          <w:lang w:val="zh-CN"/>
        </w:rPr>
      </w:pPr>
      <w:r>
        <w:rPr>
          <w:sz w:val="24"/>
          <w:szCs w:val="24"/>
          <w:lang w:val="zh-CN"/>
        </w:rPr>
        <w:t>"To investigate the correlation between students' self-esteem and their reading comprehension achievemenot, a correlational research method was applied. The study included nine classes of tenth-grade students, and a sample of 116 students was drawn using convenience sampling."</w:t>
      </w:r>
    </w:p>
  </w:comment>
  <w:comment w:id="3" w:author="Darmawan Budiyanto" w:date="2025-03-18T20:34:00Z" w:initials="DB">
    <w:p w14:paraId="298742F3">
      <w:pPr>
        <w:widowControl/>
        <w:autoSpaceDE/>
        <w:autoSpaceDN/>
        <w:rPr>
          <w:sz w:val="24"/>
          <w:szCs w:val="24"/>
          <w:lang w:val="zh-CN"/>
        </w:rPr>
      </w:pPr>
      <w:r>
        <w:rPr>
          <w:sz w:val="24"/>
          <w:szCs w:val="24"/>
          <w:lang w:val="zh-CN"/>
        </w:rPr>
        <w:t>"Data were collected using a ready-made self-esteem questionnaire and a reading comprehension test."</w:t>
      </w:r>
    </w:p>
  </w:comment>
  <w:comment w:id="4" w:author="Darmawan Budiyanto" w:date="2025-03-18T20:35:00Z" w:initials="DB">
    <w:p w14:paraId="59227AEF">
      <w:pPr>
        <w:widowControl/>
        <w:autoSpaceDE/>
        <w:autoSpaceDN/>
        <w:rPr>
          <w:sz w:val="24"/>
          <w:szCs w:val="24"/>
          <w:lang w:val="zh-CN"/>
        </w:rPr>
      </w:pPr>
      <w:r>
        <w:rPr>
          <w:sz w:val="24"/>
          <w:szCs w:val="24"/>
          <w:lang w:val="zh-CN"/>
        </w:rPr>
        <w:t>"The findings indicated that the correlation coefficient (r) was 0.125, which was lower than the critical value of the r-table (0.180)."</w:t>
      </w:r>
    </w:p>
  </w:comment>
  <w:comment w:id="5" w:author="Darmawan Budiyanto" w:date="2025-03-18T20:37:00Z" w:initials="DB">
    <w:p w14:paraId="033CC73B">
      <w:pPr>
        <w:widowControl/>
        <w:autoSpaceDE/>
        <w:autoSpaceDN/>
        <w:rPr>
          <w:sz w:val="24"/>
          <w:szCs w:val="24"/>
          <w:lang w:val="zh-CN"/>
        </w:rPr>
      </w:pPr>
      <w:r>
        <w:rPr>
          <w:sz w:val="24"/>
          <w:szCs w:val="24"/>
          <w:lang w:val="zh-CN"/>
        </w:rPr>
        <w:t>"Based on these results, it can be concluded that there was a low but insignificant correlation between self-esteem and reading comprehension achievement among tenth-grade students at MA Patra Mandiri Palembang."</w:t>
      </w:r>
    </w:p>
  </w:comment>
  <w:comment w:id="6" w:author="Darmawan Budiyanto" w:date="2025-03-18T20:42:00Z" w:initials="DB">
    <w:p w14:paraId="45A9FA59">
      <w:pPr>
        <w:widowControl/>
        <w:autoSpaceDE/>
        <w:autoSpaceDN/>
        <w:rPr>
          <w:sz w:val="24"/>
          <w:szCs w:val="24"/>
          <w:lang w:val="zh-CN"/>
        </w:rPr>
      </w:pPr>
      <w:r>
        <w:rPr>
          <w:sz w:val="24"/>
          <w:szCs w:val="24"/>
          <w:lang w:val="zh-CN"/>
        </w:rPr>
        <w:t>"Language plays a crucial role in global interactions, enabling people from diverse backgrounds to communicate effectively. English is globally recognized as a primary language for international communication (Indrayani, 2014), making it a vital subject in education."</w:t>
      </w:r>
    </w:p>
  </w:comment>
  <w:comment w:id="7" w:author="Darmawan Budiyanto" w:date="2025-03-18T20:48:00Z" w:initials="DB">
    <w:p w14:paraId="5B749DCD">
      <w:pPr>
        <w:widowControl/>
        <w:autoSpaceDE/>
        <w:autoSpaceDN/>
        <w:rPr>
          <w:sz w:val="24"/>
          <w:szCs w:val="24"/>
          <w:lang w:val="zh-CN"/>
        </w:rPr>
      </w:pPr>
      <w:r>
        <w:rPr>
          <w:sz w:val="24"/>
          <w:szCs w:val="24"/>
          <w:lang w:val="zh-CN"/>
        </w:rPr>
        <w:t>"Reading proficiency is crucial in all fields of study, especially when students encounter technical English vocabulary relevant to their areas of expertise. It strengthens their abilities in speaking, listening, and writing by requiring them to analyse and interpret written materials. Various resources, including books, articles, newspapers, and online media, play a vital role in this process. As a result, reading is essential for effective language learning."</w:t>
      </w:r>
    </w:p>
  </w:comment>
  <w:comment w:id="8" w:author="Darmawan Budiyanto" w:date="2025-03-18T20:54:00Z" w:initials="DB">
    <w:p w14:paraId="6CF961BB">
      <w:pPr>
        <w:widowControl/>
        <w:autoSpaceDE/>
        <w:autoSpaceDN/>
        <w:rPr>
          <w:sz w:val="24"/>
          <w:szCs w:val="24"/>
          <w:lang w:val="zh-CN"/>
        </w:rPr>
      </w:pPr>
      <w:r>
        <w:rPr>
          <w:sz w:val="24"/>
          <w:szCs w:val="24"/>
          <w:lang w:val="zh-CN"/>
        </w:rPr>
        <w:t>"On December 5, the Ministry of Education, Culture, Research, and Technology (Mendikbudristek) released the PISA 2022 results, reporting remarkable progress for Indonesia. The country gained 5 to 6 positions in literacy compared to PISA 2018, reaching its highest standing in PISA history."</w:t>
      </w:r>
    </w:p>
  </w:comment>
  <w:comment w:id="9" w:author="Darmawan Budiyanto" w:date="2025-03-18T20:56:00Z" w:initials="DB">
    <w:p w14:paraId="11162CD8">
      <w:pPr>
        <w:widowControl/>
        <w:autoSpaceDE/>
        <w:autoSpaceDN/>
        <w:rPr>
          <w:sz w:val="24"/>
          <w:szCs w:val="24"/>
          <w:lang w:val="zh-CN"/>
        </w:rPr>
      </w:pPr>
      <w:r>
        <w:rPr>
          <w:sz w:val="24"/>
          <w:szCs w:val="24"/>
          <w:lang w:val="zh-CN"/>
        </w:rPr>
        <w:t>"The PISA 2022 results, as a whole, reflect Indonesia's steady progress and adaptability in facing global educational challenges. Effective reading comprehension requires more than just familiarity with vocabulary."</w:t>
      </w:r>
    </w:p>
  </w:comment>
  <w:comment w:id="10" w:author="Darmawan Budiyanto" w:date="2025-03-18T21:00:00Z" w:initials="DB">
    <w:p w14:paraId="47137958">
      <w:pPr>
        <w:widowControl/>
        <w:autoSpaceDE/>
        <w:autoSpaceDN/>
        <w:rPr>
          <w:sz w:val="24"/>
          <w:szCs w:val="24"/>
          <w:lang w:val="zh-CN"/>
        </w:rPr>
      </w:pPr>
      <w:r>
        <w:rPr>
          <w:sz w:val="24"/>
          <w:szCs w:val="24"/>
          <w:lang w:val="zh-CN"/>
        </w:rPr>
        <w:t>"Strategies, background knowledge, motivation, personality, and self-esteem are among the key reader variables affecting reading comprehension. According to Bagheri and Faghih (2012), both reader and text variables play a crucial role in shaping reading and comprehension processes. These variables include strategies, background knowledge, motivation, personality, self-esteem, and gender."</w:t>
      </w:r>
    </w:p>
  </w:comment>
  <w:comment w:id="11" w:author="Darmawan Budiyanto" w:date="2025-03-18T21:04:00Z" w:initials="DB">
    <w:p w14:paraId="24563EC3">
      <w:pPr>
        <w:widowControl/>
        <w:autoSpaceDE/>
        <w:autoSpaceDN/>
        <w:rPr>
          <w:sz w:val="24"/>
          <w:szCs w:val="24"/>
          <w:lang w:val="zh-CN"/>
        </w:rPr>
      </w:pPr>
      <w:r>
        <w:rPr>
          <w:sz w:val="24"/>
          <w:szCs w:val="24"/>
          <w:lang w:val="zh-CN"/>
        </w:rPr>
        <w:t>"Self-esteem develops through a combination of past experiences, social interactions, and individual traits. In language learning, particularly English, self-esteem significantly impacts a learner’s motivation and willingness to participate."</w:t>
      </w:r>
    </w:p>
  </w:comment>
  <w:comment w:id="12" w:author="Darmawan Budiyanto" w:date="2025-03-18T21:10:00Z" w:initials="DB">
    <w:p w14:paraId="5CD7F822">
      <w:pPr>
        <w:widowControl/>
        <w:autoSpaceDE/>
        <w:autoSpaceDN/>
        <w:rPr>
          <w:sz w:val="24"/>
          <w:szCs w:val="24"/>
          <w:lang w:val="zh-CN"/>
        </w:rPr>
      </w:pPr>
      <w:r>
        <w:rPr>
          <w:sz w:val="24"/>
          <w:szCs w:val="24"/>
          <w:lang w:val="zh-CN"/>
        </w:rPr>
        <w:t>"A quantitative approach was adopted in this study, incorporating correlational analysis to explore the relationship between self-esteem and reading comprehension achievement. Creswell and Creswell (2023) highlight that research design functions as a blueprint that assists researchers in structuring their studies. In alignment with this principle, the present study examines these variables to derive meaningful insights."</w:t>
      </w:r>
    </w:p>
  </w:comment>
  <w:comment w:id="13" w:author="Darmawan Budiyanto" w:date="2025-03-18T21:16:00Z" w:initials="DB">
    <w:p w14:paraId="7ACE3A75">
      <w:pPr>
        <w:widowControl/>
        <w:autoSpaceDE/>
        <w:autoSpaceDN/>
        <w:rPr>
          <w:sz w:val="24"/>
          <w:szCs w:val="24"/>
          <w:lang w:val="zh-CN"/>
        </w:rPr>
      </w:pPr>
      <w:r>
        <w:rPr>
          <w:sz w:val="24"/>
          <w:szCs w:val="24"/>
          <w:lang w:val="zh-CN"/>
        </w:rPr>
        <w:t>"The population in this study refers to the entire group of students who share similar characteristics. Specifically, the population comprised all 236 tenth-grade students at MA Patra Mandiri Palembang. The researchers employed convenience sampling, a nonprobability sampling technique, to select participants from classes X A, X B, and X C, totalling 116 students. Etikan et al. (2016) define convenience sampling—also referred to as opportunity or accidental sampling—as a method based on participant availability and accessibility. The selected sample consisted of 37 students from Class A, 40 from Class B, and 39 from Class C."</w:t>
      </w:r>
    </w:p>
  </w:comment>
  <w:comment w:id="14" w:author="Darmawan Budiyanto" w:date="2025-03-18T21:24:00Z" w:initials="DB">
    <w:p w14:paraId="73F41151">
      <w:pPr>
        <w:widowControl/>
        <w:autoSpaceDE/>
        <w:autoSpaceDN/>
        <w:rPr>
          <w:sz w:val="24"/>
          <w:szCs w:val="24"/>
          <w:lang w:val="zh-CN"/>
        </w:rPr>
      </w:pPr>
      <w:r>
        <w:rPr>
          <w:sz w:val="24"/>
          <w:szCs w:val="24"/>
          <w:lang w:val="zh-CN"/>
        </w:rPr>
        <w:t>"Two instruments were used to collect data in this study: a questionnaire measuring self-esteem and a test assessing reading comprehension achievement."</w:t>
      </w:r>
    </w:p>
  </w:comment>
  <w:comment w:id="15" w:author="Darmawan Budiyanto" w:date="2025-03-18T21:17:00Z" w:initials="DB">
    <w:p w14:paraId="54507AC1">
      <w:pPr>
        <w:pStyle w:val="6"/>
      </w:pPr>
      <w:r>
        <w:t>and</w:t>
      </w:r>
    </w:p>
  </w:comment>
  <w:comment w:id="16" w:author="Darmawan Budiyanto" w:date="2025-03-18T21:26:00Z" w:initials="DB">
    <w:p w14:paraId="73FD5D24">
      <w:pPr>
        <w:widowControl/>
        <w:autoSpaceDE/>
        <w:autoSpaceDN/>
        <w:rPr>
          <w:sz w:val="24"/>
          <w:szCs w:val="24"/>
          <w:lang w:val="zh-CN"/>
        </w:rPr>
      </w:pPr>
      <w:r>
        <w:rPr>
          <w:sz w:val="24"/>
          <w:szCs w:val="24"/>
          <w:lang w:val="zh-CN"/>
        </w:rPr>
        <w:t>"A self-esteem questionnaire consisting of 20 items was administered to 116 tenth-grade students from MA Patra Mandiri Palembang. The survey used a Likert scale with a range of 1 to 5. As mentioned earlier, the three self-esteem categories used in this study were Needs Improvement, Fairly Self-Esteem, and Good Self-Esteem."</w:t>
      </w:r>
    </w:p>
  </w:comment>
  <w:comment w:id="17" w:author="Darmawan Budiyanto" w:date="2025-03-18T21:30:00Z" w:initials="DB">
    <w:p w14:paraId="4ED39D92">
      <w:pPr>
        <w:widowControl/>
        <w:autoSpaceDE/>
        <w:autoSpaceDN/>
        <w:rPr>
          <w:sz w:val="24"/>
          <w:szCs w:val="24"/>
          <w:lang w:val="zh-CN"/>
        </w:rPr>
      </w:pPr>
      <w:r>
        <w:rPr>
          <w:sz w:val="24"/>
          <w:szCs w:val="24"/>
          <w:lang w:val="zh-CN"/>
        </w:rPr>
        <w:t>"The findings indicated that 9 students (7.8%) demonstrated good self-esteem, while 107 students (92.2%) fell into the fairly self-esteem category, and none (0%) required improvement. In conclusion, the majority of students perceived themselves as having fairly self-esteem."</w:t>
      </w:r>
    </w:p>
  </w:comment>
  <w:comment w:id="18" w:author="Darmawan Budiyanto" w:date="2025-03-19T09:25:00Z" w:initials="DB">
    <w:p w14:paraId="148F3A3D">
      <w:pPr>
        <w:widowControl/>
        <w:autoSpaceDE/>
        <w:autoSpaceDN/>
        <w:rPr>
          <w:sz w:val="24"/>
          <w:szCs w:val="24"/>
          <w:lang w:val="zh-CN"/>
        </w:rPr>
      </w:pPr>
      <w:r>
        <w:rPr>
          <w:sz w:val="24"/>
          <w:szCs w:val="24"/>
          <w:lang w:val="zh-CN"/>
        </w:rPr>
        <w:t>"The descriptive statistical analysis of self-esteem yielded a mean score of 69.32 with a standard deviation of 7.035. The relatively high mean indicates that, on average, participants exhibit above-average self-esteem levels. Moreover, the low standard deviation suggests a strong central tendency, as the majority of self-esteem scores are closely distributed around the mean with minimal variability. These findings imply a consistent and stable self-esteem profile among the respondents, with negligible individual disparities."</w:t>
      </w:r>
    </w:p>
  </w:comment>
  <w:comment w:id="19" w:author="Darmawan Budiyanto" w:date="2025-03-19T09:27:00Z" w:initials="DB">
    <w:p w14:paraId="55069398">
      <w:pPr>
        <w:pStyle w:val="10"/>
        <w:rPr>
          <w:b/>
          <w:bCs/>
          <w:lang w:val="en-GB"/>
        </w:rPr>
      </w:pPr>
      <w:r>
        <w:rPr>
          <w:rStyle w:val="11"/>
          <w:b w:val="0"/>
          <w:bCs w:val="0"/>
          <w:lang w:val="en-GB"/>
        </w:rPr>
        <w:t>"The analysis of the reading test results revealed a diverse distribution of proficiency levels among students. The 'Very Poor' category accounted for the highest proportion of students, whereas the 'Very Good' category represented the lowest."</w:t>
      </w:r>
    </w:p>
    <w:p w14:paraId="6A3460D5">
      <w:pPr>
        <w:pStyle w:val="6"/>
      </w:pPr>
    </w:p>
  </w:comment>
  <w:comment w:id="20" w:author="Darmawan Budiyanto" w:date="2025-03-19T09:32:00Z" w:initials="DB">
    <w:p w14:paraId="165B63C2">
      <w:pPr>
        <w:widowControl/>
        <w:autoSpaceDE/>
        <w:autoSpaceDN/>
        <w:rPr>
          <w:sz w:val="24"/>
          <w:szCs w:val="24"/>
          <w:lang w:val="zh-CN"/>
        </w:rPr>
      </w:pPr>
      <w:r>
        <w:rPr>
          <w:sz w:val="24"/>
          <w:szCs w:val="24"/>
          <w:lang w:val="zh-CN"/>
        </w:rPr>
        <w:t>"The examination of students' self-esteem and reading comprehension achievement revealed that the dataset did not meet the assumption of normality, as indicated by a significance value exceeding 0.05. As a result, the researcher applied non-parametric statistical techniques to conduct a more suitable analysis."</w:t>
      </w:r>
    </w:p>
  </w:comment>
  <w:comment w:id="21" w:author="Darmawan Budiyanto" w:date="2025-03-19T09:36:00Z" w:initials="DB">
    <w:p w14:paraId="7B77CF85">
      <w:pPr>
        <w:widowControl/>
        <w:autoSpaceDE/>
        <w:autoSpaceDN/>
        <w:rPr>
          <w:sz w:val="24"/>
          <w:szCs w:val="24"/>
          <w:lang w:val="zh-CN"/>
        </w:rPr>
      </w:pPr>
      <w:r>
        <w:rPr>
          <w:sz w:val="24"/>
          <w:szCs w:val="24"/>
          <w:lang w:val="zh-CN"/>
        </w:rPr>
        <w:t>"This study investigated the correlation between self-esteem and reading comprehension achievement among tenth-grade students at MA Patra Mandiri Palembang. Although a correlation was detected, it did not reach statistical significance. The correlation coefficient (r = 0.125) fell below the critical r-table value (0.180), suggesting a weak relationship. Furthermore, the effect of self-esteem on reading comprehension was not statistically significant, as indicated by a p-value of 0.181, which exceeded the standard threshold of 0.05. These findings suggest that self-esteem is not a determining factor in students' reading comprehension achievement. Instead, other cognitive, linguistic, or environmental factors may have a more substantial influence on their reading proficiency."</w:t>
      </w:r>
    </w:p>
  </w:comment>
  <w:comment w:id="22" w:author="Darmawan Budiyanto" w:date="2025-03-19T09:44:00Z" w:initials="DB">
    <w:p w14:paraId="7A221933">
      <w:pPr>
        <w:widowControl/>
        <w:autoSpaceDE/>
        <w:autoSpaceDN/>
        <w:rPr>
          <w:sz w:val="24"/>
          <w:szCs w:val="24"/>
          <w:lang w:val="zh-CN"/>
        </w:rPr>
      </w:pPr>
      <w:r>
        <w:rPr>
          <w:sz w:val="24"/>
          <w:szCs w:val="24"/>
          <w:lang w:val="zh-CN"/>
        </w:rPr>
        <w:t>The results suggest that multiple factors influence students' self-esteem and reading comprehension achievement. Among these, motivation played a key role, as many students exhibited low enthusiasm during testing. Additionally, difficulties in understanding texts due to unfamiliar vocabulary hindered comprehension. A lack of interest in English, especially in reading, further contributed to students perceiving it as a challenging subject. Limited reading experience also intensified these difficulties, leading to lower reading comprehension scores.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4BBE51A" w15:done="0"/>
  <w15:commentEx w15:paraId="7A5F1287" w15:done="0"/>
  <w15:commentEx w15:paraId="5918150D" w15:done="0"/>
  <w15:commentEx w15:paraId="298742F3" w15:done="0"/>
  <w15:commentEx w15:paraId="59227AEF" w15:done="0"/>
  <w15:commentEx w15:paraId="033CC73B" w15:done="0"/>
  <w15:commentEx w15:paraId="45A9FA59" w15:done="0"/>
  <w15:commentEx w15:paraId="5B749DCD" w15:done="0"/>
  <w15:commentEx w15:paraId="6CF961BB" w15:done="0"/>
  <w15:commentEx w15:paraId="11162CD8" w15:done="0"/>
  <w15:commentEx w15:paraId="47137958" w15:done="0"/>
  <w15:commentEx w15:paraId="24563EC3" w15:done="0"/>
  <w15:commentEx w15:paraId="5CD7F822" w15:done="0"/>
  <w15:commentEx w15:paraId="7ACE3A75" w15:done="0"/>
  <w15:commentEx w15:paraId="73F41151" w15:done="0"/>
  <w15:commentEx w15:paraId="54507AC1" w15:done="0"/>
  <w15:commentEx w15:paraId="73FD5D24" w15:done="0"/>
  <w15:commentEx w15:paraId="4ED39D92" w15:done="0"/>
  <w15:commentEx w15:paraId="148F3A3D" w15:done="0"/>
  <w15:commentEx w15:paraId="6A3460D5" w15:done="0"/>
  <w15:commentEx w15:paraId="165B63C2" w15:done="0"/>
  <w15:commentEx w15:paraId="7B77CF85" w15:done="0"/>
  <w15:commentEx w15:paraId="7A22193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SimSun">
    <w:panose1 w:val="02010600030101010101"/>
    <w:charset w:val="86"/>
    <w:family w:val="auto"/>
    <w:pitch w:val="variable"/>
    <w:sig w:usb0="00000203" w:usb1="288F0000" w:usb2="00000006" w:usb3="00000000" w:csb0="00040001"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variable"/>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5E5E7F"/>
    <w:multiLevelType w:val="multilevel"/>
    <w:tmpl w:val="285E5E7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characterSpacingControl w:val="doNotCompress"/>
  <w:compat>
    <w:doNotExpandShiftReturn/>
    <w:compatSetting w:name="compatibilityMode" w:uri="http://schemas.microsoft.com/office/word" w:val="12"/>
  </w:compat>
  <w:rsids>
    <w:rsidRoot w:val="00B83CCE"/>
    <w:rsid w:val="000336E9"/>
    <w:rsid w:val="0009115A"/>
    <w:rsid w:val="000E6E77"/>
    <w:rsid w:val="00141EF6"/>
    <w:rsid w:val="0014205B"/>
    <w:rsid w:val="00186C13"/>
    <w:rsid w:val="001B61A1"/>
    <w:rsid w:val="001D4430"/>
    <w:rsid w:val="001F09C3"/>
    <w:rsid w:val="002508D8"/>
    <w:rsid w:val="00284DF5"/>
    <w:rsid w:val="002C4A26"/>
    <w:rsid w:val="002F363C"/>
    <w:rsid w:val="00334C6D"/>
    <w:rsid w:val="00340F5E"/>
    <w:rsid w:val="003571F7"/>
    <w:rsid w:val="00395A23"/>
    <w:rsid w:val="003A38E5"/>
    <w:rsid w:val="003D2B7F"/>
    <w:rsid w:val="003F7FCB"/>
    <w:rsid w:val="00401B2E"/>
    <w:rsid w:val="004057A7"/>
    <w:rsid w:val="004242BB"/>
    <w:rsid w:val="00446687"/>
    <w:rsid w:val="00453FB2"/>
    <w:rsid w:val="004B3F9C"/>
    <w:rsid w:val="004E11D8"/>
    <w:rsid w:val="00505257"/>
    <w:rsid w:val="00533C38"/>
    <w:rsid w:val="00543353"/>
    <w:rsid w:val="005F793D"/>
    <w:rsid w:val="0063010F"/>
    <w:rsid w:val="006430DC"/>
    <w:rsid w:val="00643975"/>
    <w:rsid w:val="006475A2"/>
    <w:rsid w:val="00681E21"/>
    <w:rsid w:val="006A2EB7"/>
    <w:rsid w:val="006B0D55"/>
    <w:rsid w:val="006B239A"/>
    <w:rsid w:val="006C51DA"/>
    <w:rsid w:val="006E1ABA"/>
    <w:rsid w:val="00705149"/>
    <w:rsid w:val="007155BA"/>
    <w:rsid w:val="007515F6"/>
    <w:rsid w:val="00772AF4"/>
    <w:rsid w:val="007823B0"/>
    <w:rsid w:val="007B61E8"/>
    <w:rsid w:val="008172A8"/>
    <w:rsid w:val="0083015A"/>
    <w:rsid w:val="00843434"/>
    <w:rsid w:val="008952A4"/>
    <w:rsid w:val="008B021B"/>
    <w:rsid w:val="008B0DD1"/>
    <w:rsid w:val="008D2DA5"/>
    <w:rsid w:val="0097088C"/>
    <w:rsid w:val="009A36CB"/>
    <w:rsid w:val="009C5089"/>
    <w:rsid w:val="00A04F59"/>
    <w:rsid w:val="00A33911"/>
    <w:rsid w:val="00AA6FB6"/>
    <w:rsid w:val="00AD1773"/>
    <w:rsid w:val="00AE5847"/>
    <w:rsid w:val="00B3192E"/>
    <w:rsid w:val="00B530E5"/>
    <w:rsid w:val="00B658F7"/>
    <w:rsid w:val="00B810EE"/>
    <w:rsid w:val="00B83CCE"/>
    <w:rsid w:val="00BC4DBE"/>
    <w:rsid w:val="00C11BEC"/>
    <w:rsid w:val="00CB0CF4"/>
    <w:rsid w:val="00D4448D"/>
    <w:rsid w:val="00D546E2"/>
    <w:rsid w:val="00D8457B"/>
    <w:rsid w:val="00D86092"/>
    <w:rsid w:val="00DC2C28"/>
    <w:rsid w:val="00DF2068"/>
    <w:rsid w:val="00E357D9"/>
    <w:rsid w:val="00E80D88"/>
    <w:rsid w:val="00EA7562"/>
    <w:rsid w:val="00EC4072"/>
    <w:rsid w:val="00EF7DEF"/>
    <w:rsid w:val="00F20D66"/>
    <w:rsid w:val="00F4011A"/>
    <w:rsid w:val="00FA616B"/>
    <w:rsid w:val="22BB2AFF"/>
    <w:rsid w:val="2E6E1A0E"/>
    <w:rsid w:val="31595847"/>
    <w:rsid w:val="44692B43"/>
    <w:rsid w:val="6E6079E1"/>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pPr>
      <w:keepNext w:val="0"/>
      <w:keepLines w:val="0"/>
      <w:widowControl/>
      <w:suppressLineNumbers w:val="0"/>
      <w:spacing w:before="0" w:beforeAutospacing="0" w:after="200" w:afterAutospacing="0" w:line="276" w:lineRule="auto"/>
      <w:ind w:left="0" w:right="0"/>
    </w:pPr>
    <w:rPr>
      <w:rFonts w:hint="eastAsia" w:ascii="Calibri" w:hAnsi="Calibri" w:eastAsia="Times New Roman" w:cs="Times New Roman"/>
      <w:sz w:val="22"/>
      <w:szCs w:val="22"/>
    </w:rPr>
    <w:tblPr>
      <w:tblCellMar>
        <w:top w:w="0" w:type="dxa"/>
        <w:left w:w="108" w:type="dxa"/>
        <w:bottom w:w="0" w:type="dxa"/>
        <w:right w:w="108" w:type="dxa"/>
      </w:tblCellMar>
    </w:tblPr>
  </w:style>
  <w:style w:type="paragraph" w:styleId="4">
    <w:name w:val="Balloon Text"/>
    <w:basedOn w:val="1"/>
    <w:link w:val="20"/>
    <w:semiHidden/>
    <w:unhideWhenUsed/>
    <w:uiPriority w:val="99"/>
    <w:rPr>
      <w:rFonts w:ascii="Tahoma" w:hAnsi="Tahoma" w:cs="Tahoma"/>
      <w:sz w:val="16"/>
      <w:szCs w:val="16"/>
    </w:rPr>
  </w:style>
  <w:style w:type="character" w:styleId="5">
    <w:name w:val="annotation reference"/>
    <w:basedOn w:val="2"/>
    <w:semiHidden/>
    <w:unhideWhenUsed/>
    <w:uiPriority w:val="99"/>
    <w:rPr>
      <w:sz w:val="16"/>
      <w:szCs w:val="16"/>
    </w:rPr>
  </w:style>
  <w:style w:type="paragraph" w:styleId="6">
    <w:name w:val="annotation text"/>
    <w:basedOn w:val="1"/>
    <w:link w:val="18"/>
    <w:semiHidden/>
    <w:unhideWhenUsed/>
    <w:qFormat/>
    <w:uiPriority w:val="99"/>
    <w:rPr>
      <w:sz w:val="20"/>
      <w:szCs w:val="20"/>
    </w:rPr>
  </w:style>
  <w:style w:type="paragraph" w:styleId="7">
    <w:name w:val="annotation subject"/>
    <w:basedOn w:val="6"/>
    <w:next w:val="6"/>
    <w:link w:val="19"/>
    <w:semiHidden/>
    <w:unhideWhenUsed/>
    <w:uiPriority w:val="99"/>
    <w:rPr>
      <w:b/>
      <w:bCs/>
    </w:rPr>
  </w:style>
  <w:style w:type="paragraph" w:styleId="8">
    <w:name w:val="footnote text"/>
    <w:basedOn w:val="1"/>
    <w:link w:val="22"/>
    <w:unhideWhenUsed/>
    <w:uiPriority w:val="99"/>
    <w:pPr>
      <w:widowControl/>
      <w:autoSpaceDE/>
      <w:autoSpaceDN/>
    </w:pPr>
    <w:rPr>
      <w:rFonts w:asciiTheme="minorHAnsi" w:hAnsiTheme="minorHAnsi" w:eastAsiaTheme="minorEastAsia" w:cstheme="minorBidi"/>
      <w:sz w:val="20"/>
      <w:szCs w:val="20"/>
    </w:rPr>
  </w:style>
  <w:style w:type="character" w:styleId="9">
    <w:name w:val="Hyperlink"/>
    <w:basedOn w:val="2"/>
    <w:unhideWhenUsed/>
    <w:uiPriority w:val="99"/>
    <w:rPr>
      <w:color w:val="0000FF" w:themeColor="hyperlink"/>
      <w:u w:val="single"/>
    </w:rPr>
  </w:style>
  <w:style w:type="paragraph" w:styleId="10">
    <w:name w:val="Normal (Web)"/>
    <w:basedOn w:val="1"/>
    <w:unhideWhenUsed/>
    <w:qFormat/>
    <w:uiPriority w:val="99"/>
    <w:pPr>
      <w:widowControl/>
      <w:autoSpaceDE/>
      <w:autoSpaceDN/>
      <w:spacing w:before="100" w:beforeAutospacing="1" w:after="100" w:afterAutospacing="1"/>
    </w:pPr>
    <w:rPr>
      <w:sz w:val="24"/>
      <w:szCs w:val="24"/>
      <w:lang w:val="id-ID" w:eastAsia="id-ID"/>
    </w:rPr>
  </w:style>
  <w:style w:type="character" w:styleId="11">
    <w:name w:val="Strong"/>
    <w:basedOn w:val="2"/>
    <w:qFormat/>
    <w:uiPriority w:val="22"/>
    <w:rPr>
      <w:b/>
      <w:bCs/>
    </w:rPr>
  </w:style>
  <w:style w:type="table" w:styleId="12">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3">
    <w:name w:val="Light Shading"/>
    <w:uiPriority w:val="60"/>
    <w:pPr>
      <w:keepNext w:val="0"/>
      <w:keepLines w:val="0"/>
      <w:widowControl/>
      <w:suppressLineNumbers w:val="0"/>
      <w:spacing w:before="0" w:beforeAutospacing="0" w:after="0" w:afterAutospacing="0"/>
      <w:ind w:left="0" w:right="0"/>
    </w:pPr>
    <w:rPr>
      <w:rFonts w:hint="eastAsia" w:ascii="Calibri" w:hAnsi="Calibri" w:cs="Times New Roman"/>
      <w:color w:val="000000"/>
      <w:kern w:val="2"/>
      <w:sz w:val="22"/>
      <w:szCs w:val="22"/>
      <w:lang w:eastAsia="en-US"/>
    </w:rPr>
    <w:tblPr>
      <w:tblStyleRowBandSize w:val="1"/>
      <w:tblStyleColBandSize w:val="1"/>
      <w:tblBorders>
        <w:top w:val="single" w:color="000000" w:sz="8" w:space="0"/>
        <w:bottom w:val="single" w:color="000000" w:sz="8" w:space="0"/>
      </w:tblBorders>
      <w:tblCellMar>
        <w:top w:w="0" w:type="dxa"/>
        <w:left w:w="108" w:type="dxa"/>
        <w:bottom w:w="0" w:type="dxa"/>
        <w:right w:w="108" w:type="dxa"/>
      </w:tblCellMar>
    </w:tblPr>
    <w:tcPr>
      <w:tcBorders>
        <w:top w:val="single" w:color="000000" w:sz="8" w:space="0"/>
        <w:left w:val="nil"/>
        <w:bottom w:val="single" w:color="000000" w:sz="8" w:space="0"/>
        <w:right w:val="nil"/>
      </w:tcBorders>
    </w:tcPr>
    <w:tblStylePr w:type="firstRow">
      <w:pPr>
        <w:spacing w:before="0" w:beforeAutospacing="0" w:after="0" w:afterAutospacing="0" w:line="240" w:lineRule="auto"/>
      </w:pPr>
      <w:rPr>
        <w:b/>
        <w:bCs/>
      </w:rPr>
      <w:tblPr/>
      <w:tcPr>
        <w:tcBorders>
          <w:top w:val="single" w:color="000000" w:sz="8" w:space="0"/>
          <w:left w:val="nil"/>
          <w:bottom w:val="single" w:color="000000" w:sz="8" w:space="0"/>
          <w:right w:val="nil"/>
        </w:tcBorders>
      </w:tcPr>
    </w:tblStylePr>
    <w:tblStylePr w:type="lastRow">
      <w:pPr>
        <w:spacing w:before="0" w:beforeAutospacing="0" w:after="0" w:afterAutospacing="0" w:line="240" w:lineRule="auto"/>
      </w:pPr>
      <w:rPr>
        <w:b/>
        <w:bCs/>
      </w:rPr>
      <w:tblPr/>
      <w:tcPr>
        <w:tcBorders>
          <w:top w:val="single" w:color="000000" w:sz="8" w:space="0"/>
          <w:left w:val="nil"/>
          <w:bottom w:val="single" w:color="000000" w:sz="8" w:space="0"/>
          <w:right w:val="nil"/>
        </w:tcBorders>
      </w:tcPr>
    </w:tblStylePr>
    <w:tblStylePr w:type="firstCol">
      <w:rPr>
        <w:b/>
        <w:bCs/>
      </w:rPr>
      <w:tblPr/>
    </w:tblStylePr>
    <w:tblStylePr w:type="lastCol">
      <w:rPr>
        <w:b/>
        <w:bCs/>
      </w:rPr>
      <w:tblPr/>
    </w:tblStylePr>
    <w:tblStylePr w:type="band1Vert">
      <w:tblPr/>
      <w:tcPr>
        <w:tcBorders>
          <w:left w:val="nil"/>
          <w:right w:val="nil"/>
        </w:tcBorders>
        <w:shd w:val="clear" w:color="auto" w:fill="C0C0C0"/>
      </w:tcPr>
    </w:tblStylePr>
    <w:tblStylePr w:type="band1Horz">
      <w:tblPr/>
      <w:tcPr>
        <w:tcBorders>
          <w:left w:val="nil"/>
          <w:right w:val="nil"/>
        </w:tcBorders>
        <w:shd w:val="clear" w:color="auto" w:fill="C0C0C0"/>
      </w:tcPr>
    </w:tblStylePr>
  </w:style>
  <w:style w:type="paragraph" w:customStyle="1" w:styleId="14">
    <w:name w:val="z-Top of Form1"/>
    <w:basedOn w:val="1"/>
    <w:next w:val="1"/>
    <w:link w:val="15"/>
    <w:semiHidden/>
    <w:unhideWhenUsed/>
    <w:qFormat/>
    <w:uiPriority w:val="99"/>
    <w:pPr>
      <w:widowControl/>
      <w:pBdr>
        <w:bottom w:val="single" w:color="auto" w:sz="6" w:space="1"/>
      </w:pBdr>
      <w:autoSpaceDE/>
      <w:autoSpaceDN/>
      <w:jc w:val="center"/>
    </w:pPr>
    <w:rPr>
      <w:rFonts w:ascii="Arial" w:hAnsi="Arial" w:cs="Arial"/>
      <w:vanish/>
      <w:sz w:val="16"/>
      <w:szCs w:val="16"/>
      <w:lang w:val="id-ID" w:eastAsia="id-ID"/>
    </w:rPr>
  </w:style>
  <w:style w:type="character" w:customStyle="1" w:styleId="15">
    <w:name w:val="z-Top of Form Char"/>
    <w:basedOn w:val="2"/>
    <w:link w:val="14"/>
    <w:semiHidden/>
    <w:qFormat/>
    <w:uiPriority w:val="99"/>
    <w:rPr>
      <w:rFonts w:ascii="Arial" w:hAnsi="Arial" w:eastAsia="Times New Roman" w:cs="Arial"/>
      <w:vanish/>
      <w:kern w:val="0"/>
      <w:sz w:val="16"/>
      <w:szCs w:val="16"/>
      <w:lang w:eastAsia="id-ID"/>
    </w:rPr>
  </w:style>
  <w:style w:type="paragraph" w:customStyle="1" w:styleId="16">
    <w:name w:val="z-Bottom of Form1"/>
    <w:basedOn w:val="1"/>
    <w:next w:val="1"/>
    <w:link w:val="17"/>
    <w:semiHidden/>
    <w:unhideWhenUsed/>
    <w:qFormat/>
    <w:uiPriority w:val="99"/>
    <w:pPr>
      <w:widowControl/>
      <w:pBdr>
        <w:top w:val="single" w:color="auto" w:sz="6" w:space="1"/>
      </w:pBdr>
      <w:autoSpaceDE/>
      <w:autoSpaceDN/>
      <w:jc w:val="center"/>
    </w:pPr>
    <w:rPr>
      <w:rFonts w:ascii="Arial" w:hAnsi="Arial" w:cs="Arial"/>
      <w:vanish/>
      <w:sz w:val="16"/>
      <w:szCs w:val="16"/>
      <w:lang w:val="id-ID" w:eastAsia="id-ID"/>
    </w:rPr>
  </w:style>
  <w:style w:type="character" w:customStyle="1" w:styleId="17">
    <w:name w:val="z-Bottom of Form Char"/>
    <w:basedOn w:val="2"/>
    <w:link w:val="16"/>
    <w:semiHidden/>
    <w:qFormat/>
    <w:uiPriority w:val="99"/>
    <w:rPr>
      <w:rFonts w:ascii="Arial" w:hAnsi="Arial" w:eastAsia="Times New Roman" w:cs="Arial"/>
      <w:vanish/>
      <w:kern w:val="0"/>
      <w:sz w:val="16"/>
      <w:szCs w:val="16"/>
      <w:lang w:eastAsia="id-ID"/>
    </w:rPr>
  </w:style>
  <w:style w:type="character" w:customStyle="1" w:styleId="18">
    <w:name w:val="Comment Text Char"/>
    <w:basedOn w:val="2"/>
    <w:link w:val="6"/>
    <w:semiHidden/>
    <w:qFormat/>
    <w:uiPriority w:val="99"/>
    <w:rPr>
      <w:rFonts w:ascii="Times New Roman" w:hAnsi="Times New Roman" w:eastAsia="Times New Roman" w:cs="Times New Roman"/>
      <w:lang w:val="en-US" w:eastAsia="en-US"/>
    </w:rPr>
  </w:style>
  <w:style w:type="character" w:customStyle="1" w:styleId="19">
    <w:name w:val="Comment Subject Char"/>
    <w:basedOn w:val="18"/>
    <w:link w:val="7"/>
    <w:semiHidden/>
    <w:uiPriority w:val="99"/>
    <w:rPr>
      <w:rFonts w:ascii="Times New Roman" w:hAnsi="Times New Roman" w:eastAsia="Times New Roman" w:cs="Times New Roman"/>
      <w:b/>
      <w:bCs/>
      <w:lang w:val="en-US" w:eastAsia="en-US"/>
    </w:rPr>
  </w:style>
  <w:style w:type="character" w:customStyle="1" w:styleId="20">
    <w:name w:val="Balloon Text Char"/>
    <w:basedOn w:val="2"/>
    <w:link w:val="4"/>
    <w:semiHidden/>
    <w:uiPriority w:val="99"/>
    <w:rPr>
      <w:rFonts w:ascii="Tahoma" w:hAnsi="Tahoma" w:eastAsia="Times New Roman" w:cs="Tahoma"/>
      <w:sz w:val="16"/>
      <w:szCs w:val="16"/>
      <w:lang w:val="en-US" w:eastAsia="en-US"/>
    </w:rPr>
  </w:style>
  <w:style w:type="paragraph" w:styleId="21">
    <w:name w:val="List Paragraph"/>
    <w:basedOn w:val="1"/>
    <w:unhideWhenUsed/>
    <w:uiPriority w:val="99"/>
    <w:pPr>
      <w:ind w:left="720"/>
      <w:contextualSpacing/>
    </w:pPr>
  </w:style>
  <w:style w:type="character" w:customStyle="1" w:styleId="22">
    <w:name w:val="Footnote Text Char"/>
    <w:basedOn w:val="2"/>
    <w:link w:val="8"/>
    <w:uiPriority w:val="99"/>
    <w:rPr>
      <w:rFonts w:eastAsiaTheme="minorEastAsia"/>
      <w:lang w:val="en-US" w:eastAsia="en-US"/>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1821EBC-DFE3-4BA8-83B0-5E15018DF98D}">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2831</Words>
  <Characters>16141</Characters>
  <Lines>134</Lines>
  <Paragraphs>37</Paragraphs>
  <TotalTime>27</TotalTime>
  <ScaleCrop>false</ScaleCrop>
  <LinksUpToDate>false</LinksUpToDate>
  <CharactersWithSpaces>18935</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2025-04-24T00:54:00Z</dcterms:created>
  <dc:creator>Asus</dc:creator>
  <cp:lastModifiedBy>Aisya Perdana Asmaja</cp:lastModifiedBy>
  <dcterms:modified xsi:type="dcterms:W3CDTF">2025-05-12T06:11:51Z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1033-12.2.0.20796</vt:lpwstr>
  </property>
  <property fmtid="{D5CDD505-2E9C-101B-9397-08002B2CF9AE}" pid="3" name="ICV">
    <vt:lpwstr>BC77104B277A4A40B055A6878FFC75D6_12</vt:lpwstr>
  </property>
  <property fmtid="{D5CDD505-2E9C-101B-9397-08002B2CF9AE}" pid="4" name="GrammarlyDocumentId">
    <vt:lpwstr>f5e37de8475b948bd945d01469b3b1b5cd905f810a6a59ea7667e00cac8078b9</vt:lpwstr>
  </property>
</Properties>
</file>