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100" w:before="0"/>
        <w:jc w:val="center"/>
      </w:pPr>
      <w:r>
        <w:rPr>
          <w:rFonts w:ascii="Arial" w:cs="Arial" w:eastAsia="Arial" w:hAnsi="Arial"/>
          <w:b/>
          <w:bCs/>
          <w:i w:val="false"/>
          <w:iCs w:val="false"/>
          <w:caps w:val="false"/>
          <w:color w:val="0A2342"/>
          <w:sz w:val="58"/>
          <w:szCs w:val="58"/>
        </w:rPr>
        <w:t xml:space="preserve">CONVERGENT EMERGENCE ARCHITECTURE</w:t>
      </w:r>
    </w:p>
    <w:p>
      <w:pPr>
        <w:spacing w:after="240" w:before="0"/>
        <w:jc w:val="center"/>
      </w:pPr>
      <w:r>
        <w:rPr>
          <w:rFonts w:ascii="Arial" w:cs="Arial" w:eastAsia="Arial" w:hAnsi="Arial"/>
          <w:b w:val="false"/>
          <w:bCs w:val="false"/>
          <w:i w:val="false"/>
          <w:iCs w:val="false"/>
          <w:caps w:val="false"/>
          <w:color w:val="2E75B6"/>
          <w:sz w:val="28"/>
          <w:szCs w:val="28"/>
        </w:rPr>
        <w:t xml:space="preserve">v0.2-alpha  |  Verification-First Quantum-HPC Edition</w:t>
      </w:r>
    </w:p>
    <w:p>
      <w:pPr>
        <w:pBdr>
          <w:bottom w:val="single" w:color="2E75B6" w:sz="6" w:space="6"/>
        </w:pBdr>
        <w:spacing w:after="200" w:before="0"/>
      </w:pPr>
      <w:r>
        <w:t xml:space="preserve"/>
      </w:r>
    </w:p>
    <w:p>
      <w:pPr>
        <w:spacing w:after="80" w:before="0"/>
        <w:jc w:val="center"/>
      </w:pPr>
      <w:r>
        <w:rPr>
          <w:rFonts w:ascii="Arial" w:cs="Arial" w:eastAsia="Arial" w:hAnsi="Arial"/>
          <w:b w:val="false"/>
          <w:bCs w:val="false"/>
          <w:i/>
          <w:iCs/>
          <w:caps w:val="false"/>
          <w:color w:val="1B4F8A"/>
          <w:sz w:val="28"/>
          <w:szCs w:val="28"/>
        </w:rPr>
        <w:t xml:space="preserve">A Unified Framework for Emergent, Grounded, and Verifiable Machine Intelligence</w:t>
      </w:r>
    </w:p>
    <w:p>
      <w:pPr>
        <w:spacing w:after="320" w:before="0"/>
        <w:jc w:val="center"/>
      </w:pPr>
      <w:r>
        <w:rPr>
          <w:rFonts w:ascii="Arial" w:cs="Arial" w:eastAsia="Arial" w:hAnsi="Arial"/>
          <w:b w:val="false"/>
          <w:bCs w:val="false"/>
          <w:i/>
          <w:iCs/>
          <w:caps w:val="false"/>
          <w:color w:val="1B4F8A"/>
          <w:sz w:val="24"/>
          <w:szCs w:val="24"/>
        </w:rPr>
        <w:t xml:space="preserve">Built on Physics, Thermodynamics, and Hierarchical Self-Organization</w:t>
      </w:r>
    </w:p>
    <w:p>
      <w:pPr>
        <w:spacing w:after="80" w:before="0"/>
      </w:pPr>
      <w:r>
        <w:t xml:space="preserve"/>
      </w:r>
    </w:p>
    <w:p>
      <w:pPr>
        <w:spacing w:after="80" w:before="0"/>
      </w:pPr>
      <w:r>
        <w:t xml:space="preserve"/>
      </w:r>
    </w:p>
    <w:p>
      <w:pPr>
        <w:spacing w:after="80" w:before="0"/>
        <w:jc w:val="center"/>
      </w:pPr>
      <w:r>
        <w:rPr>
          <w:rFonts w:ascii="Arial" w:cs="Arial" w:eastAsia="Arial" w:hAnsi="Arial"/>
          <w:b/>
          <w:bCs/>
          <w:i w:val="false"/>
          <w:iCs w:val="false"/>
          <w:caps/>
          <w:color w:val="888888"/>
          <w:sz w:val="20"/>
          <w:szCs w:val="20"/>
        </w:rPr>
        <w:t xml:space="preserve">TECHNICAL RESEARCH PAPER</w:t>
      </w:r>
    </w:p>
    <w:p>
      <w:pPr>
        <w:spacing w:after="80" w:before="0"/>
        <w:jc w:val="center"/>
      </w:pPr>
      <w:r>
        <w:rPr>
          <w:rFonts w:ascii="Arial" w:cs="Arial" w:eastAsia="Arial" w:hAnsi="Arial"/>
          <w:b w:val="false"/>
          <w:bCs w:val="false"/>
          <w:i w:val="false"/>
          <w:iCs w:val="false"/>
          <w:caps w:val="false"/>
          <w:color w:val="AAAAAA"/>
          <w:sz w:val="20"/>
          <w:szCs w:val="20"/>
        </w:rPr>
        <w:t xml:space="preserve">Version 0.2 Alpha  |  2025  |  Classification: Open Research</w:t>
      </w:r>
    </w:p>
    <w:p>
      <w:pPr>
        <w:spacing w:after="0" w:before="0"/>
        <w:jc w:val="center"/>
      </w:pPr>
      <w:r>
        <w:rPr>
          <w:rFonts w:ascii="Arial" w:cs="Arial" w:eastAsia="Arial" w:hAnsi="Arial"/>
          <w:b w:val="false"/>
          <w:bCs w:val="false"/>
          <w:i w:val="false"/>
          <w:iCs w:val="false"/>
          <w:caps w:val="false"/>
          <w:color w:val="BBBBBB"/>
          <w:sz w:val="18"/>
          <w:szCs w:val="18"/>
        </w:rPr>
        <w:t xml:space="preserve">Domain: Artificial General Intelligence  |  Emergent Computation  |  Verification-First AI  |  HPC Systems</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Version</w:t>
            </w:r>
          </w:p>
        </w:tc>
        <w:tc>
          <w:tcPr>
            <w:tcW w:type="dxa" w:w="20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Date</w:t>
            </w:r>
          </w:p>
        </w:tc>
        <w:tc>
          <w:tcPr>
            <w:tcW w:type="dxa" w:w="596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Changes</w:t>
            </w:r>
          </w:p>
        </w:tc>
      </w:tr>
      <w:tr>
        <w:tc>
          <w:tcPr>
            <w:tcW w:type="dxa" w:w="1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v0.1-alpha</w:t>
            </w:r>
          </w:p>
        </w:tc>
        <w:tc>
          <w:tcPr>
            <w:tcW w:type="dxa" w:w="2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2025 Q1</w:t>
            </w:r>
          </w:p>
        </w:tc>
        <w:tc>
          <w:tcPr>
            <w:tcW w:type="dxa" w:w="59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Initial theoretical framework. Six-layer hierarchy, QNode definition, thermodynamic grounding, neuromorphic hardware roadmap.</w:t>
            </w:r>
          </w:p>
        </w:tc>
      </w:tr>
      <w:tr>
        <w:tc>
          <w:tcPr>
            <w:tcW w:type="dxa" w:w="14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v0.2-alpha</w:t>
            </w:r>
          </w:p>
        </w:tc>
        <w:tc>
          <w:tcPr>
            <w:tcW w:type="dxa" w:w="20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2025 Q2</w:t>
            </w:r>
          </w:p>
        </w:tc>
        <w:tc>
          <w:tcPr>
            <w:tcW w:type="dxa" w:w="596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MAJOR: Added Verification-First Paradigm, Hierarchical Verification Engine (HVE), Quantum-Inspired Tensor Field formalism, HPC-first hardware roadmap, Information-Theoretic Foundations, Safety &amp; Alignment chapter, Experimental Roadmap with benchmarks, Economic Impact analysis. Replaced neuromorphic-first strategy with GPU/HPC Phase 1. Strengthened all theoretical proofs.</w:t>
            </w:r>
          </w:p>
        </w:tc>
      </w:tr>
    </w:tbl>
    <w:p>
      <w:pPr>
        <w:spacing w:after="220" w:before="60"/>
        <w:jc w:val="center"/>
      </w:pPr>
      <w:r>
        <w:rPr>
          <w:rFonts w:ascii="Arial" w:cs="Arial" w:eastAsia="Arial" w:hAnsi="Arial"/>
          <w:b w:val="false"/>
          <w:bCs w:val="false"/>
          <w:i/>
          <w:iCs/>
          <w:caps w:val="false"/>
          <w:color w:val="888888"/>
          <w:sz w:val="18"/>
          <w:szCs w:val="18"/>
        </w:rPr>
        <w:t xml:space="preserve">Table V. Version history.</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Abstract</w:t>
      </w:r>
    </w:p>
    <w:p>
      <w:pPr>
        <w:pBdr>
          <w:left w:val="single" w:color="2E75B6" w:sz="28" w:space="14"/>
        </w:pBdr>
        <w:shd w:fill="EBF4FB" w:val="clear"/>
        <w:spacing w:after="160" w:before="160"/>
        <w:ind w:left="280" w:right="280"/>
      </w:pPr>
      <w:r>
        <w:rPr>
          <w:rFonts w:ascii="Arial" w:cs="Arial" w:eastAsia="Arial" w:hAnsi="Arial"/>
          <w:b w:val="false"/>
          <w:bCs w:val="false"/>
          <w:i w:val="false"/>
          <w:iCs w:val="false"/>
          <w:caps w:val="false"/>
          <w:color w:val="0A2342"/>
          <w:sz w:val="22"/>
          <w:szCs w:val="22"/>
        </w:rPr>
        <w:t xml:space="preserve">We present Convergent Emergence Architecture v0.2 (CEA), a unified computational intelligence framework that reconceives machine cognition as an emergent thermodynamic process rather than a static function approximation. CEA introduces six core contributions: (1) the QNode — a stateful, energy-aware, phase-synchronized computational primitive superseding the classical artificial neuron; (2) the Hierarchical Verification Engine (HVE) — a multi-tier reality-grounding system that replaces hallucination filtering with structural impossibility of sustained factual inconsistency; (3) a Quantum-Inspired Tensor Field formalism for the global contextual broadcast, eliminating O(N) communication bottlenecks via low-rank tensor decomposition; (4) a five-component composite training objective integrating prediction accuracy, energy minimization, entropy reduction, resonance reinforcement, and symbolic consistency; (5) an HPC-first deployment strategy targeting immediate realization on GPU supercomputers and exascale clusters, with neuromorphic hardware as the long-term efficiency horizon; and (6) formal information-theoretic proofs connecting the CEA grounding mechanism to Landauer's Principle, Shannon's channel capacity theorem, and Kolmogorov complexity bounds. We prove the Hallucination Elimination Theorem: in a CEA system at thermodynamic equilibrium, the stationary probability of any output state violating the Reality Alignment Constraint is exactly zero — a structural guarantee unachievable by retrieval augmentation, RLHF alignment, or any post-generation filtering approach. CEA positions itself as a new paradigm — Verification-First AI — in which correctness is not a property of outputs but a thermodynamic invariant of the computational process itself.</w:t>
      </w:r>
    </w:p>
    <w:p>
      <w:pPr>
        <w:spacing w:after="80" w:before="0"/>
      </w:pPr>
      <w:r>
        <w:t xml:space="preserve"/>
      </w:r>
    </w:p>
    <w:p>
      <w:pPr>
        <w:spacing w:after="130" w:before="80"/>
        <w:ind/>
        <w:jc w:val="both"/>
      </w:pPr>
      <w:r>
        <w:rPr>
          <w:rFonts w:ascii="Arial" w:cs="Arial" w:eastAsia="Arial" w:hAnsi="Arial"/>
          <w:b w:val="false"/>
          <w:bCs w:val="false"/>
          <w:i w:val="false"/>
          <w:iCs w:val="false"/>
          <w:caps w:val="false"/>
          <w:color w:val="444444"/>
          <w:sz w:val="22"/>
          <w:szCs w:val="22"/>
        </w:rPr>
        <w:t xml:space="preserve">Keywords: Emergent Intelligence, QNode, Hierarchical Verification Engine, Verification-First AI, Quantum-Inspired Tensor Networks, Energy-Based Learning, Hallucination Elimination, Information Theory, Landauer's Principle, Artificial General Intelligence, Neurosymbolic AI, HPC Deployment, Composite Training Objective</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Table of Contents</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1.  Introduction</w:t>
      </w:r>
      <w:r>
        <w:rPr>
          <w:rFonts w:ascii="Arial" w:cs="Arial" w:eastAsia="Arial" w:hAnsi="Arial"/>
          <w:color w:val="2E75B6"/>
          <w:sz w:val="22"/>
          <w:szCs w:val="22"/>
        </w:rPr>
        <w:t xml:space="preserve">	5</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2.  Background and Related Work</w:t>
      </w:r>
      <w:r>
        <w:rPr>
          <w:rFonts w:ascii="Arial" w:cs="Arial" w:eastAsia="Arial" w:hAnsi="Arial"/>
          <w:color w:val="2E75B6"/>
          <w:sz w:val="22"/>
          <w:szCs w:val="22"/>
        </w:rPr>
        <w:t xml:space="preserve">	7</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3.  The Verification-First Paradigm (NEW in v0.2)</w:t>
      </w:r>
      <w:r>
        <w:rPr>
          <w:rFonts w:ascii="Arial" w:cs="Arial" w:eastAsia="Arial" w:hAnsi="Arial"/>
          <w:color w:val="2E75B6"/>
          <w:sz w:val="22"/>
          <w:szCs w:val="22"/>
        </w:rPr>
        <w:t xml:space="preserve">	10</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4.  Architectural Overview</w:t>
      </w:r>
      <w:r>
        <w:rPr>
          <w:rFonts w:ascii="Arial" w:cs="Arial" w:eastAsia="Arial" w:hAnsi="Arial"/>
          <w:color w:val="2E75B6"/>
          <w:sz w:val="22"/>
          <w:szCs w:val="22"/>
        </w:rPr>
        <w:t xml:space="preserve">	12</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5.  The QNode: Atomic Unit of Computation</w:t>
      </w:r>
      <w:r>
        <w:rPr>
          <w:rFonts w:ascii="Arial" w:cs="Arial" w:eastAsia="Arial" w:hAnsi="Arial"/>
          <w:color w:val="2E75B6"/>
          <w:sz w:val="22"/>
          <w:szCs w:val="22"/>
        </w:rPr>
        <w:t xml:space="preserve">	14</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6.  Hierarchical Verification Engine (HVE)</w:t>
      </w:r>
      <w:r>
        <w:rPr>
          <w:rFonts w:ascii="Arial" w:cs="Arial" w:eastAsia="Arial" w:hAnsi="Arial"/>
          <w:color w:val="2E75B6"/>
          <w:sz w:val="22"/>
          <w:szCs w:val="22"/>
        </w:rPr>
        <w:t xml:space="preserve">	17</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7.  Quantum-Inspired Tensor Field for F_global</w:t>
      </w:r>
      <w:r>
        <w:rPr>
          <w:rFonts w:ascii="Arial" w:cs="Arial" w:eastAsia="Arial" w:hAnsi="Arial"/>
          <w:color w:val="2E75B6"/>
          <w:sz w:val="22"/>
          <w:szCs w:val="22"/>
        </w:rPr>
        <w:t xml:space="preserve">	21</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8.  Training Objective and Learning Model</w:t>
      </w:r>
      <w:r>
        <w:rPr>
          <w:rFonts w:ascii="Arial" w:cs="Arial" w:eastAsia="Arial" w:hAnsi="Arial"/>
          <w:color w:val="2E75B6"/>
          <w:sz w:val="22"/>
          <w:szCs w:val="22"/>
        </w:rPr>
        <w:t xml:space="preserve">	24</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9.  Memory Architecture</w:t>
      </w:r>
      <w:r>
        <w:rPr>
          <w:rFonts w:ascii="Arial" w:cs="Arial" w:eastAsia="Arial" w:hAnsi="Arial"/>
          <w:color w:val="2E75B6"/>
          <w:sz w:val="22"/>
          <w:szCs w:val="22"/>
        </w:rPr>
        <w:t xml:space="preserve">	27</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10.  Information-Theoretic Foundations</w:t>
      </w:r>
      <w:r>
        <w:rPr>
          <w:rFonts w:ascii="Arial" w:cs="Arial" w:eastAsia="Arial" w:hAnsi="Arial"/>
          <w:color w:val="2E75B6"/>
          <w:sz w:val="22"/>
          <w:szCs w:val="22"/>
        </w:rPr>
        <w:t xml:space="preserve">	29</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11.  Hardware: HPC-First Deployment Roadmap</w:t>
      </w:r>
      <w:r>
        <w:rPr>
          <w:rFonts w:ascii="Arial" w:cs="Arial" w:eastAsia="Arial" w:hAnsi="Arial"/>
          <w:color w:val="2E75B6"/>
          <w:sz w:val="22"/>
          <w:szCs w:val="22"/>
        </w:rPr>
        <w:t xml:space="preserve">	32</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12.  Theoretical Analysis and Formal Proofs</w:t>
      </w:r>
      <w:r>
        <w:rPr>
          <w:rFonts w:ascii="Arial" w:cs="Arial" w:eastAsia="Arial" w:hAnsi="Arial"/>
          <w:color w:val="2E75B6"/>
          <w:sz w:val="22"/>
          <w:szCs w:val="22"/>
        </w:rPr>
        <w:t xml:space="preserve">	35</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13.  Comparative Analysis</w:t>
      </w:r>
      <w:r>
        <w:rPr>
          <w:rFonts w:ascii="Arial" w:cs="Arial" w:eastAsia="Arial" w:hAnsi="Arial"/>
          <w:color w:val="2E75B6"/>
          <w:sz w:val="22"/>
          <w:szCs w:val="22"/>
        </w:rPr>
        <w:t xml:space="preserve">	39</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14.  Safety, Alignment, and Ethical Considerations</w:t>
      </w:r>
      <w:r>
        <w:rPr>
          <w:rFonts w:ascii="Arial" w:cs="Arial" w:eastAsia="Arial" w:hAnsi="Arial"/>
          <w:color w:val="2E75B6"/>
          <w:sz w:val="22"/>
          <w:szCs w:val="22"/>
        </w:rPr>
        <w:t xml:space="preserve">	42</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15.  Economic and Computational Impact</w:t>
      </w:r>
      <w:r>
        <w:rPr>
          <w:rFonts w:ascii="Arial" w:cs="Arial" w:eastAsia="Arial" w:hAnsi="Arial"/>
          <w:color w:val="2E75B6"/>
          <w:sz w:val="22"/>
          <w:szCs w:val="22"/>
        </w:rPr>
        <w:t xml:space="preserve">	45</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16.  Experimental Roadmap and Benchmarks</w:t>
      </w:r>
      <w:r>
        <w:rPr>
          <w:rFonts w:ascii="Arial" w:cs="Arial" w:eastAsia="Arial" w:hAnsi="Arial"/>
          <w:color w:val="2E75B6"/>
          <w:sz w:val="22"/>
          <w:szCs w:val="22"/>
        </w:rPr>
        <w:t xml:space="preserve">	47</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17.  Limitations and Open Problems</w:t>
      </w:r>
      <w:r>
        <w:rPr>
          <w:rFonts w:ascii="Arial" w:cs="Arial" w:eastAsia="Arial" w:hAnsi="Arial"/>
          <w:color w:val="2E75B6"/>
          <w:sz w:val="22"/>
          <w:szCs w:val="22"/>
        </w:rPr>
        <w:t xml:space="preserve">	50</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18.  Future Research Directions</w:t>
      </w:r>
      <w:r>
        <w:rPr>
          <w:rFonts w:ascii="Arial" w:cs="Arial" w:eastAsia="Arial" w:hAnsi="Arial"/>
          <w:color w:val="2E75B6"/>
          <w:sz w:val="22"/>
          <w:szCs w:val="22"/>
        </w:rPr>
        <w:t xml:space="preserve">	52</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19.  Conclusion</w:t>
      </w:r>
      <w:r>
        <w:rPr>
          <w:rFonts w:ascii="Arial" w:cs="Arial" w:eastAsia="Arial" w:hAnsi="Arial"/>
          <w:color w:val="2E75B6"/>
          <w:sz w:val="22"/>
          <w:szCs w:val="22"/>
        </w:rPr>
        <w:t xml:space="preserve">	54</w:t>
      </w:r>
    </w:p>
    <w:p>
      <w:pPr>
        <w:tabs>
          <w:tab w:val="right" w:pos="8640" w:leader="dot"/>
        </w:tabs>
        <w:spacing w:after="55" w:before="55"/>
      </w:pPr>
      <w:r>
        <w:rPr>
          <w:rFonts w:ascii="Arial" w:cs="Arial" w:eastAsia="Arial" w:hAnsi="Arial"/>
          <w:b w:val="false"/>
          <w:bCs w:val="false"/>
          <w:i w:val="false"/>
          <w:iCs w:val="false"/>
          <w:caps w:val="false"/>
          <w:color w:val="444444"/>
          <w:sz w:val="22"/>
          <w:szCs w:val="22"/>
        </w:rPr>
        <w:t xml:space="preserve">20.  References</w:t>
      </w:r>
      <w:r>
        <w:rPr>
          <w:rFonts w:ascii="Arial" w:cs="Arial" w:eastAsia="Arial" w:hAnsi="Arial"/>
          <w:color w:val="2E75B6"/>
          <w:sz w:val="22"/>
          <w:szCs w:val="22"/>
        </w:rPr>
        <w:t xml:space="preserve">	55</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1. Introduction</w:t>
      </w:r>
    </w:p>
    <w:p>
      <w:pPr>
        <w:spacing w:after="130" w:before="80"/>
        <w:ind/>
        <w:jc w:val="both"/>
      </w:pPr>
      <w:r>
        <w:rPr>
          <w:rFonts w:ascii="Arial" w:cs="Arial" w:eastAsia="Arial" w:hAnsi="Arial"/>
          <w:b w:val="false"/>
          <w:bCs w:val="false"/>
          <w:i w:val="false"/>
          <w:iCs w:val="false"/>
          <w:caps w:val="false"/>
          <w:color w:val="444444"/>
          <w:sz w:val="22"/>
          <w:szCs w:val="22"/>
        </w:rPr>
        <w:t xml:space="preserve">The history of artificial intelligence is, in large part, a history of increasingly sophisticated curve fitting. From perceptrons to convolutional networks to transformers, each architectural generation has achieved remarkable benchmark performance by finding better ways to approximate target functions from data. The transformer architecture — introduced in 2017 and scaled to hundreds of billions of parameters — currently dominates the field, producing systems that generate human-quality prose, solve university-level mathematics, and reason across diverse domains. Yet this architectural lineage shares a foundational assumption that CEA fundamentally questions: that intelligence can be adequately modeled as a stateless, feedforward function from input to output, trained by minimizing prediction error over a corpus.</w:t>
      </w:r>
    </w:p>
    <w:p>
      <w:pPr>
        <w:spacing w:after="130" w:before="80"/>
        <w:ind/>
        <w:jc w:val="both"/>
      </w:pPr>
      <w:r>
        <w:rPr>
          <w:rFonts w:ascii="Arial" w:cs="Arial" w:eastAsia="Arial" w:hAnsi="Arial"/>
          <w:b w:val="false"/>
          <w:bCs w:val="false"/>
          <w:i w:val="false"/>
          <w:iCs w:val="false"/>
          <w:caps w:val="false"/>
          <w:color w:val="444444"/>
          <w:sz w:val="22"/>
          <w:szCs w:val="22"/>
        </w:rPr>
        <w:t xml:space="preserve">This assumption produces four structural failures that no amount of scaling resolves:</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Energy catastrophe. Dense transformer inference activates the full parameter space for every token regardless of task complexity. At frontier scale, this is thermodynamically wasteful by design — a 10-word factual lookup consumes the same compute as a 10,000-word novel. The energy trajectory of scaling LLMs is on a collision course with planetary resource limits.</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Structural hallucination. Next-token prediction assigns non-zero probability to factually incorrect continuations whenever they are statistically plausible in the training distribution. There is no internal mechanism distinguishing recalled fact from fabricated plausibility. Hallucination is not a bug in transformer LLMs — it is a theorem.</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Bounded causal reasoning. Transformers learn statistical correlations, not causal structures. Their apparent causal reasoning is pattern matching over training examples that encode causal relationships. Novel causal problems — those requiring genuine inference from first principles outside the training distribution — expose systematic failure modes that do not improve predictably with scale.</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The AGI gap. Despite emergent capabilities at scale, transformer LLMs lack the adaptive self-modification, persistent long-term memory, recursive self-modeling, and grounded world-simulation that theoretical accounts of general intelligence require. They are broad pattern matchers, not cognitive agents.</w:t>
      </w:r>
    </w:p>
    <w:p>
      <w:pPr>
        <w:spacing w:after="80" w:before="0"/>
      </w:pPr>
      <w:r>
        <w:t xml:space="preserve"/>
      </w:r>
    </w:p>
    <w:p>
      <w:pPr>
        <w:spacing w:after="130" w:before="80"/>
        <w:ind/>
        <w:jc w:val="both"/>
      </w:pPr>
      <w:r>
        <w:rPr>
          <w:rFonts w:ascii="Arial" w:cs="Arial" w:eastAsia="Arial" w:hAnsi="Arial"/>
          <w:b w:val="false"/>
          <w:bCs w:val="false"/>
          <w:i w:val="false"/>
          <w:iCs w:val="false"/>
          <w:caps w:val="false"/>
          <w:color w:val="444444"/>
          <w:sz w:val="22"/>
          <w:szCs w:val="22"/>
        </w:rPr>
        <w:t xml:space="preserve">The Convergent Emergence Architecture proposes a fundamentally different computational substrate. Rather than approximating intelligence as a function, CEA grows intelligence as a process — an emergent phenomenon arising from locally interacting dynamic entities whose collective behavior is governed by thermodynamic stability, phase synchronization, and multi-dimensional reality grounding. This paper presents v0.2, which extends the original theoretical framework with an immediately deployable HPC-first strategy, a rigorous Hierarchical Verification Engine, a Quantum-Inspired Tensor Field formalism for global context, and deep connections to information theory that ground the hallucination elimination proof in mathematical bedrock.</w:t>
      </w:r>
    </w:p>
    <w:p>
      <w:pPr>
        <w:spacing w:after="130" w:before="80"/>
        <w:ind/>
        <w:jc w:val="both"/>
      </w:pPr>
      <w:r>
        <w:rPr>
          <w:rFonts w:ascii="Arial" w:cs="Arial" w:eastAsia="Arial" w:hAnsi="Arial"/>
          <w:b w:val="false"/>
          <w:bCs w:val="false"/>
          <w:i w:val="false"/>
          <w:iCs w:val="false"/>
          <w:caps w:val="false"/>
          <w:color w:val="444444"/>
          <w:sz w:val="22"/>
          <w:szCs w:val="22"/>
        </w:rPr>
        <w:t xml:space="preserve">CEA introduces a new paradigm: Verification-First AI. In current AI systems, correctness is a property measured after output generation — by evaluation metrics, human feedback, or retrieval cross-reference. In CEA, correctness is a thermodynamic invariant enforced during computation. Incorrect states are structurally unstable. They cannot persist in equilibrium. The system does not filter hallucinations — it makes them thermodynamically impossible.</w:t>
      </w:r>
    </w:p>
    <w:p>
      <w:pPr>
        <w:spacing w:after="80" w:before="0"/>
      </w:pPr>
      <w:r>
        <w:t xml:space="preserve"/>
      </w:r>
    </w:p>
    <w:p>
      <w:pPr>
        <w:spacing w:after="130" w:before="80"/>
        <w:ind/>
        <w:jc w:val="both"/>
      </w:pPr>
      <w:r>
        <w:rPr>
          <w:rFonts w:ascii="Arial" w:cs="Arial" w:eastAsia="Arial" w:hAnsi="Arial"/>
          <w:b w:val="false"/>
          <w:bCs w:val="false"/>
          <w:i w:val="false"/>
          <w:iCs w:val="false"/>
          <w:caps w:val="false"/>
          <w:color w:val="444444"/>
          <w:sz w:val="22"/>
          <w:szCs w:val="22"/>
        </w:rPr>
        <w:t xml:space="preserve">The remainder of this paper is organized as follows. Section 2 surveys related work across the fields that inform CEA. Section 3 articulates the Verification-First paradigm. Sections 4-9 specify the full architecture. Section 10 develops the information-theoretic foundations. Section 11 presents the HPC-first hardware roadmap. Sections 12-13 provide theoretical analysis and comparative evaluation. Sections 14-16 address safety, impact, and experimental validation. Sections 17-19 discuss limitations, future work, and conclusions.</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2. Background and Related Work</w:t>
      </w:r>
    </w:p>
    <w:p>
      <w:pPr>
        <w:pStyle w:val="Heading2"/>
        <w:spacing w:after="160" w:before="400"/>
      </w:pPr>
      <w:r>
        <w:rPr>
          <w:rFonts w:ascii="Arial" w:cs="Arial" w:eastAsia="Arial" w:hAnsi="Arial"/>
          <w:b/>
          <w:bCs/>
          <w:i w:val="false"/>
          <w:iCs w:val="false"/>
          <w:caps w:val="false"/>
          <w:color w:val="1B4F8A"/>
          <w:sz w:val="27"/>
          <w:szCs w:val="27"/>
        </w:rPr>
        <w:t xml:space="preserve">2.1 Transformer Architecture and Scaling Laws</w:t>
      </w:r>
    </w:p>
    <w:p>
      <w:pPr>
        <w:spacing w:after="130" w:before="80"/>
        <w:ind/>
        <w:jc w:val="both"/>
      </w:pPr>
      <w:r>
        <w:rPr>
          <w:rFonts w:ascii="Arial" w:cs="Arial" w:eastAsia="Arial" w:hAnsi="Arial"/>
          <w:b w:val="false"/>
          <w:bCs w:val="false"/>
          <w:i w:val="false"/>
          <w:iCs w:val="false"/>
          <w:caps w:val="false"/>
          <w:color w:val="444444"/>
          <w:sz w:val="22"/>
          <w:szCs w:val="22"/>
        </w:rPr>
        <w:t xml:space="preserve">Vaswani et al. (2017) introduced the transformer architecture, replacing recurrent processing with multi-head self-attention that computes pairwise relationships across all sequence positions simultaneously. Kaplan et al. (2020) established empirical scaling laws showing that model performance improves predictably as a power law with parameter count, dataset size, and compute budget — launching the scaling era. However, Hoffmann et al. (2022) demonstrated that optimal scaling requires simultaneous growth of parameters and training tokens, and that frontier models are systematically undertrained relative to their parameter count. The scaling paradigm has since been questioned on energy, interpretability, and generalization grounds, motivating the search for qualitatively different computational substrates.</w:t>
      </w:r>
    </w:p>
    <w:p>
      <w:pPr>
        <w:pStyle w:val="Heading2"/>
        <w:spacing w:after="160" w:before="400"/>
      </w:pPr>
      <w:r>
        <w:rPr>
          <w:rFonts w:ascii="Arial" w:cs="Arial" w:eastAsia="Arial" w:hAnsi="Arial"/>
          <w:b/>
          <w:bCs/>
          <w:i w:val="false"/>
          <w:iCs w:val="false"/>
          <w:caps w:val="false"/>
          <w:color w:val="1B4F8A"/>
          <w:sz w:val="27"/>
          <w:szCs w:val="27"/>
        </w:rPr>
        <w:t xml:space="preserve">2.2 Energy-Based Models</w:t>
      </w:r>
    </w:p>
    <w:p>
      <w:pPr>
        <w:spacing w:after="130" w:before="80"/>
        <w:ind/>
        <w:jc w:val="both"/>
      </w:pPr>
      <w:r>
        <w:rPr>
          <w:rFonts w:ascii="Arial" w:cs="Arial" w:eastAsia="Arial" w:hAnsi="Arial"/>
          <w:b w:val="false"/>
          <w:bCs w:val="false"/>
          <w:i w:val="false"/>
          <w:iCs w:val="false"/>
          <w:caps w:val="false"/>
          <w:color w:val="444444"/>
          <w:sz w:val="22"/>
          <w:szCs w:val="22"/>
        </w:rPr>
        <w:t xml:space="preserve">LeCun et al. (2006) formalized the Energy-Based Model (EBM) framework, where inference is the minimization of an energy function E(x, y) over output y given input x. EBMs generalize contrastive learning, Boltzmann machines, and associative memories into a unified thermodynamic perspective. The modern Hopfield network (Ramsauer et al., 2020) established formal equivalence between transformer attention and energy minimization in a Hopfield energy landscape, providing the foundational theoretical bridge that CEA builds upon and extends.</w:t>
      </w:r>
    </w:p>
    <w:p>
      <w:pPr>
        <w:pStyle w:val="Heading2"/>
        <w:spacing w:after="160" w:before="400"/>
      </w:pPr>
      <w:r>
        <w:rPr>
          <w:rFonts w:ascii="Arial" w:cs="Arial" w:eastAsia="Arial" w:hAnsi="Arial"/>
          <w:b/>
          <w:bCs/>
          <w:i w:val="false"/>
          <w:iCs w:val="false"/>
          <w:caps w:val="false"/>
          <w:color w:val="1B4F8A"/>
          <w:sz w:val="27"/>
          <w:szCs w:val="27"/>
        </w:rPr>
        <w:t xml:space="preserve">2.3 Spiking Neural Networks and Neuromorphic Computing</w:t>
      </w:r>
    </w:p>
    <w:p>
      <w:pPr>
        <w:spacing w:after="130" w:before="80"/>
        <w:ind/>
        <w:jc w:val="both"/>
      </w:pPr>
      <w:r>
        <w:rPr>
          <w:rFonts w:ascii="Arial" w:cs="Arial" w:eastAsia="Arial" w:hAnsi="Arial"/>
          <w:b w:val="false"/>
          <w:bCs w:val="false"/>
          <w:i w:val="false"/>
          <w:iCs w:val="false"/>
          <w:caps w:val="false"/>
          <w:color w:val="444444"/>
          <w:sz w:val="22"/>
          <w:szCs w:val="22"/>
        </w:rPr>
        <w:t xml:space="preserve">SNNs process information through discrete temporal spike events rather than continuous activations, achieving substantial energy efficiency by computing only when input is present. Intel's Loihi 2 (Orchard et al., 2021) and IBM TrueNorth (Merolla et al., 2014) demonstrate practical neuromorphic computation at 100-1000x lower energy than GPU equivalents on compatible workloads. CEA's QNode is conceptually related to spiking neurons but extends the model substantially — QNodes carry a five-dimensional state tuple, explicit phase dynamics, and energy-aware routing not present in any existing SNN formulation.</w:t>
      </w:r>
    </w:p>
    <w:p>
      <w:pPr>
        <w:pStyle w:val="Heading2"/>
        <w:spacing w:after="160" w:before="400"/>
      </w:pPr>
      <w:r>
        <w:rPr>
          <w:rFonts w:ascii="Arial" w:cs="Arial" w:eastAsia="Arial" w:hAnsi="Arial"/>
          <w:b/>
          <w:bCs/>
          <w:i w:val="false"/>
          <w:iCs w:val="false"/>
          <w:caps w:val="false"/>
          <w:color w:val="1B4F8A"/>
          <w:sz w:val="27"/>
          <w:szCs w:val="27"/>
        </w:rPr>
        <w:t xml:space="preserve">2.4 The Free Energy Principle</w:t>
      </w:r>
    </w:p>
    <w:p>
      <w:pPr>
        <w:spacing w:after="130" w:before="80"/>
        <w:ind/>
        <w:jc w:val="both"/>
      </w:pPr>
      <w:r>
        <w:rPr>
          <w:rFonts w:ascii="Arial" w:cs="Arial" w:eastAsia="Arial" w:hAnsi="Arial"/>
          <w:b w:val="false"/>
          <w:bCs w:val="false"/>
          <w:i w:val="false"/>
          <w:iCs w:val="false"/>
          <w:caps w:val="false"/>
          <w:color w:val="444444"/>
          <w:sz w:val="22"/>
          <w:szCs w:val="22"/>
        </w:rPr>
        <w:t xml:space="preserve">Friston (2010) proposed that biological brains minimize variational free energy — a tractable proxy for prediction error — as a universal organizing principle for perception, action, and learning. The Free Energy Principle (FEP) unifies Bayesian brain theory, predictive coding, and active inference under a single thermodynamic objective. CEA's training objective is a direct computational instantiation of the FEP, and its Hierarchical Verification Engine implements the FEP's Markov blanket — the statistical boundary that maintains separation between the system's internal model and environmental uncertainty.</w:t>
      </w:r>
    </w:p>
    <w:p>
      <w:pPr>
        <w:pStyle w:val="Heading2"/>
        <w:spacing w:after="160" w:before="400"/>
      </w:pPr>
      <w:r>
        <w:rPr>
          <w:rFonts w:ascii="Arial" w:cs="Arial" w:eastAsia="Arial" w:hAnsi="Arial"/>
          <w:b/>
          <w:bCs/>
          <w:i w:val="false"/>
          <w:iCs w:val="false"/>
          <w:caps w:val="false"/>
          <w:color w:val="1B4F8A"/>
          <w:sz w:val="27"/>
          <w:szCs w:val="27"/>
        </w:rPr>
        <w:t xml:space="preserve">2.5 Quantum-Inspired Classical Algorithms</w:t>
      </w:r>
    </w:p>
    <w:p>
      <w:pPr>
        <w:spacing w:after="130" w:before="80"/>
        <w:ind/>
        <w:jc w:val="both"/>
      </w:pPr>
      <w:r>
        <w:rPr>
          <w:rFonts w:ascii="Arial" w:cs="Arial" w:eastAsia="Arial" w:hAnsi="Arial"/>
          <w:b w:val="false"/>
          <w:bCs w:val="false"/>
          <w:i w:val="false"/>
          <w:iCs w:val="false"/>
          <w:caps w:val="false"/>
          <w:color w:val="444444"/>
          <w:sz w:val="22"/>
          <w:szCs w:val="22"/>
        </w:rPr>
        <w:t xml:space="preserve">Quantum-inspired tensor network methods — including Matrix Product States (MPS), Projected Entangled Pair States (PEPS), and Tensor Train decompositions — have emerged as powerful classical algorithms for representing and manipulating high-dimensional probability distributions and quantum states on classical hardware (Orus, 2014; Stoudenmire &amp; Schwab, 2016). These methods exploit the fact that physically relevant high-dimensional distributions have low entanglement entropy and can be efficiently approximated by low-rank tensor decompositions. CEA's Quantum-Inspired Tensor Field for global context uses these methods to represent the organism-layer contextual broadcast as a single compressed tensor state, eliminating the O(N) communication bottleneck while correctly running on classical HPC infrastructure.</w:t>
      </w:r>
    </w:p>
    <w:p>
      <w:pPr>
        <w:pStyle w:val="Heading2"/>
        <w:spacing w:after="160" w:before="400"/>
      </w:pPr>
      <w:r>
        <w:rPr>
          <w:rFonts w:ascii="Arial" w:cs="Arial" w:eastAsia="Arial" w:hAnsi="Arial"/>
          <w:b/>
          <w:bCs/>
          <w:i w:val="false"/>
          <w:iCs w:val="false"/>
          <w:caps w:val="false"/>
          <w:color w:val="1B4F8A"/>
          <w:sz w:val="27"/>
          <w:szCs w:val="27"/>
        </w:rPr>
        <w:t xml:space="preserve">2.6 Neurosymbolic AI</w:t>
      </w:r>
    </w:p>
    <w:p>
      <w:pPr>
        <w:spacing w:after="130" w:before="80"/>
        <w:ind/>
        <w:jc w:val="both"/>
      </w:pPr>
      <w:r>
        <w:rPr>
          <w:rFonts w:ascii="Arial" w:cs="Arial" w:eastAsia="Arial" w:hAnsi="Arial"/>
          <w:b w:val="false"/>
          <w:bCs w:val="false"/>
          <w:i w:val="false"/>
          <w:iCs w:val="false"/>
          <w:caps w:val="false"/>
          <w:color w:val="444444"/>
          <w:sz w:val="22"/>
          <w:szCs w:val="22"/>
        </w:rPr>
        <w:t xml:space="preserve">The neurosymbolic research program (Garcez et al., 2019; Marcus, 2020; Lake et al., 2017) seeks architectures that combine the generalization power of neural pattern recognition with the logical rigor and interpretability of symbolic computation. Landmark results include DeepMind's AlphaGeometry (Trinh et al., 2024), which combines a neural language model with symbolic deduction to achieve olympiad-level geometry performance, and MIT's Neural-Symbolic Concept Learner. CEA's molecular and cellular layers implement neurosymbolic integration structurally rather than through external modular coupling — symbolic consistency is a thermodynamic constraint enforced in the energy landscape, not a separately run verifier.</w:t>
      </w:r>
    </w:p>
    <w:p>
      <w:pPr>
        <w:pStyle w:val="Heading2"/>
        <w:spacing w:after="160" w:before="400"/>
      </w:pPr>
      <w:r>
        <w:rPr>
          <w:rFonts w:ascii="Arial" w:cs="Arial" w:eastAsia="Arial" w:hAnsi="Arial"/>
          <w:b/>
          <w:bCs/>
          <w:i w:val="false"/>
          <w:iCs w:val="false"/>
          <w:caps w:val="false"/>
          <w:color w:val="1B4F8A"/>
          <w:sz w:val="27"/>
          <w:szCs w:val="27"/>
        </w:rPr>
        <w:t xml:space="preserve">2.7 Predictive Coding and Hierarchical Inference</w:t>
      </w:r>
    </w:p>
    <w:p>
      <w:pPr>
        <w:spacing w:after="130" w:before="80"/>
        <w:ind/>
        <w:jc w:val="both"/>
      </w:pPr>
      <w:r>
        <w:rPr>
          <w:rFonts w:ascii="Arial" w:cs="Arial" w:eastAsia="Arial" w:hAnsi="Arial"/>
          <w:b w:val="false"/>
          <w:bCs w:val="false"/>
          <w:i w:val="false"/>
          <w:iCs w:val="false"/>
          <w:caps w:val="false"/>
          <w:color w:val="444444"/>
          <w:sz w:val="22"/>
          <w:szCs w:val="22"/>
        </w:rPr>
        <w:t xml:space="preserve">Predictive coding (Rao &amp; Ballard, 1999; Friston &amp; Kiebel, 2009) proposes that cortical computation is fundamentally a process of top-down prediction and bottom-up prediction-error correction. Each cortical layer maintains a generative model of the layer below; only prediction errors — not raw signals — propagate upward. This dramatically reduces information bandwidth requirements and explains numerous perceptual phenomena. CEA's six-layer hierarchy embodies predictive coding architecture: higher layers project contextual field signals downward; lower layers send prediction errors upward. The organism layer's tensor field is the top-level generative model conditioning all lower-layer processing.</w:t>
      </w:r>
    </w:p>
    <w:p>
      <w:pPr>
        <w:pStyle w:val="Heading2"/>
        <w:spacing w:after="160" w:before="400"/>
      </w:pPr>
      <w:r>
        <w:rPr>
          <w:rFonts w:ascii="Arial" w:cs="Arial" w:eastAsia="Arial" w:hAnsi="Arial"/>
          <w:b/>
          <w:bCs/>
          <w:i w:val="false"/>
          <w:iCs w:val="false"/>
          <w:caps w:val="false"/>
          <w:color w:val="1B4F8A"/>
          <w:sz w:val="27"/>
          <w:szCs w:val="27"/>
        </w:rPr>
        <w:t xml:space="preserve">2.8 Large-Scale HPC and Exascale Computing</w:t>
      </w:r>
    </w:p>
    <w:p>
      <w:pPr>
        <w:spacing w:after="130" w:before="80"/>
        <w:ind/>
        <w:jc w:val="both"/>
      </w:pPr>
      <w:r>
        <w:rPr>
          <w:rFonts w:ascii="Arial" w:cs="Arial" w:eastAsia="Arial" w:hAnsi="Arial"/>
          <w:b w:val="false"/>
          <w:bCs w:val="false"/>
          <w:i w:val="false"/>
          <w:iCs w:val="false"/>
          <w:caps w:val="false"/>
          <w:color w:val="444444"/>
          <w:sz w:val="22"/>
          <w:szCs w:val="22"/>
        </w:rPr>
        <w:t xml:space="preserve">The Frontier supercomputer (Oak Ridge National Laboratory, 2022) achieved 1.1 ExaFLOPS, demonstrating that exascale classical computation is realizable. NVIDIA's Grace Hopper Superchip combines CPU and GPU memory spaces with NVLink interconnects enabling 900 GB/s chip-to-chip bandwidth, dramatically reducing the communication overhead that bottlenecks distributed neural computation. These infrastructure developments make CEA's HPC-first deployment strategy immediately practical — the compute substrate needed to run QNode field simulations at research scale exists today.</w:t>
      </w:r>
    </w:p>
    <w:p>
      <w:pPr>
        <w:pStyle w:val="Heading2"/>
        <w:spacing w:after="160" w:before="400"/>
      </w:pPr>
      <w:r>
        <w:rPr>
          <w:rFonts w:ascii="Arial" w:cs="Arial" w:eastAsia="Arial" w:hAnsi="Arial"/>
          <w:b/>
          <w:bCs/>
          <w:i w:val="false"/>
          <w:iCs w:val="false"/>
          <w:caps w:val="false"/>
          <w:color w:val="1B4F8A"/>
          <w:sz w:val="27"/>
          <w:szCs w:val="27"/>
        </w:rPr>
        <w:t xml:space="preserve">2.9 Verification and Formal Methods</w:t>
      </w:r>
    </w:p>
    <w:p>
      <w:pPr>
        <w:spacing w:after="130" w:before="80"/>
        <w:ind/>
        <w:jc w:val="both"/>
      </w:pPr>
      <w:r>
        <w:rPr>
          <w:rFonts w:ascii="Arial" w:cs="Arial" w:eastAsia="Arial" w:hAnsi="Arial"/>
          <w:b w:val="false"/>
          <w:bCs w:val="false"/>
          <w:i w:val="false"/>
          <w:iCs w:val="false"/>
          <w:caps w:val="false"/>
          <w:color w:val="444444"/>
          <w:sz w:val="22"/>
          <w:szCs w:val="22"/>
        </w:rPr>
        <w:t xml:space="preserve">The formal verification research community (Clarke et al., 2018; Platzer, 2018) has developed rigorous methods for proving correctness properties of computational systems — methods that have achieved remarkable success in hardware verification, safety-critical software, and increasingly in machine learning (Anderson et al., 2019; Katz et al., 2017). CEA's Hallucination Elimination Theorem is the first application of thermodynamic stability arguments — borrowed from statistical mechanics — to prove a formal correctness property of an AI system's outputs, opening a new connection between verification theory and machine learning.</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3. The Verification-First Paradigm (New in v0.2)</w:t>
      </w:r>
    </w:p>
    <w:p>
      <w:pPr>
        <w:pStyle w:val="Heading2"/>
        <w:spacing w:after="160" w:before="400"/>
      </w:pPr>
      <w:r>
        <w:rPr>
          <w:rFonts w:ascii="Arial" w:cs="Arial" w:eastAsia="Arial" w:hAnsi="Arial"/>
          <w:b/>
          <w:bCs/>
          <w:i w:val="false"/>
          <w:iCs w:val="false"/>
          <w:caps w:val="false"/>
          <w:color w:val="1B4F8A"/>
          <w:sz w:val="27"/>
          <w:szCs w:val="27"/>
        </w:rPr>
        <w:t xml:space="preserve">3.1 The Current Paradigm: Generation-Then-Filter</w:t>
      </w:r>
    </w:p>
    <w:p>
      <w:pPr>
        <w:spacing w:after="130" w:before="80"/>
        <w:ind/>
        <w:jc w:val="both"/>
      </w:pPr>
      <w:r>
        <w:rPr>
          <w:rFonts w:ascii="Arial" w:cs="Arial" w:eastAsia="Arial" w:hAnsi="Arial"/>
          <w:b w:val="false"/>
          <w:bCs w:val="false"/>
          <w:i w:val="false"/>
          <w:iCs w:val="false"/>
          <w:caps w:val="false"/>
          <w:color w:val="444444"/>
          <w:sz w:val="22"/>
          <w:szCs w:val="22"/>
        </w:rPr>
        <w:t xml:space="preserve">Every deployed AI system today operates under what we term the Generation-Then-Filter paradigm. A model generates a candidate output — a token, a completion, an action — and correctness is evaluated post-hoc. The evaluation may be performed by a human reviewer, an automated fact-checker, a retrieval system, or a constitutional AI judge. Regardless of implementation, the structural sequence is: generate, then verify, then filter.</w:t>
      </w:r>
    </w:p>
    <w:p>
      <w:pPr>
        <w:spacing w:after="130" w:before="80"/>
        <w:ind/>
        <w:jc w:val="both"/>
      </w:pPr>
      <w:r>
        <w:rPr>
          <w:rFonts w:ascii="Arial" w:cs="Arial" w:eastAsia="Arial" w:hAnsi="Arial"/>
          <w:b w:val="false"/>
          <w:bCs w:val="false"/>
          <w:i w:val="false"/>
          <w:iCs w:val="false"/>
          <w:caps w:val="false"/>
          <w:color w:val="444444"/>
          <w:sz w:val="22"/>
          <w:szCs w:val="22"/>
        </w:rPr>
        <w:t xml:space="preserve">This paradigm has a fundamental flaw: it accepts that incorrect outputs will be generated and bets on the filter catching them before deployment. This is analogous to manufacturing a product and then inspecting for defects — economically and ethically inferior to designing defects to be structurally impossible. In high-stakes domains — medicine, law, infrastructure control — a hallucination that escapes the filter causes real harm.</w:t>
      </w:r>
    </w:p>
    <w:p>
      <w:pPr>
        <w:pStyle w:val="Heading2"/>
        <w:spacing w:after="160" w:before="400"/>
      </w:pPr>
      <w:r>
        <w:rPr>
          <w:rFonts w:ascii="Arial" w:cs="Arial" w:eastAsia="Arial" w:hAnsi="Arial"/>
          <w:b/>
          <w:bCs/>
          <w:i w:val="false"/>
          <w:iCs w:val="false"/>
          <w:caps w:val="false"/>
          <w:color w:val="1B4F8A"/>
          <w:sz w:val="27"/>
          <w:szCs w:val="27"/>
        </w:rPr>
        <w:t xml:space="preserve">3.2 The CEA Paradigm: Correctness as Thermodynamic Invariant</w:t>
      </w:r>
    </w:p>
    <w:p>
      <w:pPr>
        <w:spacing w:after="130" w:before="80"/>
        <w:ind/>
        <w:jc w:val="both"/>
      </w:pPr>
      <w:r>
        <w:rPr>
          <w:rFonts w:ascii="Arial" w:cs="Arial" w:eastAsia="Arial" w:hAnsi="Arial"/>
          <w:b w:val="false"/>
          <w:bCs w:val="false"/>
          <w:i w:val="false"/>
          <w:iCs w:val="false"/>
          <w:caps w:val="false"/>
          <w:color w:val="444444"/>
          <w:sz w:val="22"/>
          <w:szCs w:val="22"/>
        </w:rPr>
        <w:t xml:space="preserve">CEA proposes the Verification-First paradigm: correctness is not a property evaluated after output generation. It is a thermodynamic invariant enforced during computation. Incorrect states — states that violate the Reality Alignment Constraint — are assigned high energy by the system's physics. Since the system's dynamics minimize energy, incorrect states are structurally unstable. They arise transiently during exploratory computation but cannot persist in equilibrium. The system does not generate incorrect outputs and then filter them. It cannot stably generate incorrect outputs at all.</w:t>
      </w:r>
    </w:p>
    <w:p>
      <w:pPr>
        <w:pBdr>
          <w:left w:val="single" w:color="0D7377" w:sz="28" w:space="14"/>
        </w:pBdr>
        <w:shd w:fill="EBF4FB" w:val="clear"/>
        <w:spacing w:after="160" w:before="160"/>
        <w:ind w:left="280" w:right="280"/>
      </w:pPr>
      <w:r>
        <w:rPr>
          <w:rFonts w:ascii="Arial" w:cs="Arial" w:eastAsia="Arial" w:hAnsi="Arial"/>
          <w:b w:val="false"/>
          <w:bCs w:val="false"/>
          <w:i w:val="false"/>
          <w:iCs w:val="false"/>
          <w:caps w:val="false"/>
          <w:color w:val="0A2342"/>
          <w:sz w:val="22"/>
          <w:szCs w:val="22"/>
        </w:rPr>
        <w:t xml:space="preserve">Verification-First AI: a computational paradigm in which factual correctness is enforced as a thermodynamic stability condition during inference rather than as a post-generation filtering step. In a Verification-First system, hallucination is not an output to be caught — it is a computational state that cannot achieve equilibrium.</w:t>
      </w:r>
    </w:p>
    <w:p>
      <w:pPr>
        <w:pStyle w:val="Heading2"/>
        <w:spacing w:after="160" w:before="400"/>
      </w:pPr>
      <w:r>
        <w:rPr>
          <w:rFonts w:ascii="Arial" w:cs="Arial" w:eastAsia="Arial" w:hAnsi="Arial"/>
          <w:b/>
          <w:bCs/>
          <w:i w:val="false"/>
          <w:iCs w:val="false"/>
          <w:caps w:val="false"/>
          <w:color w:val="1B4F8A"/>
          <w:sz w:val="27"/>
          <w:szCs w:val="27"/>
        </w:rPr>
        <w:t xml:space="preserve">3.3 Why This Paradigm Requires Rethinking the Entire Stack</w:t>
      </w:r>
    </w:p>
    <w:p>
      <w:pPr>
        <w:spacing w:after="130" w:before="80"/>
        <w:ind/>
        <w:jc w:val="both"/>
      </w:pPr>
      <w:r>
        <w:rPr>
          <w:rFonts w:ascii="Arial" w:cs="Arial" w:eastAsia="Arial" w:hAnsi="Arial"/>
          <w:b w:val="false"/>
          <w:bCs w:val="false"/>
          <w:i w:val="false"/>
          <w:iCs w:val="false"/>
          <w:caps w:val="false"/>
          <w:color w:val="444444"/>
          <w:sz w:val="22"/>
          <w:szCs w:val="22"/>
        </w:rPr>
        <w:t xml:space="preserve">The Verification-First paradigm is not a feature that can be added to existing architectures. It requires:</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A computational primitive (the QNode) that natively carries energy state, enabling thermodynamic dynamics rather than static feedforward computation.</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A verification engine (the HVE) integrated into the computational substrate, not bolted on after generation.</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A training objective that teaches the system to seek low-energy configurations, not merely high-likelihood ones.</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A global context representation (the Tensor Field) that enables instantaneous propagation of consistency violations through the system without sequential message passing.</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A hardware strategy capable of running these dynamics at inference speed — which requires either massive parallelism (HPC, GPU clusters) or event-driven neuromorphic substrate, not the synchronous dense-matrix GPU execution optimized for transformers.</w:t>
      </w:r>
    </w:p>
    <w:p>
      <w:pPr>
        <w:spacing w:after="130" w:before="80"/>
        <w:ind/>
        <w:jc w:val="both"/>
      </w:pPr>
      <w:r>
        <w:rPr>
          <w:rFonts w:ascii="Arial" w:cs="Arial" w:eastAsia="Arial" w:hAnsi="Arial"/>
          <w:b w:val="false"/>
          <w:bCs w:val="false"/>
          <w:i w:val="false"/>
          <w:iCs w:val="false"/>
          <w:caps w:val="false"/>
          <w:color w:val="444444"/>
          <w:sz w:val="22"/>
          <w:szCs w:val="22"/>
        </w:rPr>
        <w:t xml:space="preserve">Each of these requirements is addressed by a specific architectural component in CEA. Together, they constitute not an improvement to current AI but an architectural replacement — a new paradigm as distinct from transformers as transformers were from recurrent networks.</w:t>
      </w:r>
    </w:p>
    <w:p>
      <w:pPr>
        <w:pStyle w:val="Heading2"/>
        <w:spacing w:after="160" w:before="400"/>
      </w:pPr>
      <w:r>
        <w:rPr>
          <w:rFonts w:ascii="Arial" w:cs="Arial" w:eastAsia="Arial" w:hAnsi="Arial"/>
          <w:b/>
          <w:bCs/>
          <w:i w:val="false"/>
          <w:iCs w:val="false"/>
          <w:caps w:val="false"/>
          <w:color w:val="1B4F8A"/>
          <w:sz w:val="27"/>
          <w:szCs w:val="27"/>
        </w:rPr>
        <w:t xml:space="preserve">3.4 The Energy-Correctness Equivalence</w:t>
      </w:r>
    </w:p>
    <w:p>
      <w:pPr>
        <w:spacing w:after="130" w:before="80"/>
        <w:ind/>
        <w:jc w:val="both"/>
      </w:pPr>
      <w:r>
        <w:rPr>
          <w:rFonts w:ascii="Arial" w:cs="Arial" w:eastAsia="Arial" w:hAnsi="Arial"/>
          <w:b w:val="false"/>
          <w:bCs w:val="false"/>
          <w:i w:val="false"/>
          <w:iCs w:val="false"/>
          <w:caps w:val="false"/>
          <w:color w:val="444444"/>
          <w:sz w:val="22"/>
          <w:szCs w:val="22"/>
        </w:rPr>
        <w:t xml:space="preserve">The central claim of the Verification-First paradigm, stated formally:</w:t>
      </w:r>
    </w:p>
    <w:p>
      <w:pPr>
        <w:pBdr>
          <w:left w:val="single" w:color="2E75B6" w:sz="30" w:space="14"/>
        </w:pBdr>
        <w:shd w:fill="EBF4FB" w:val="clear"/>
        <w:spacing w:after="160" w:before="160"/>
        <w:ind w:left="300" w:right="300"/>
      </w:pPr>
      <w:r>
        <w:rPr>
          <w:rFonts w:ascii="Arial" w:cs="Arial" w:eastAsia="Arial" w:hAnsi="Arial"/>
          <w:b/>
          <w:bCs/>
          <w:i w:val="false"/>
          <w:iCs w:val="false"/>
          <w:caps w:val="false"/>
          <w:color w:val="0A2342"/>
          <w:sz w:val="22"/>
          <w:szCs w:val="22"/>
        </w:rPr>
        <w:t xml:space="preserve">Principle 1 (Energy-Correctness Equivalence): </w:t>
      </w:r>
      <w:r>
        <w:rPr>
          <w:rFonts w:ascii="Arial" w:cs="Arial" w:eastAsia="Arial" w:hAnsi="Arial"/>
          <w:b w:val="false"/>
          <w:bCs w:val="false"/>
          <w:i/>
          <w:iCs/>
          <w:caps w:val="false"/>
          <w:color w:val="444444"/>
          <w:sz w:val="22"/>
          <w:szCs w:val="22"/>
        </w:rPr>
        <w:t xml:space="preserve">In a CEA system with properly calibrated grounding components, there exists a monotonically decreasing mapping f: ℝ+ → [0,1] such that P(correct | state s) = f(ε(s)), where ε(s) is the energy of state s. High-energy states are incorrect; low-energy states are correct. Intelligence is the process of finding low-energy states.</w:t>
      </w:r>
    </w:p>
    <w:p>
      <w:pPr>
        <w:spacing w:after="130" w:before="80"/>
        <w:ind/>
        <w:jc w:val="both"/>
      </w:pPr>
      <w:r>
        <w:rPr>
          <w:rFonts w:ascii="Arial" w:cs="Arial" w:eastAsia="Arial" w:hAnsi="Arial"/>
          <w:b w:val="false"/>
          <w:bCs w:val="false"/>
          <w:i w:val="false"/>
          <w:iCs w:val="false"/>
          <w:caps w:val="false"/>
          <w:color w:val="444444"/>
          <w:sz w:val="22"/>
          <w:szCs w:val="22"/>
        </w:rPr>
        <w:t xml:space="preserve">This equivalence, if proven to hold empirically, would constitute the unification of computational intelligence with thermodynamic physics — establishing that truth-seeking cognition is, in the deepest sense, energy minimization.</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4. Architectural Overview</w:t>
      </w:r>
    </w:p>
    <w:p>
      <w:pPr>
        <w:pStyle w:val="Heading2"/>
        <w:spacing w:after="160" w:before="400"/>
      </w:pPr>
      <w:r>
        <w:rPr>
          <w:rFonts w:ascii="Arial" w:cs="Arial" w:eastAsia="Arial" w:hAnsi="Arial"/>
          <w:b/>
          <w:bCs/>
          <w:i w:val="false"/>
          <w:iCs w:val="false"/>
          <w:caps w:val="false"/>
          <w:color w:val="1B4F8A"/>
          <w:sz w:val="27"/>
          <w:szCs w:val="27"/>
        </w:rPr>
        <w:t xml:space="preserve">4.1 The Six-Layer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2400"/>
        <w:gridCol w:w="1760"/>
      </w:tblGrid>
      <w:tr>
        <w:tc>
          <w:tcPr>
            <w:tcW w:type="dxa" w:w="14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Layer</w:t>
            </w:r>
          </w:p>
        </w:tc>
        <w:tc>
          <w:tcPr>
            <w:tcW w:type="dxa" w:w="14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Entity</w:t>
            </w:r>
          </w:p>
        </w:tc>
        <w:tc>
          <w:tcPr>
            <w:tcW w:type="dxa" w:w="24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Role</w:t>
            </w:r>
          </w:p>
        </w:tc>
        <w:tc>
          <w:tcPr>
            <w:tcW w:type="dxa" w:w="24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Output</w:t>
            </w:r>
          </w:p>
        </w:tc>
        <w:tc>
          <w:tcPr>
            <w:tcW w:type="dxa" w:w="176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Analogy</w:t>
            </w:r>
          </w:p>
        </w:tc>
      </w:tr>
      <w:tr>
        <w:tc>
          <w:tcPr>
            <w:tcW w:type="dxa" w:w="1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L1 Quantum</w:t>
            </w:r>
          </w:p>
        </w:tc>
        <w:tc>
          <w:tcPr>
            <w:tcW w:type="dxa" w:w="1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QNodes</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Probabilistic dynamic state computation, phase oscillation, energy routing</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Particle patterns</w:t>
            </w:r>
          </w:p>
        </w:tc>
        <w:tc>
          <w:tcPr>
            <w:tcW w:type="dxa" w:w="17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Quarks / Fields</w:t>
            </w:r>
          </w:p>
        </w:tc>
      </w:tr>
      <w:tr>
        <w:tc>
          <w:tcPr>
            <w:tcW w:type="dxa" w:w="1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L2 Particle</w:t>
            </w:r>
          </w:p>
        </w:tc>
        <w:tc>
          <w:tcPr>
            <w:tcW w:type="dxa" w:w="1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PNodes</w:t>
            </w:r>
          </w:p>
        </w:tc>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Stable symbolic microstructure formation via attraction-repulsion bonding dynamics</w:t>
            </w:r>
          </w:p>
        </w:tc>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Atomic clusters</w:t>
            </w:r>
          </w:p>
        </w:tc>
        <w:tc>
          <w:tcPr>
            <w:tcW w:type="dxa" w:w="17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Atoms</w:t>
            </w:r>
          </w:p>
        </w:tc>
      </w:tr>
      <w:tr>
        <w:tc>
          <w:tcPr>
            <w:tcW w:type="dxa" w:w="1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L3 Atomic</w:t>
            </w:r>
          </w:p>
        </w:tc>
        <w:tc>
          <w:tcPr>
            <w:tcW w:type="dxa" w:w="1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ANodes</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Persistent field-based memory encoding, localized causal reasoning, mutation</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Molecular graphs</w:t>
            </w:r>
          </w:p>
        </w:tc>
        <w:tc>
          <w:tcPr>
            <w:tcW w:type="dxa" w:w="17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Molecules</w:t>
            </w:r>
          </w:p>
        </w:tc>
      </w:tr>
      <w:tr>
        <w:tc>
          <w:tcPr>
            <w:tcW w:type="dxa" w:w="1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L4 Molecular</w:t>
            </w:r>
          </w:p>
        </w:tc>
        <w:tc>
          <w:tcPr>
            <w:tcW w:type="dxa" w:w="1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MNodes</w:t>
            </w:r>
          </w:p>
        </w:tc>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Concept formation, semantic composition, context binding, symbolic consistency</w:t>
            </w:r>
          </w:p>
        </w:tc>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Cellular agents</w:t>
            </w:r>
          </w:p>
        </w:tc>
        <w:tc>
          <w:tcPr>
            <w:tcW w:type="dxa" w:w="17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Macromolecules</w:t>
            </w:r>
          </w:p>
        </w:tc>
      </w:tr>
      <w:tr>
        <w:tc>
          <w:tcPr>
            <w:tcW w:type="dxa" w:w="1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L5 Cellular</w:t>
            </w:r>
          </w:p>
        </w:tc>
        <w:tc>
          <w:tcPr>
            <w:tcW w:type="dxa" w:w="1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CNodes</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Autonomous cognitive agents: planning, perception, memory, simulation, self-reflection</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Organ systems</w:t>
            </w:r>
          </w:p>
        </w:tc>
        <w:tc>
          <w:tcPr>
            <w:tcW w:type="dxa" w:w="17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Neurons / Cells</w:t>
            </w:r>
          </w:p>
        </w:tc>
      </w:tr>
      <w:tr>
        <w:tc>
          <w:tcPr>
            <w:tcW w:type="dxa" w:w="14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L6 Organism</w:t>
            </w:r>
          </w:p>
        </w:tc>
        <w:tc>
          <w:tcPr>
            <w:tcW w:type="dxa" w:w="14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Global Mind</w:t>
            </w:r>
          </w:p>
        </w:tc>
        <w:tc>
          <w:tcPr>
            <w:tcW w:type="dxa" w:w="24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Global orchestration via Tensor Field, multi-agent synchronization, recursive self-modeling</w:t>
            </w:r>
          </w:p>
        </w:tc>
        <w:tc>
          <w:tcPr>
            <w:tcW w:type="dxa" w:w="24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Coherent intelligence</w:t>
            </w:r>
          </w:p>
        </w:tc>
        <w:tc>
          <w:tcPr>
            <w:tcW w:type="dxa" w:w="176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Brain / Cortex</w:t>
            </w:r>
          </w:p>
        </w:tc>
      </w:tr>
    </w:tbl>
    <w:p>
      <w:pPr>
        <w:spacing w:after="220" w:before="60"/>
        <w:jc w:val="center"/>
      </w:pPr>
      <w:r>
        <w:rPr>
          <w:rFonts w:ascii="Arial" w:cs="Arial" w:eastAsia="Arial" w:hAnsi="Arial"/>
          <w:b w:val="false"/>
          <w:bCs w:val="false"/>
          <w:i/>
          <w:iCs/>
          <w:caps w:val="false"/>
          <w:color w:val="888888"/>
          <w:sz w:val="18"/>
          <w:szCs w:val="18"/>
        </w:rPr>
        <w:t xml:space="preserve">Table 1. CEA six-layer hierarchy — entities, roles, outputs, and biological analogies.</w:t>
      </w:r>
    </w:p>
    <w:p>
      <w:pPr>
        <w:pStyle w:val="Heading2"/>
        <w:spacing w:after="160" w:before="400"/>
      </w:pPr>
      <w:r>
        <w:rPr>
          <w:rFonts w:ascii="Arial" w:cs="Arial" w:eastAsia="Arial" w:hAnsi="Arial"/>
          <w:b/>
          <w:bCs/>
          <w:i w:val="false"/>
          <w:iCs w:val="false"/>
          <w:caps w:val="false"/>
          <w:color w:val="1B4F8A"/>
          <w:sz w:val="27"/>
          <w:szCs w:val="27"/>
        </w:rPr>
        <w:t xml:space="preserve">4.2 Bidirectional Information Flow</w:t>
      </w:r>
    </w:p>
    <w:p>
      <w:pPr>
        <w:spacing w:after="130" w:before="80"/>
        <w:ind/>
        <w:jc w:val="both"/>
      </w:pPr>
      <w:r>
        <w:rPr>
          <w:rFonts w:ascii="Arial" w:cs="Arial" w:eastAsia="Arial" w:hAnsi="Arial"/>
          <w:b w:val="false"/>
          <w:bCs w:val="false"/>
          <w:i w:val="false"/>
          <w:iCs w:val="false"/>
          <w:caps w:val="false"/>
          <w:color w:val="444444"/>
          <w:sz w:val="22"/>
          <w:szCs w:val="22"/>
        </w:rPr>
        <w:t xml:space="preserve">CEA is explicitly not a feedforward pipeline. Information flows through three simultaneous channels: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Bottom-up emergence: QNode interactions produce particle patterns; stable clusters crystallize into atomic memory; atomic graphs compose into molecular semantics; molecular patterns aggregate into cellular agent states; cellular collaboration produces organism-level coherence.</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Top-down context projection: the organism layer maintains a Quantum-Inspired Tensor Field encoding the global context state. This tensor is broadcast downward continuously, conditioning QNode dynamics at every layer without requiring sequential message passing.</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Lateral resonance: within each layer, entities interact locally through field coupling Γ, producing collective dynamics from which layer-level representations emerge without centralized coordination.</w:t>
      </w:r>
    </w:p>
    <w:p>
      <w:pPr>
        <w:pStyle w:val="Heading2"/>
        <w:spacing w:after="160" w:before="400"/>
      </w:pPr>
      <w:r>
        <w:rPr>
          <w:rFonts w:ascii="Arial" w:cs="Arial" w:eastAsia="Arial" w:hAnsi="Arial"/>
          <w:b/>
          <w:bCs/>
          <w:i w:val="false"/>
          <w:iCs w:val="false"/>
          <w:caps w:val="false"/>
          <w:color w:val="1B4F8A"/>
          <w:sz w:val="27"/>
          <w:szCs w:val="27"/>
        </w:rPr>
        <w:t xml:space="preserve">4.3 The Hierarchical Verification Engine</w:t>
      </w:r>
    </w:p>
    <w:p>
      <w:pPr>
        <w:spacing w:after="130" w:before="80"/>
        <w:ind/>
        <w:jc w:val="both"/>
      </w:pPr>
      <w:r>
        <w:rPr>
          <w:rFonts w:ascii="Arial" w:cs="Arial" w:eastAsia="Arial" w:hAnsi="Arial"/>
          <w:b w:val="false"/>
          <w:bCs w:val="false"/>
          <w:i w:val="false"/>
          <w:iCs w:val="false"/>
          <w:caps w:val="false"/>
          <w:color w:val="444444"/>
          <w:sz w:val="22"/>
          <w:szCs w:val="22"/>
        </w:rPr>
        <w:t xml:space="preserve">New in v0.2: the Hierarchical Verification Engine (HVE) is a four-tier verification substrate that runs in parallel with all six processing layers. Unlike post-hoc fact-checkers, the HVE is structurally integrated — its verdicts are expressed as energy penalties in the QNode field, directly shaping the thermodynamic dynamics of computation. The HVE is detailed in Section 6.</w:t>
      </w:r>
    </w:p>
    <w:p>
      <w:pPr>
        <w:pStyle w:val="Heading2"/>
        <w:spacing w:after="160" w:before="400"/>
      </w:pPr>
      <w:r>
        <w:rPr>
          <w:rFonts w:ascii="Arial" w:cs="Arial" w:eastAsia="Arial" w:hAnsi="Arial"/>
          <w:b/>
          <w:bCs/>
          <w:i w:val="false"/>
          <w:iCs w:val="false"/>
          <w:caps w:val="false"/>
          <w:color w:val="1B4F8A"/>
          <w:sz w:val="27"/>
          <w:szCs w:val="27"/>
        </w:rPr>
        <w:t xml:space="preserve">4.4 Execution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Mode</w:t>
            </w:r>
          </w:p>
        </w:tc>
        <w:tc>
          <w:tcPr>
            <w:tcW w:type="dxa" w:w="24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Trigger Condition</w:t>
            </w:r>
          </w:p>
        </w:tc>
        <w:tc>
          <w:tcPr>
            <w:tcW w:type="dxa" w:w="496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Mechanism</w:t>
            </w:r>
          </w:p>
        </w:tc>
      </w:tr>
      <w:tr>
        <w:tc>
          <w:tcPr>
            <w:tcW w:type="dxa" w:w="2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Deterministic</w:t>
            </w:r>
          </w:p>
        </w:tc>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G(s) &gt;&gt; θ, stable field</w:t>
            </w:r>
          </w:p>
        </w:tc>
        <w:tc>
          <w:tcPr>
            <w:tcW w:type="dxa" w:w="49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Greedy energy-minimum selection. Used for well-grounded factual retrieval. Equivalent to temperature→0 in Boltzmann sampling.</w:t>
            </w:r>
          </w:p>
        </w:tc>
      </w:tr>
      <w:tr>
        <w:tc>
          <w:tcPr>
            <w:tcW w:type="dxa" w:w="2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Probabilistic</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Moderate uncertainty</w:t>
            </w:r>
          </w:p>
        </w:tc>
        <w:tc>
          <w:tcPr>
            <w:tcW w:type="dxa" w:w="49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Temperature-weighted sampling from low-energy state distribution. Multiple pathways evaluated; energy-ranked selection. Analogous to beam search but thermodynamically constrained.</w:t>
            </w:r>
          </w:p>
        </w:tc>
      </w:tr>
      <w:tr>
        <w:tc>
          <w:tcPr>
            <w:tcW w:type="dxa" w:w="20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Superposition</w:t>
            </w:r>
          </w:p>
        </w:tc>
        <w:tc>
          <w:tcPr>
            <w:tcW w:type="dxa" w:w="24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Novel or ambiguous input</w:t>
            </w:r>
          </w:p>
        </w:tc>
        <w:tc>
          <w:tcPr>
            <w:tcW w:type="dxa" w:w="496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Parallel hypothesis tensor maintained as superposition of competing interpretations. Tensor Field collapse — via contraction of the quantum-inspired tensor network — selects minimum-energy consistent state. Equivalent to coherent multi-hypothesis inference before observation.</w:t>
            </w:r>
          </w:p>
        </w:tc>
      </w:tr>
    </w:tbl>
    <w:p>
      <w:pPr>
        <w:spacing w:after="220" w:before="60"/>
        <w:jc w:val="center"/>
      </w:pPr>
      <w:r>
        <w:rPr>
          <w:rFonts w:ascii="Arial" w:cs="Arial" w:eastAsia="Arial" w:hAnsi="Arial"/>
          <w:b w:val="false"/>
          <w:bCs w:val="false"/>
          <w:i/>
          <w:iCs/>
          <w:caps w:val="false"/>
          <w:color w:val="888888"/>
          <w:sz w:val="18"/>
          <w:szCs w:val="18"/>
        </w:rPr>
        <w:t xml:space="preserve">Table 2. CEA execution modes and triggering conditions.</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5. The QNode: Atomic Unit of Computation</w:t>
      </w:r>
    </w:p>
    <w:p>
      <w:pPr>
        <w:pStyle w:val="Heading2"/>
        <w:spacing w:after="160" w:before="400"/>
      </w:pPr>
      <w:r>
        <w:rPr>
          <w:rFonts w:ascii="Arial" w:cs="Arial" w:eastAsia="Arial" w:hAnsi="Arial"/>
          <w:b/>
          <w:bCs/>
          <w:i w:val="false"/>
          <w:iCs w:val="false"/>
          <w:caps w:val="false"/>
          <w:color w:val="1B4F8A"/>
          <w:sz w:val="27"/>
          <w:szCs w:val="27"/>
        </w:rPr>
        <w:t xml:space="preserve">5.1 Motivation and Design Philosophy</w:t>
      </w:r>
    </w:p>
    <w:p>
      <w:pPr>
        <w:spacing w:after="130" w:before="80"/>
        <w:ind/>
        <w:jc w:val="both"/>
      </w:pPr>
      <w:r>
        <w:rPr>
          <w:rFonts w:ascii="Arial" w:cs="Arial" w:eastAsia="Arial" w:hAnsi="Arial"/>
          <w:b w:val="false"/>
          <w:bCs w:val="false"/>
          <w:i w:val="false"/>
          <w:iCs w:val="false"/>
          <w:caps w:val="false"/>
          <w:color w:val="444444"/>
          <w:sz w:val="22"/>
          <w:szCs w:val="22"/>
        </w:rPr>
        <w:t xml:space="preserve">The artificial neuron — as instantiated in every major deep learning architecture — is a stateless scalar function. It receives a weighted sum of inputs, applies a nonlinearity, and produces a single output value. Its entire computational history is discarded between forward passes. This design, while GPU-parallelizable, is thermodynamically inert: neurons have no energy, no phase, no temporal memory, no capacity for collective dynamics.</w:t>
      </w:r>
    </w:p>
    <w:p>
      <w:pPr>
        <w:spacing w:after="130" w:before="80"/>
        <w:ind/>
        <w:jc w:val="both"/>
      </w:pPr>
      <w:r>
        <w:rPr>
          <w:rFonts w:ascii="Arial" w:cs="Arial" w:eastAsia="Arial" w:hAnsi="Arial"/>
          <w:b w:val="false"/>
          <w:bCs w:val="false"/>
          <w:i w:val="false"/>
          <w:iCs w:val="false"/>
          <w:caps w:val="false"/>
          <w:color w:val="444444"/>
          <w:sz w:val="22"/>
          <w:szCs w:val="22"/>
        </w:rPr>
        <w:t xml:space="preserve">The QNode is a complete reconception of the computational primitive. It is a dynamic state entity — persistent, energy-aware, phase-synchronized, and temporally sensitive. QNodes do not process inputs; they evolve in response to them. This distinction is the core of CEA's computational philosophy: intelligence is not computed, it emerges from evolution.</w:t>
      </w:r>
    </w:p>
    <w:p>
      <w:pPr>
        <w:pStyle w:val="Heading2"/>
        <w:spacing w:after="160" w:before="400"/>
      </w:pPr>
      <w:r>
        <w:rPr>
          <w:rFonts w:ascii="Arial" w:cs="Arial" w:eastAsia="Arial" w:hAnsi="Arial"/>
          <w:b/>
          <w:bCs/>
          <w:i w:val="false"/>
          <w:iCs w:val="false"/>
          <w:caps w:val="false"/>
          <w:color w:val="1B4F8A"/>
          <w:sz w:val="27"/>
          <w:szCs w:val="27"/>
        </w:rPr>
        <w:t xml:space="preserve">5.2 Formal Definition</w:t>
      </w:r>
    </w:p>
    <w:p>
      <w:pPr>
        <w:spacing w:after="130" w:before="80"/>
        <w:ind/>
        <w:jc w:val="both"/>
      </w:pPr>
      <w:r>
        <w:rPr>
          <w:rFonts w:ascii="Arial" w:cs="Arial" w:eastAsia="Arial" w:hAnsi="Arial"/>
          <w:b w:val="false"/>
          <w:bCs w:val="false"/>
          <w:i w:val="false"/>
          <w:iCs w:val="false"/>
          <w:caps w:val="false"/>
          <w:color w:val="444444"/>
          <w:sz w:val="22"/>
          <w:szCs w:val="22"/>
        </w:rPr>
        <w:t xml:space="preserve">A QNode Q is formally defined as a five-tuple over time:</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Q(t) = (ψ(t),  φ(t),  ε(t),  μ(t),  Γ(t))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Symbol</w:t>
            </w:r>
          </w:p>
        </w:tc>
        <w:tc>
          <w:tcPr>
            <w:tcW w:type="dxa" w:w="18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Component</w:t>
            </w:r>
          </w:p>
        </w:tc>
        <w:tc>
          <w:tcPr>
            <w:tcW w:type="dxa" w:w="656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Formal Definition and Role</w:t>
            </w:r>
          </w:p>
        </w:tc>
      </w:tr>
      <w:tr>
        <w:tc>
          <w:tcPr>
            <w:tcW w:type="dxa" w:w="1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ψ(t)</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State Vector</w:t>
            </w:r>
          </w:p>
        </w:tc>
        <w:tc>
          <w:tcPr>
            <w:tcW w:type="dxa" w:w="65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ψ ∈ ℝⁿ. Multi-dimensional internal representation encoding activation, contextual content, and relational position. Unlike a scalar activation, ψ encodes rich compositional content. Dimensionality n is a hyperparameter per layer (n_L1 &lt; n_L5).</w:t>
            </w:r>
          </w:p>
        </w:tc>
      </w:tr>
      <w:tr>
        <w:tc>
          <w:tcPr>
            <w:tcW w:type="dxa" w:w="1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φ(t)</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Phase</w:t>
            </w:r>
          </w:p>
        </w:tc>
        <w:tc>
          <w:tcPr>
            <w:tcW w:type="dxa" w:w="65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φ ∈ [0, 2π). Oscillatory phase angle. Phase synchronization across QNode clusters encodes compositional binding — co-activated concepts synchronize phases, implementing the neural binding solution without explicit pointer structures.</w:t>
            </w:r>
          </w:p>
        </w:tc>
      </w:tr>
      <w:tr>
        <w:tc>
          <w:tcPr>
            <w:tcW w:type="dxa" w:w="1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ε(t)</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Energy</w:t>
            </w:r>
          </w:p>
        </w:tc>
        <w:tc>
          <w:tcPr>
            <w:tcW w:type="dxa" w:w="65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ε ∈ ℝ+. Computational energy level. Encodes prediction error magnitude, verification failure penalty, and entropy contribution. Governs activation gating: low-ε QNodes enter quiescent state, consuming near-zero resources.</w:t>
            </w:r>
          </w:p>
        </w:tc>
      </w:tr>
      <w:tr>
        <w:tc>
          <w:tcPr>
            <w:tcW w:type="dxa" w:w="1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μ(t)</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Memory Trace</w:t>
            </w:r>
          </w:p>
        </w:tc>
        <w:tc>
          <w:tcPr>
            <w:tcW w:type="dxa" w:w="65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μ(t) = α·μ(t-1) + (1-α)·ψ(t). Exponentially decaying trace of recent activation. Provides temporal context sensitivity without external recurrent memory. Decay constant α ∈ (0,1) is a learnable parameter per QNode.</w:t>
            </w:r>
          </w:p>
        </w:tc>
      </w:tr>
      <w:tr>
        <w:tc>
          <w:tcPr>
            <w:tcW w:type="dxa" w:w="1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Γ(t)</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Connection Field</w:t>
            </w:r>
          </w:p>
        </w:tc>
        <w:tc>
          <w:tcPr>
            <w:tcW w:type="dxa" w:w="65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Γ: N(Q) → ℝ. Dynamic weighted field over neighboring QNodes. Unlike static weights, Γ evolves through interaction: resonance reinforcement strengthens correlated connections; energy-gradient pruning eliminates zero-signal connections.</w:t>
            </w:r>
          </w:p>
        </w:tc>
      </w:tr>
    </w:tbl>
    <w:p>
      <w:pPr>
        <w:spacing w:after="220" w:before="60"/>
        <w:jc w:val="center"/>
      </w:pPr>
      <w:r>
        <w:rPr>
          <w:rFonts w:ascii="Arial" w:cs="Arial" w:eastAsia="Arial" w:hAnsi="Arial"/>
          <w:b w:val="false"/>
          <w:bCs w:val="false"/>
          <w:i/>
          <w:iCs/>
          <w:caps w:val="false"/>
          <w:color w:val="888888"/>
          <w:sz w:val="18"/>
          <w:szCs w:val="18"/>
        </w:rPr>
        <w:t xml:space="preserve">Table 3. QNode five-tuple components with formal definitions.</w:t>
      </w:r>
    </w:p>
    <w:p>
      <w:pPr>
        <w:pStyle w:val="Heading2"/>
        <w:spacing w:after="160" w:before="400"/>
      </w:pPr>
      <w:r>
        <w:rPr>
          <w:rFonts w:ascii="Arial" w:cs="Arial" w:eastAsia="Arial" w:hAnsi="Arial"/>
          <w:b/>
          <w:bCs/>
          <w:i w:val="false"/>
          <w:iCs w:val="false"/>
          <w:caps w:val="false"/>
          <w:color w:val="1B4F8A"/>
          <w:sz w:val="27"/>
          <w:szCs w:val="27"/>
        </w:rPr>
        <w:t xml:space="preserve">5.3 Transition Dynamics</w:t>
      </w:r>
    </w:p>
    <w:p>
      <w:pPr>
        <w:spacing w:after="130" w:before="80"/>
        <w:ind/>
        <w:jc w:val="both"/>
      </w:pPr>
      <w:r>
        <w:rPr>
          <w:rFonts w:ascii="Arial" w:cs="Arial" w:eastAsia="Arial" w:hAnsi="Arial"/>
          <w:b w:val="false"/>
          <w:bCs w:val="false"/>
          <w:i w:val="false"/>
          <w:iCs w:val="false"/>
          <w:caps w:val="false"/>
          <w:color w:val="444444"/>
          <w:sz w:val="22"/>
          <w:szCs w:val="22"/>
        </w:rPr>
        <w:t xml:space="preserve">The temporal evolution of a QNode is governed by its transition function T, which integrates four information sources:</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Q(t+1) = T( Q(t),  N_Γ(Q,t),  S_env(t),  F_global(t) )</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Q(t): current QNode state — provides continuity and temporal memory via μ.</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N_Γ(Q,t): the weighted neighborhood defined by the connection field Γ — provides local interaction and collective dynamics.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S_env(t): environmental signal at time t — provides external sensory grounding.</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F_global(t): the Quantum-Inspired Tensor Field from the organism layer — provides top-down context without O(N) communication.</w:t>
      </w:r>
    </w:p>
    <w:p>
      <w:pPr>
        <w:spacing w:after="130" w:before="80"/>
        <w:ind/>
        <w:jc w:val="both"/>
      </w:pPr>
      <w:r>
        <w:rPr>
          <w:rFonts w:ascii="Arial" w:cs="Arial" w:eastAsia="Arial" w:hAnsi="Arial"/>
          <w:b w:val="false"/>
          <w:bCs w:val="false"/>
          <w:i w:val="false"/>
          <w:iCs w:val="false"/>
          <w:caps w:val="false"/>
          <w:color w:val="444444"/>
          <w:sz w:val="22"/>
          <w:szCs w:val="22"/>
        </w:rPr>
        <w:t xml:space="preserve">The transition decomposes into component updates:</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ψ(t+1) = f_ψ(ψ(t), N_Γ, S_env, F_global)</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φ(t+1) = φ(t) + ω + κ·Σ_{j∈N} sin(φ_j - φ) + ξ_phase    [Kuramoto dynamics]</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ε(t+1) = β·ε(t) + L_pred(t) + λ_HVE·P_violation(t)        [energy accumulation]</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μ(t+1) = α·μ(t) + (1-α)·ψ(t+1)                           [trace update]</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Γ(t+1) = Γ(t) + η·Δ_resonance - γ·Γ(t)·1[ε_j &lt; ε_min]    [field update]</w:t>
      </w:r>
    </w:p>
    <w:p>
      <w:pPr>
        <w:spacing w:after="130" w:before="80"/>
        <w:ind/>
        <w:jc w:val="both"/>
      </w:pPr>
      <w:r>
        <w:rPr>
          <w:rFonts w:ascii="Arial" w:cs="Arial" w:eastAsia="Arial" w:hAnsi="Arial"/>
          <w:b w:val="false"/>
          <w:bCs w:val="false"/>
          <w:i w:val="false"/>
          <w:iCs w:val="false"/>
          <w:caps w:val="false"/>
          <w:color w:val="444444"/>
          <w:sz w:val="22"/>
          <w:szCs w:val="22"/>
        </w:rPr>
        <w:t xml:space="preserve">The phase update uses Kuramoto coupled-oscillator dynamics — a mathematically well-studied model of synchronization in coupled nonlinear oscillators that exhibits the sharp synchronization transitions needed for phase-binding. The energy update accumulates prediction error plus HVE penalty P_violation, creating the thermodynamic pressure that drives the system toward grounded, consistent states.</w:t>
      </w:r>
    </w:p>
    <w:p>
      <w:pPr>
        <w:pStyle w:val="Heading2"/>
        <w:spacing w:after="160" w:before="400"/>
      </w:pPr>
      <w:r>
        <w:rPr>
          <w:rFonts w:ascii="Arial" w:cs="Arial" w:eastAsia="Arial" w:hAnsi="Arial"/>
          <w:b/>
          <w:bCs/>
          <w:i w:val="false"/>
          <w:iCs w:val="false"/>
          <w:caps w:val="false"/>
          <w:color w:val="1B4F8A"/>
          <w:sz w:val="27"/>
          <w:szCs w:val="27"/>
        </w:rPr>
        <w:t xml:space="preserve">5.4 Energy Gating and Sparse Activation</w:t>
      </w:r>
    </w:p>
    <w:p>
      <w:pPr>
        <w:spacing w:after="130" w:before="80"/>
        <w:ind/>
        <w:jc w:val="both"/>
      </w:pPr>
      <w:r>
        <w:rPr>
          <w:rFonts w:ascii="Arial" w:cs="Arial" w:eastAsia="Arial" w:hAnsi="Arial"/>
          <w:b w:val="false"/>
          <w:bCs w:val="false"/>
          <w:i w:val="false"/>
          <w:iCs w:val="false"/>
          <w:caps w:val="false"/>
          <w:color w:val="444444"/>
          <w:sz w:val="22"/>
          <w:szCs w:val="22"/>
        </w:rPr>
        <w:t xml:space="preserve">A critical efficiency property: QNodes with ε(t) &lt; ε_min enter a quiescent state in which they do not compute, transmit, or consume resources. This energy gating produces sparse activation — at any given time, only the fraction of QNodes with prediction error above threshold are active. On typical natural language inputs, we expect 5-15% activation sparsity at the quantum layer and 1-5% at higher layers, consistent with the sparse activity observed in biological cortex and enabling the dramatic energy efficiency gains of CEA over dense transformers.</w:t>
      </w:r>
    </w:p>
    <w:p>
      <w:pPr>
        <w:pStyle w:val="Heading2"/>
        <w:spacing w:after="160" w:before="400"/>
      </w:pPr>
      <w:r>
        <w:rPr>
          <w:rFonts w:ascii="Arial" w:cs="Arial" w:eastAsia="Arial" w:hAnsi="Arial"/>
          <w:b/>
          <w:bCs/>
          <w:i w:val="false"/>
          <w:iCs w:val="false"/>
          <w:caps w:val="false"/>
          <w:color w:val="1B4F8A"/>
          <w:sz w:val="27"/>
          <w:szCs w:val="27"/>
        </w:rPr>
        <w:t xml:space="preserve">5.5 Comparative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1800"/>
        <w:gridCol w:w="1800"/>
        <w:gridCol w:w="1860"/>
      </w:tblGrid>
      <w:tr>
        <w:tc>
          <w:tcPr>
            <w:tcW w:type="dxa" w:w="21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Property</w:t>
            </w:r>
          </w:p>
        </w:tc>
        <w:tc>
          <w:tcPr>
            <w:tcW w:type="dxa" w:w="18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MLP Neuron</w:t>
            </w:r>
          </w:p>
        </w:tc>
        <w:tc>
          <w:tcPr>
            <w:tcW w:type="dxa" w:w="18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Transformer Attention</w:t>
            </w:r>
          </w:p>
        </w:tc>
        <w:tc>
          <w:tcPr>
            <w:tcW w:type="dxa" w:w="18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SNN Spike</w:t>
            </w:r>
          </w:p>
        </w:tc>
        <w:tc>
          <w:tcPr>
            <w:tcW w:type="dxa" w:w="186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CEA QNode</w:t>
            </w:r>
          </w:p>
        </w:tc>
      </w:tr>
      <w:tr>
        <w:tc>
          <w:tcPr>
            <w:tcW w:type="dxa" w:w="21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State dimensions</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0 (stateless)</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0 (stateless)</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1 (potential)</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0A2342"/>
                <w:sz w:val="20"/>
                <w:szCs w:val="20"/>
              </w:rPr>
              <w:t xml:space="preserve">5 (full tuple)</w:t>
            </w:r>
          </w:p>
        </w:tc>
      </w:tr>
      <w:tr>
        <w:tc>
          <w:tcPr>
            <w:tcW w:type="dxa" w:w="21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Temporal memory</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None</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KV cache (external)</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STDP trace</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0A2342"/>
                <w:sz w:val="20"/>
                <w:szCs w:val="20"/>
              </w:rPr>
              <w:t xml:space="preserve">Native μ(t)</w:t>
            </w:r>
          </w:p>
        </w:tc>
      </w:tr>
      <w:tr>
        <w:tc>
          <w:tcPr>
            <w:tcW w:type="dxa" w:w="21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Energy awareness</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No</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No</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Spike cost only</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0A2342"/>
                <w:sz w:val="20"/>
                <w:szCs w:val="20"/>
              </w:rPr>
              <w:t xml:space="preserve">Full ε dynamics</w:t>
            </w:r>
          </w:p>
        </w:tc>
      </w:tr>
      <w:tr>
        <w:tc>
          <w:tcPr>
            <w:tcW w:type="dxa" w:w="21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Phase binding</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No</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Implicit (attention)</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Partial</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0A2342"/>
                <w:sz w:val="20"/>
                <w:szCs w:val="20"/>
              </w:rPr>
              <w:t xml:space="preserve">Kuramoto sync</w:t>
            </w:r>
          </w:p>
        </w:tc>
      </w:tr>
      <w:tr>
        <w:tc>
          <w:tcPr>
            <w:tcW w:type="dxa" w:w="21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Grounding native</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No</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No</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No</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0A2342"/>
                <w:sz w:val="20"/>
                <w:szCs w:val="20"/>
              </w:rPr>
              <w:t xml:space="preserve">Yes (HVE penalty)</w:t>
            </w:r>
          </w:p>
        </w:tc>
      </w:tr>
      <w:tr>
        <w:tc>
          <w:tcPr>
            <w:tcW w:type="dxa" w:w="21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Sparse activation</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No (always on)</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Partial (MoE only)</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Yes</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0A2342"/>
                <w:sz w:val="20"/>
                <w:szCs w:val="20"/>
              </w:rPr>
              <w:t xml:space="preserve">Yes (ε gating)</w:t>
            </w:r>
          </w:p>
        </w:tc>
      </w:tr>
    </w:tbl>
    <w:p>
      <w:pPr>
        <w:spacing w:after="220" w:before="60"/>
        <w:jc w:val="center"/>
      </w:pPr>
      <w:r>
        <w:rPr>
          <w:rFonts w:ascii="Arial" w:cs="Arial" w:eastAsia="Arial" w:hAnsi="Arial"/>
          <w:b w:val="false"/>
          <w:bCs w:val="false"/>
          <w:i/>
          <w:iCs/>
          <w:caps w:val="false"/>
          <w:color w:val="888888"/>
          <w:sz w:val="18"/>
          <w:szCs w:val="18"/>
        </w:rPr>
        <w:t xml:space="preserve">Table 4. Comparative properties of computational primitives across architectures.</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6. Hierarchical Verification Engine (HVE)</w:t>
      </w:r>
    </w:p>
    <w:p>
      <w:pPr>
        <w:pStyle w:val="Heading2"/>
        <w:spacing w:after="160" w:before="400"/>
      </w:pPr>
      <w:r>
        <w:rPr>
          <w:rFonts w:ascii="Arial" w:cs="Arial" w:eastAsia="Arial" w:hAnsi="Arial"/>
          <w:b/>
          <w:bCs/>
          <w:i w:val="false"/>
          <w:iCs w:val="false"/>
          <w:caps w:val="false"/>
          <w:color w:val="1B4F8A"/>
          <w:sz w:val="27"/>
          <w:szCs w:val="27"/>
        </w:rPr>
        <w:t xml:space="preserve">6.1 Architectural Motivation</w:t>
      </w:r>
    </w:p>
    <w:p>
      <w:pPr>
        <w:spacing w:after="130" w:before="80"/>
        <w:ind/>
        <w:jc w:val="both"/>
      </w:pPr>
      <w:r>
        <w:rPr>
          <w:rFonts w:ascii="Arial" w:cs="Arial" w:eastAsia="Arial" w:hAnsi="Arial"/>
          <w:b w:val="false"/>
          <w:bCs w:val="false"/>
          <w:i w:val="false"/>
          <w:iCs w:val="false"/>
          <w:caps w:val="false"/>
          <w:color w:val="444444"/>
          <w:sz w:val="22"/>
          <w:szCs w:val="22"/>
        </w:rPr>
        <w:t xml:space="preserve">The v0.1 Reality Alignment Constraint G(s) = f(Ψ_env, Ψ_time, Ψ_causal, Ψ_ext) ≥ θ correctly identified the four dimensions of grounding but left their computation underspecified. A valid criticism (addressed in this version) is that computing G(s) across all four dimensions simultaneously creates a verification bottleneck — particularly Ψ_ext, which requires cross-referencing a distributed knowledge base. The Hierarchical Verification Engine resolves this by decomposing verification into four tiers of increasing cost and decreasing frequency, operating in parallel across the processing layers.</w:t>
      </w:r>
    </w:p>
    <w:p>
      <w:pPr>
        <w:pStyle w:val="Heading2"/>
        <w:spacing w:after="160" w:before="400"/>
      </w:pPr>
      <w:r>
        <w:rPr>
          <w:rFonts w:ascii="Arial" w:cs="Arial" w:eastAsia="Arial" w:hAnsi="Arial"/>
          <w:b/>
          <w:bCs/>
          <w:i w:val="false"/>
          <w:iCs w:val="false"/>
          <w:caps w:val="false"/>
          <w:color w:val="1B4F8A"/>
          <w:sz w:val="27"/>
          <w:szCs w:val="27"/>
        </w:rPr>
        <w:t xml:space="preserve">6.2 Four-Tier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400"/>
        <w:gridCol w:w="2160"/>
      </w:tblGrid>
      <w:tr>
        <w:tc>
          <w:tcPr>
            <w:tcW w:type="dxa" w:w="14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Tier</w:t>
            </w:r>
          </w:p>
        </w:tc>
        <w:tc>
          <w:tcPr>
            <w:tcW w:type="dxa" w:w="16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Type</w:t>
            </w:r>
          </w:p>
        </w:tc>
        <w:tc>
          <w:tcPr>
            <w:tcW w:type="dxa" w:w="18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Latency</w:t>
            </w:r>
          </w:p>
        </w:tc>
        <w:tc>
          <w:tcPr>
            <w:tcW w:type="dxa" w:w="24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Scope</w:t>
            </w:r>
          </w:p>
        </w:tc>
        <w:tc>
          <w:tcPr>
            <w:tcW w:type="dxa" w:w="216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Energy Penalty</w:t>
            </w:r>
          </w:p>
        </w:tc>
      </w:tr>
      <w:tr>
        <w:tc>
          <w:tcPr>
            <w:tcW w:type="dxa" w:w="1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T1</w:t>
            </w:r>
          </w:p>
        </w:tc>
        <w:tc>
          <w:tcPr>
            <w:tcW w:type="dxa" w:w="1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Logical Consistency</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Sub-millisecond</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Immediate context window. Detects direct logical contradictions, syntactic impossibilities, and violated hard constraints within the current inference step.</w:t>
            </w:r>
          </w:p>
        </w:tc>
        <w:tc>
          <w:tcPr>
            <w:tcW w:type="dxa" w:w="21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Small: ΔP_T1. Applied per-token, pruning obviously impossible states early.</w:t>
            </w:r>
          </w:p>
        </w:tc>
      </w:tr>
      <w:tr>
        <w:tc>
          <w:tcPr>
            <w:tcW w:type="dxa" w:w="1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T2</w:t>
            </w:r>
          </w:p>
        </w:tc>
        <w:tc>
          <w:tcPr>
            <w:tcW w:type="dxa" w:w="1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Causal Consistency</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Milliseconds</w:t>
            </w:r>
          </w:p>
        </w:tc>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Local causal graph neighborhood. Checks proposed states against the 3-hop causal neighborhood in the atomic layer's knowledge graph. Catches violated cause-effect relationships.</w:t>
            </w:r>
          </w:p>
        </w:tc>
        <w:tc>
          <w:tcPr>
            <w:tcW w:type="dxa" w:w="21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Medium: ΔP_T2. Applied per-clause, penalizing states that reverse established causal chains.</w:t>
            </w:r>
          </w:p>
        </w:tc>
      </w:tr>
      <w:tr>
        <w:tc>
          <w:tcPr>
            <w:tcW w:type="dxa" w:w="1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T3</w:t>
            </w:r>
          </w:p>
        </w:tc>
        <w:tc>
          <w:tcPr>
            <w:tcW w:type="dxa" w:w="1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Semantic Grounding</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10-100ms</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Molecular semantic field. Cross-references proposed semantic compositions against crystallized knowledge structures. Detects category errors, semantic impossibilities, and factual inconsistencies with stored knowledge.</w:t>
            </w:r>
          </w:p>
        </w:tc>
        <w:tc>
          <w:tcPr>
            <w:tcW w:type="dxa" w:w="21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Large: ΔP_T3. Applied per-proposition, creating strong energy barriers against factually incorrect claims.</w:t>
            </w:r>
          </w:p>
        </w:tc>
      </w:tr>
      <w:tr>
        <w:tc>
          <w:tcPr>
            <w:tcW w:type="dxa" w:w="14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T4</w:t>
            </w:r>
          </w:p>
        </w:tc>
        <w:tc>
          <w:tcPr>
            <w:tcW w:type="dxa" w:w="16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External Simulation</w:t>
            </w:r>
          </w:p>
        </w:tc>
        <w:tc>
          <w:tcPr>
            <w:tcW w:type="dxa" w:w="18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100ms - 10s</w:t>
            </w:r>
          </w:p>
        </w:tc>
        <w:tc>
          <w:tcPr>
            <w:tcW w:type="dxa" w:w="24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Full external grounding. For high-stakes claims triggering T1-T3 anomalies: spins up parallel micro-simulation using physics/logic engines, cross-references live external knowledge sources, runs counterfactual consistency check.</w:t>
            </w:r>
          </w:p>
        </w:tc>
        <w:tc>
          <w:tcPr>
            <w:tcW w:type="dxa" w:w="216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Maximum: ΔP_T4. Applied only when lower tiers flag uncertainty. Creates absolute energy barriers; T4-failing states cannot reach equilibrium.</w:t>
            </w:r>
          </w:p>
        </w:tc>
      </w:tr>
    </w:tbl>
    <w:p>
      <w:pPr>
        <w:spacing w:after="220" w:before="60"/>
        <w:jc w:val="center"/>
      </w:pPr>
      <w:r>
        <w:rPr>
          <w:rFonts w:ascii="Arial" w:cs="Arial" w:eastAsia="Arial" w:hAnsi="Arial"/>
          <w:b w:val="false"/>
          <w:bCs w:val="false"/>
          <w:i/>
          <w:iCs/>
          <w:caps w:val="false"/>
          <w:color w:val="888888"/>
          <w:sz w:val="18"/>
          <w:szCs w:val="18"/>
        </w:rPr>
        <w:t xml:space="preserve">Table 5. HVE four-tier verification architecture with latency and penalty characteristics.</w:t>
      </w:r>
    </w:p>
    <w:p>
      <w:pPr>
        <w:pStyle w:val="Heading2"/>
        <w:spacing w:after="160" w:before="400"/>
      </w:pPr>
      <w:r>
        <w:rPr>
          <w:rFonts w:ascii="Arial" w:cs="Arial" w:eastAsia="Arial" w:hAnsi="Arial"/>
          <w:b/>
          <w:bCs/>
          <w:i w:val="false"/>
          <w:iCs w:val="false"/>
          <w:caps w:val="false"/>
          <w:color w:val="1B4F8A"/>
          <w:sz w:val="27"/>
          <w:szCs w:val="27"/>
        </w:rPr>
        <w:t xml:space="preserve">6.3 The Updated Reality Alignment Constraint</w:t>
      </w:r>
    </w:p>
    <w:p>
      <w:pPr>
        <w:spacing w:after="130" w:before="80"/>
        <w:ind/>
        <w:jc w:val="both"/>
      </w:pPr>
      <w:r>
        <w:rPr>
          <w:rFonts w:ascii="Arial" w:cs="Arial" w:eastAsia="Arial" w:hAnsi="Arial"/>
          <w:b w:val="false"/>
          <w:bCs w:val="false"/>
          <w:i w:val="false"/>
          <w:iCs w:val="false"/>
          <w:caps w:val="false"/>
          <w:color w:val="444444"/>
          <w:sz w:val="22"/>
          <w:szCs w:val="22"/>
        </w:rPr>
        <w:t xml:space="preserve">The Reality Alignment Constraint is now expressed as a hierarchical composition of tier-level grounding functions:</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G(s) = w₁·G_T1(s) + w₂·G_T2(s) + w₃·G_T3(s) + w₄·G_T4(s)</w:t>
      </w:r>
    </w:p>
    <w:p>
      <w:pPr>
        <w:spacing w:after="130" w:before="80"/>
        <w:ind/>
        <w:jc w:val="both"/>
      </w:pPr>
      <w:r>
        <w:rPr>
          <w:rFonts w:ascii="Arial" w:cs="Arial" w:eastAsia="Arial" w:hAnsi="Arial"/>
          <w:b w:val="false"/>
          <w:bCs w:val="false"/>
          <w:i w:val="false"/>
          <w:iCs w:val="false"/>
          <w:caps w:val="false"/>
          <w:color w:val="444444"/>
          <w:sz w:val="22"/>
          <w:szCs w:val="22"/>
        </w:rPr>
        <w:t xml:space="preserve">Where G_Ti(s) ∈ [0,1] is the grounding score at tier i, and weights w_i satisfy Σw_i = 1 with w₁ &lt; w₂ &lt; w₃ &lt; w₄ — higher tiers carry greater authority. A state s is accepted if and only if:</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G(s) ≥ θ_reality(context)</w:t>
      </w:r>
    </w:p>
    <w:p>
      <w:pPr>
        <w:spacing w:after="130" w:before="80"/>
        <w:ind/>
        <w:jc w:val="both"/>
      </w:pPr>
      <w:r>
        <w:rPr>
          <w:rFonts w:ascii="Arial" w:cs="Arial" w:eastAsia="Arial" w:hAnsi="Arial"/>
          <w:b w:val="false"/>
          <w:bCs w:val="false"/>
          <w:i w:val="false"/>
          <w:iCs w:val="false"/>
          <w:caps w:val="false"/>
          <w:color w:val="444444"/>
          <w:sz w:val="22"/>
          <w:szCs w:val="22"/>
        </w:rPr>
        <w:t xml:space="preserve">The reality threshold θ_reality is now context-dependent, learned from deployment domain signals:</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θ_reality(context) = θ_base · (1 + γ_domain · D_stakes(context))</w:t>
      </w:r>
    </w:p>
    <w:p>
      <w:pPr>
        <w:spacing w:after="130" w:before="80"/>
        <w:ind/>
        <w:jc w:val="both"/>
      </w:pPr>
      <w:r>
        <w:rPr>
          <w:rFonts w:ascii="Arial" w:cs="Arial" w:eastAsia="Arial" w:hAnsi="Arial"/>
          <w:b w:val="false"/>
          <w:bCs w:val="false"/>
          <w:i w:val="false"/>
          <w:iCs w:val="false"/>
          <w:caps w:val="false"/>
          <w:color w:val="444444"/>
          <w:sz w:val="22"/>
          <w:szCs w:val="22"/>
        </w:rPr>
        <w:t xml:space="preserve">Where D_stakes encodes domain risk level (high in medical/legal, lower in creative contexts) and γ_domain is a domain sensitivity coefficient. This adaptive threshold ensures CEA maintains appropriate verification stringency without sacrificing creative flexibility in domains where uncertainty is expected.</w:t>
      </w:r>
    </w:p>
    <w:p>
      <w:pPr>
        <w:pStyle w:val="Heading2"/>
        <w:spacing w:after="160" w:before="400"/>
      </w:pPr>
      <w:r>
        <w:rPr>
          <w:rFonts w:ascii="Arial" w:cs="Arial" w:eastAsia="Arial" w:hAnsi="Arial"/>
          <w:b/>
          <w:bCs/>
          <w:i w:val="false"/>
          <w:iCs w:val="false"/>
          <w:caps w:val="false"/>
          <w:color w:val="1B4F8A"/>
          <w:sz w:val="27"/>
          <w:szCs w:val="27"/>
        </w:rPr>
        <w:t xml:space="preserve">6.4 The T4 External Simulation Engine</w:t>
      </w:r>
    </w:p>
    <w:p>
      <w:pPr>
        <w:spacing w:after="130" w:before="80"/>
        <w:ind/>
        <w:jc w:val="both"/>
      </w:pPr>
      <w:r>
        <w:rPr>
          <w:rFonts w:ascii="Arial" w:cs="Arial" w:eastAsia="Arial" w:hAnsi="Arial"/>
          <w:b w:val="false"/>
          <w:bCs w:val="false"/>
          <w:i w:val="false"/>
          <w:iCs w:val="false"/>
          <w:caps w:val="false"/>
          <w:color w:val="444444"/>
          <w:sz w:val="22"/>
          <w:szCs w:val="22"/>
        </w:rPr>
        <w:t xml:space="preserve">Tier 4 is the most computationally intensive and most novel component of the HVE. When lower tiers flag a claim as uncertain — neither clearly grounded nor clearly ungrounded — T4 spawns parallel simulation processes to evaluate it directly. This represents a departure from lookup-based fact-checking toward computation-based fact-verification:</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Physics micro-simulation: for claims involving physical processes (thermodynamics, chemistry, mechanics), T4 initializes a constrained simulation of the relevant subsystem using established physics models and evaluates whether the claimed outcome is consistent with the simulation trajectory.</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Logical proof search: for claims involving logical or mathematical relationships, T4 runs a bounded proof search using the symbolic consistency engine, evaluating whether the claim is provable, disprovable, or undecidable within the search budget.</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Counterfactual consistency: for causal claims, T4 evaluates the claim under counterfactual interventions — would the proposed effect occur under the claimed cause? Would it fail under an alternative cause? Consistent causal claims must satisfy Pearl's do-calculus (Pearl, 2009).</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External cross-reference: for factual claims in the knowledge base's scope, T4 retrieves and cross-references multiple independent sources, computing agreement-weighted confidence that is converted to a grounding score.</w:t>
      </w:r>
    </w:p>
    <w:p>
      <w:pPr>
        <w:spacing w:after="130" w:before="80"/>
        <w:ind/>
        <w:jc w:val="both"/>
      </w:pPr>
      <w:r>
        <w:rPr>
          <w:rFonts w:ascii="Arial" w:cs="Arial" w:eastAsia="Arial" w:hAnsi="Arial"/>
          <w:b w:val="false"/>
          <w:bCs w:val="false"/>
          <w:i w:val="false"/>
          <w:iCs w:val="false"/>
          <w:caps w:val="false"/>
          <w:color w:val="444444"/>
          <w:sz w:val="22"/>
          <w:szCs w:val="22"/>
        </w:rPr>
        <w:t xml:space="preserve">Critically, T4 is not run for every inference step. It is triggered selectively when T1-T3 produce anomalous signals — specifically when:</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max(G_T1, G_T2, G_T3) &lt; θ_trigger  AND  ε_state &gt; ε_T4threshold</w:t>
      </w:r>
    </w:p>
    <w:p>
      <w:pPr>
        <w:spacing w:after="130" w:before="80"/>
        <w:ind/>
        <w:jc w:val="both"/>
      </w:pPr>
      <w:r>
        <w:rPr>
          <w:rFonts w:ascii="Arial" w:cs="Arial" w:eastAsia="Arial" w:hAnsi="Arial"/>
          <w:b w:val="false"/>
          <w:bCs w:val="false"/>
          <w:i w:val="false"/>
          <w:iCs w:val="false"/>
          <w:caps w:val="false"/>
          <w:color w:val="444444"/>
          <w:sz w:val="22"/>
          <w:szCs w:val="22"/>
        </w:rPr>
        <w:t xml:space="preserve">This selective triggering ensures T4's computational cost is incurred only when the system genuinely needs deep verification, not for routine low-stakes inference where T1-T3 suffice. Expected T4 invocation rate: &lt;1% of inference steps.</w:t>
      </w:r>
    </w:p>
    <w:p>
      <w:pPr>
        <w:pStyle w:val="Heading2"/>
        <w:spacing w:after="160" w:before="400"/>
      </w:pPr>
      <w:r>
        <w:rPr>
          <w:rFonts w:ascii="Arial" w:cs="Arial" w:eastAsia="Arial" w:hAnsi="Arial"/>
          <w:b/>
          <w:bCs/>
          <w:i w:val="false"/>
          <w:iCs w:val="false"/>
          <w:caps w:val="false"/>
          <w:color w:val="1B4F8A"/>
          <w:sz w:val="27"/>
          <w:szCs w:val="27"/>
        </w:rPr>
        <w:t xml:space="preserve">6.5 Thermodynamic Integration</w:t>
      </w:r>
    </w:p>
    <w:p>
      <w:pPr>
        <w:spacing w:after="130" w:before="80"/>
        <w:ind/>
        <w:jc w:val="both"/>
      </w:pPr>
      <w:r>
        <w:rPr>
          <w:rFonts w:ascii="Arial" w:cs="Arial" w:eastAsia="Arial" w:hAnsi="Arial"/>
          <w:b w:val="false"/>
          <w:bCs w:val="false"/>
          <w:i w:val="false"/>
          <w:iCs w:val="false"/>
          <w:caps w:val="false"/>
          <w:color w:val="444444"/>
          <w:sz w:val="22"/>
          <w:szCs w:val="22"/>
        </w:rPr>
        <w:t xml:space="preserve">HVE verdicts are expressed as energy penalties added directly to QNode energy levels. A T1 violation adds ΔP_T1 to all QNodes in the contradiction's active cluster; a T4 failure adds ΔP_T4 — a large penalty that raises the cluster's energy above the equilibrium threshold, driving the system away from that state:</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ε_cluster(t+1) = ε_cluster(t) + Σᵢ w_i · ΔP_Ti · 1[G_Ti(s) &lt; θ_Ti]</w:t>
      </w:r>
    </w:p>
    <w:p>
      <w:pPr>
        <w:spacing w:after="130" w:before="80"/>
        <w:ind/>
        <w:jc w:val="both"/>
      </w:pPr>
      <w:r>
        <w:rPr>
          <w:rFonts w:ascii="Arial" w:cs="Arial" w:eastAsia="Arial" w:hAnsi="Arial"/>
          <w:b w:val="false"/>
          <w:bCs w:val="false"/>
          <w:i w:val="false"/>
          <w:iCs w:val="false"/>
          <w:caps w:val="false"/>
          <w:color w:val="444444"/>
          <w:sz w:val="22"/>
          <w:szCs w:val="22"/>
        </w:rPr>
        <w:t xml:space="preserve">This direct integration makes verification a force in the thermodynamic landscape rather than an external check. States that fail verification are not removed — they become energetically unstable, and the system's natural dynamics drive it away from them. The physics takes care of correctness.</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7. Quantum-Inspired Tensor Field for F_global</w:t>
      </w:r>
    </w:p>
    <w:p>
      <w:pPr>
        <w:pStyle w:val="Heading2"/>
        <w:spacing w:after="160" w:before="400"/>
      </w:pPr>
      <w:r>
        <w:rPr>
          <w:rFonts w:ascii="Arial" w:cs="Arial" w:eastAsia="Arial" w:hAnsi="Arial"/>
          <w:b/>
          <w:bCs/>
          <w:i w:val="false"/>
          <w:iCs w:val="false"/>
          <w:caps w:val="false"/>
          <w:color w:val="1B4F8A"/>
          <w:sz w:val="27"/>
          <w:szCs w:val="27"/>
        </w:rPr>
        <w:t xml:space="preserve">7.1 The Global Field Bottleneck</w:t>
      </w:r>
    </w:p>
    <w:p>
      <w:pPr>
        <w:spacing w:after="130" w:before="80"/>
        <w:ind/>
        <w:jc w:val="both"/>
      </w:pPr>
      <w:r>
        <w:rPr>
          <w:rFonts w:ascii="Arial" w:cs="Arial" w:eastAsia="Arial" w:hAnsi="Arial"/>
          <w:b w:val="false"/>
          <w:bCs w:val="false"/>
          <w:i w:val="false"/>
          <w:iCs w:val="false"/>
          <w:caps w:val="false"/>
          <w:color w:val="444444"/>
          <w:sz w:val="22"/>
          <w:szCs w:val="22"/>
        </w:rPr>
        <w:t xml:space="preserve">In v0.1, the global contextual field F_global was described as a broadcast from the organism layer to all QNodes, creating an O(N) communication complexity per time step at scale — a legitimate scalability concern. V0.2 introduces the Quantum-Inspired Tensor Field (QITF) formalism, which resolves this bottleneck through low-rank tensor decomposition techniques borrowed from computational quantum physics. We emphasize at the outset: this is a classical algorithm with quantum-inspired mathematics. It runs on classical GPU and HPC hardware. It does not require quantum processors.</w:t>
      </w:r>
    </w:p>
    <w:p>
      <w:pPr>
        <w:pStyle w:val="Heading2"/>
        <w:spacing w:after="160" w:before="400"/>
      </w:pPr>
      <w:r>
        <w:rPr>
          <w:rFonts w:ascii="Arial" w:cs="Arial" w:eastAsia="Arial" w:hAnsi="Arial"/>
          <w:b/>
          <w:bCs/>
          <w:i w:val="false"/>
          <w:iCs w:val="false"/>
          <w:caps w:val="false"/>
          <w:color w:val="1B4F8A"/>
          <w:sz w:val="27"/>
          <w:szCs w:val="27"/>
        </w:rPr>
        <w:t xml:space="preserve">7.2 Mathematical Formulation</w:t>
      </w:r>
    </w:p>
    <w:p>
      <w:pPr>
        <w:spacing w:after="130" w:before="80"/>
        <w:ind/>
        <w:jc w:val="both"/>
      </w:pPr>
      <w:r>
        <w:rPr>
          <w:rFonts w:ascii="Arial" w:cs="Arial" w:eastAsia="Arial" w:hAnsi="Arial"/>
          <w:b w:val="false"/>
          <w:bCs w:val="false"/>
          <w:i w:val="false"/>
          <w:iCs w:val="false"/>
          <w:caps w:val="false"/>
          <w:color w:val="444444"/>
          <w:sz w:val="22"/>
          <w:szCs w:val="22"/>
        </w:rPr>
        <w:t xml:space="preserve">The global contextual state of a CEA system with N active QNodes is formally a joint probability distribution over all N QNode states — a tensor of dimension d^N, which is astronomically large for realistic N. The key insight from quantum many-body physics is that physically realistic states — those arising from local interactions — have low entanglement entropy and can be efficiently approximated by low-rank tensor network decompositions (Orus, 2014).</w:t>
      </w:r>
    </w:p>
    <w:p>
      <w:pPr>
        <w:spacing w:after="130" w:before="80"/>
        <w:ind/>
        <w:jc w:val="both"/>
      </w:pPr>
      <w:r>
        <w:rPr>
          <w:rFonts w:ascii="Arial" w:cs="Arial" w:eastAsia="Arial" w:hAnsi="Arial"/>
          <w:b w:val="false"/>
          <w:bCs w:val="false"/>
          <w:i w:val="false"/>
          <w:iCs w:val="false"/>
          <w:caps w:val="false"/>
          <w:color w:val="444444"/>
          <w:sz w:val="22"/>
          <w:szCs w:val="22"/>
        </w:rPr>
        <w:t xml:space="preserve">CEA represents F_global as a Matrix Product State (MPS) tensor network:</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F_global = Σ_{s₁...sN} M^s₁[1] · M^s₂[2] · ... · M^sN[N]  |s₁s₂...sN⟩</w:t>
      </w:r>
    </w:p>
    <w:p>
      <w:pPr>
        <w:spacing w:after="130" w:before="80"/>
        <w:ind/>
        <w:jc w:val="both"/>
      </w:pPr>
      <w:r>
        <w:rPr>
          <w:rFonts w:ascii="Arial" w:cs="Arial" w:eastAsia="Arial" w:hAnsi="Arial"/>
          <w:b w:val="false"/>
          <w:bCs w:val="false"/>
          <w:i w:val="false"/>
          <w:iCs w:val="false"/>
          <w:caps w:val="false"/>
          <w:color w:val="444444"/>
          <w:sz w:val="22"/>
          <w:szCs w:val="22"/>
        </w:rPr>
        <w:t xml:space="preserve">Where M^s_i[i] is a D×D matrix (D is the bond dimension, a hyperparameter controlling approximation quality), and the product of matrices gives the amplitude of each global configuration. The key properties: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Storage: instead of d^N values, the MPS requires N·D²·d parameters — polynomial rather than exponential in system size.</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Update: when a logical contradiction is detected in cluster C, the MPS is updated by contracting tensors in the C-neighborhood only. This contraction propagates the consistency violation through the tensor network without sequential message passing — tensor contraction is a parallel operation implementable in O(log N) depth on GPU hardware.</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Marginals: the probability of any local configuration — needed to condition QNode dynamics — is computed by contracting the MPS with a local operator, requiring O(D³) operations rather than O(d^N).</w:t>
      </w:r>
    </w:p>
    <w:p>
      <w:pPr>
        <w:pStyle w:val="Heading2"/>
        <w:spacing w:after="160" w:before="400"/>
      </w:pPr>
      <w:r>
        <w:rPr>
          <w:rFonts w:ascii="Arial" w:cs="Arial" w:eastAsia="Arial" w:hAnsi="Arial"/>
          <w:b/>
          <w:bCs/>
          <w:i w:val="false"/>
          <w:iCs w:val="false"/>
          <w:caps w:val="false"/>
          <w:color w:val="1B4F8A"/>
          <w:sz w:val="27"/>
          <w:szCs w:val="27"/>
        </w:rPr>
        <w:t xml:space="preserve">7.3 Bond Dimension and Approximation Quality</w:t>
      </w:r>
    </w:p>
    <w:p>
      <w:pPr>
        <w:spacing w:after="130" w:before="80"/>
        <w:ind/>
        <w:jc w:val="both"/>
      </w:pPr>
      <w:r>
        <w:rPr>
          <w:rFonts w:ascii="Arial" w:cs="Arial" w:eastAsia="Arial" w:hAnsi="Arial"/>
          <w:b w:val="false"/>
          <w:bCs w:val="false"/>
          <w:i w:val="false"/>
          <w:iCs w:val="false"/>
          <w:caps w:val="false"/>
          <w:color w:val="444444"/>
          <w:sz w:val="22"/>
          <w:szCs w:val="22"/>
        </w:rPr>
        <w:t xml:space="preserve">The bond dimension D controls the expressivity-efficiency tradeoff. Small D (D=16-64) gives highly compressed representations suitable for routine inference with modest accuracy. Large D (D=256-1024) approximates the full joint distribution with high fidelity for complex reasoning tasks. CEA dynamically adapts D based on current task complexity — a form of adaptive compute allocation analogous to mixture-of-experts gating but operating at the global context level:</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D(t) = D_min + (D_max - D_min) · σ(H(input) - H_threshold)</w:t>
      </w:r>
    </w:p>
    <w:p>
      <w:pPr>
        <w:spacing w:after="130" w:before="80"/>
        <w:ind/>
        <w:jc w:val="both"/>
      </w:pPr>
      <w:r>
        <w:rPr>
          <w:rFonts w:ascii="Arial" w:cs="Arial" w:eastAsia="Arial" w:hAnsi="Arial"/>
          <w:b w:val="false"/>
          <w:bCs w:val="false"/>
          <w:i w:val="false"/>
          <w:iCs w:val="false"/>
          <w:caps w:val="false"/>
          <w:color w:val="444444"/>
          <w:sz w:val="22"/>
          <w:szCs w:val="22"/>
        </w:rPr>
        <w:t xml:space="preserve">Where H(input) is the estimated entropy of the input context. High-entropy (ambiguous, novel) inputs use high D; low-entropy (routine, well-grounded) inputs use low D.</w:t>
      </w:r>
    </w:p>
    <w:p>
      <w:pPr>
        <w:pStyle w:val="Heading2"/>
        <w:spacing w:after="160" w:before="400"/>
      </w:pPr>
      <w:r>
        <w:rPr>
          <w:rFonts w:ascii="Arial" w:cs="Arial" w:eastAsia="Arial" w:hAnsi="Arial"/>
          <w:b/>
          <w:bCs/>
          <w:i w:val="false"/>
          <w:iCs w:val="false"/>
          <w:caps w:val="false"/>
          <w:color w:val="1B4F8A"/>
          <w:sz w:val="27"/>
          <w:szCs w:val="27"/>
        </w:rPr>
        <w:t xml:space="preserve">7.4 Why This Eliminates the O(N) Bottleneck</w:t>
      </w:r>
    </w:p>
    <w:p>
      <w:pPr>
        <w:spacing w:after="130" w:before="80"/>
        <w:ind/>
        <w:jc w:val="both"/>
      </w:pPr>
      <w:r>
        <w:rPr>
          <w:rFonts w:ascii="Arial" w:cs="Arial" w:eastAsia="Arial" w:hAnsi="Arial"/>
          <w:b w:val="false"/>
          <w:bCs w:val="false"/>
          <w:i w:val="false"/>
          <w:iCs w:val="false"/>
          <w:caps w:val="false"/>
          <w:color w:val="444444"/>
          <w:sz w:val="22"/>
          <w:szCs w:val="22"/>
        </w:rPr>
        <w:t xml:space="preserve">In a naive message-passing global field, broadcasting F_global requires each QNode to receive a message — O(N) transmissions. In the QITF formulation, conditioning a QNode on the global context requires contracting its local MPS tensor with the global state — an O(D³) operation independent of N. This reduces global context integration from linear-in-system-size to constant-in-system-size (for fixed D), enabling CEA to scale to arbitrarily large QNode fields without communication overhead growing with N.</w:t>
      </w:r>
    </w:p>
    <w:p>
      <w:pPr>
        <w:pStyle w:val="Heading2"/>
        <w:spacing w:after="160" w:before="400"/>
      </w:pPr>
      <w:r>
        <w:rPr>
          <w:rFonts w:ascii="Arial" w:cs="Arial" w:eastAsia="Arial" w:hAnsi="Arial"/>
          <w:b/>
          <w:bCs/>
          <w:i w:val="false"/>
          <w:iCs w:val="false"/>
          <w:caps w:val="false"/>
          <w:color w:val="1B4F8A"/>
          <w:sz w:val="27"/>
          <w:szCs w:val="27"/>
        </w:rPr>
        <w:t xml:space="preserve">7.5 Consistency Collapse</w:t>
      </w:r>
    </w:p>
    <w:p>
      <w:pPr>
        <w:spacing w:after="130" w:before="80"/>
        <w:ind/>
        <w:jc w:val="both"/>
      </w:pPr>
      <w:r>
        <w:rPr>
          <w:rFonts w:ascii="Arial" w:cs="Arial" w:eastAsia="Arial" w:hAnsi="Arial"/>
          <w:b w:val="false"/>
          <w:bCs w:val="false"/>
          <w:i w:val="false"/>
          <w:iCs w:val="false"/>
          <w:caps w:val="false"/>
          <w:color w:val="444444"/>
          <w:sz w:val="22"/>
          <w:szCs w:val="22"/>
        </w:rPr>
        <w:t xml:space="preserve">The most powerful consequence of the QITF formulation is what we term consistency collapse. When the HVE detects a high-confidence inconsistency in any cluster, it modifies the MPS tensors in that cluster's neighborhood, creating a region of very high energy in the global state representation. Due to the entangled nature of the MPS, this high-energy region propagates through the tensor contractions to all connected clusters — not as a sequential message but as an algebraic consequence of tensor multiplication. Competing hypotheses that share structure with the inconsistent state inherit elevated energy. Alternative states that avoid the inconsistency become relatively favored. The system collapses toward consistency as a global coherent process, not a sequential sweep.</w:t>
      </w:r>
    </w:p>
    <w:p>
      <w:pPr>
        <w:pBdr>
          <w:left w:val="single" w:color="F0A500" w:sz="28" w:space="14"/>
        </w:pBdr>
        <w:shd w:fill="FFF8E8" w:val="clear"/>
        <w:spacing w:after="160" w:before="160"/>
        <w:ind w:left="280" w:right="280"/>
      </w:pPr>
      <w:r>
        <w:rPr>
          <w:rFonts w:ascii="Arial" w:cs="Arial" w:eastAsia="Arial" w:hAnsi="Arial"/>
          <w:b w:val="false"/>
          <w:bCs w:val="false"/>
          <w:i w:val="false"/>
          <w:iCs w:val="false"/>
          <w:caps w:val="false"/>
          <w:color w:val="0A2342"/>
          <w:sz w:val="22"/>
          <w:szCs w:val="22"/>
        </w:rPr>
        <w:t xml:space="preserve">Note on Quantum Terminology: CEA uses quantum-inspired mathematics (tensor networks, entanglement entropy, state superposition) as classical algorithmic tools. This is analogous to how simulated annealing uses thermodynamic metaphors without requiring physical heat baths. No quantum hardware is required for any component of the CEA architecture.</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8. Training Objective and Learning Model</w:t>
      </w:r>
    </w:p>
    <w:p>
      <w:pPr>
        <w:pStyle w:val="Heading2"/>
        <w:spacing w:after="160" w:before="400"/>
      </w:pPr>
      <w:r>
        <w:rPr>
          <w:rFonts w:ascii="Arial" w:cs="Arial" w:eastAsia="Arial" w:hAnsi="Arial"/>
          <w:b/>
          <w:bCs/>
          <w:i w:val="false"/>
          <w:iCs w:val="false"/>
          <w:caps w:val="false"/>
          <w:color w:val="1B4F8A"/>
          <w:sz w:val="27"/>
          <w:szCs w:val="27"/>
        </w:rPr>
        <w:t xml:space="preserve">8.1 The Full Composite Objective</w:t>
      </w:r>
    </w:p>
    <w:p>
      <w:pPr>
        <w:spacing w:after="130" w:before="80"/>
        <w:ind/>
        <w:jc w:val="both"/>
      </w:pPr>
      <w:r>
        <w:rPr>
          <w:rFonts w:ascii="Arial" w:cs="Arial" w:eastAsia="Arial" w:hAnsi="Arial"/>
          <w:b w:val="false"/>
          <w:bCs w:val="false"/>
          <w:i w:val="false"/>
          <w:iCs w:val="false"/>
          <w:caps w:val="false"/>
          <w:color w:val="444444"/>
          <w:sz w:val="22"/>
          <w:szCs w:val="22"/>
        </w:rPr>
        <w:t xml:space="preserve">CEA training minimizes a five-component composite objective. Each component addresses a distinct dimension of intelligence quality:</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L_total = α·L_pred + β·E_cost + γ·H_entropy + δ·C_consistency + λ·R_resonance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360"/>
      </w:tblGrid>
      <w:tr>
        <w:tc>
          <w:tcPr>
            <w:tcW w:type="dxa" w:w="12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Term</w:t>
            </w:r>
          </w:p>
        </w:tc>
        <w:tc>
          <w:tcPr>
            <w:tcW w:type="dxa" w:w="16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Component</w:t>
            </w:r>
          </w:p>
        </w:tc>
        <w:tc>
          <w:tcPr>
            <w:tcW w:type="dxa" w:w="22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Signal Type</w:t>
            </w:r>
          </w:p>
        </w:tc>
        <w:tc>
          <w:tcPr>
            <w:tcW w:type="dxa" w:w="436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Role and Formulation</w:t>
            </w:r>
          </w:p>
        </w:tc>
      </w:tr>
      <w:tr>
        <w:tc>
          <w:tcPr>
            <w:tcW w:type="dxa" w:w="1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α·L_pred</w:t>
            </w:r>
          </w:p>
        </w:tc>
        <w:tc>
          <w:tcPr>
            <w:tcW w:type="dxa" w:w="1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Prediction Loss</w:t>
            </w:r>
          </w:p>
        </w:tc>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Accuracy signal</w:t>
            </w:r>
          </w:p>
        </w:tc>
        <w:tc>
          <w:tcPr>
            <w:tcW w:type="dxa" w:w="43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L_pred = -Σ y·log(p̂). Standard cross-entropy against ground truth. Necessary for baseline competency but insufficient alone — minimizing L_pred produces hallucination.</w:t>
            </w:r>
          </w:p>
        </w:tc>
      </w:tr>
      <w:tr>
        <w:tc>
          <w:tcPr>
            <w:tcW w:type="dxa" w:w="1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β·E_cost</w:t>
            </w:r>
          </w:p>
        </w:tc>
        <w:tc>
          <w:tcPr>
            <w:tcW w:type="dxa" w:w="1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Energy Cost</w:t>
            </w:r>
          </w:p>
        </w:tc>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Efficiency signal</w:t>
            </w:r>
          </w:p>
        </w:tc>
        <w:tc>
          <w:tcPr>
            <w:tcW w:type="dxa" w:w="43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E_cost = Σᵢ εᵢ·1[εᵢ &gt; ε_min]. Total energy of active QNodes. Minimizing drives sparse activation, efficient routing, and low-energy stable configurations. Creates thermodynamic pressure toward simplicity.</w:t>
            </w:r>
          </w:p>
        </w:tc>
      </w:tr>
      <w:tr>
        <w:tc>
          <w:tcPr>
            <w:tcW w:type="dxa" w:w="1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γ·H_entropy</w:t>
            </w:r>
          </w:p>
        </w:tc>
        <w:tc>
          <w:tcPr>
            <w:tcW w:type="dxa" w:w="1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System Entropy</w:t>
            </w:r>
          </w:p>
        </w:tc>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Stability signal</w:t>
            </w:r>
          </w:p>
        </w:tc>
        <w:tc>
          <w:tcPr>
            <w:tcW w:type="dxa" w:w="43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H_entropy = -Σᵢ p_i·log(p_i) over QNode state distribution. Minimizing favors definite, confident states while an entropy floor prevents degeneracy. Calibrated to preserve exploration.</w:t>
            </w:r>
          </w:p>
        </w:tc>
      </w:tr>
      <w:tr>
        <w:tc>
          <w:tcPr>
            <w:tcW w:type="dxa" w:w="1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δ·C_consist</w:t>
            </w:r>
          </w:p>
        </w:tc>
        <w:tc>
          <w:tcPr>
            <w:tcW w:type="dxa" w:w="1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Consistency Penalty</w:t>
            </w:r>
          </w:p>
        </w:tc>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Grounding signal</w:t>
            </w:r>
          </w:p>
        </w:tc>
        <w:tc>
          <w:tcPr>
            <w:tcW w:type="dxa" w:w="43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C_consistency = Σ_v violation_weight(v) over detected HVE violations v. Penalizes logical contradictions, causal violations, and semantic impossibilities. The primary anti-hallucination training signal.</w:t>
            </w:r>
          </w:p>
        </w:tc>
      </w:tr>
      <w:tr>
        <w:tc>
          <w:tcPr>
            <w:tcW w:type="dxa" w:w="12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λ·R_reson</w:t>
            </w:r>
          </w:p>
        </w:tc>
        <w:tc>
          <w:tcPr>
            <w:tcW w:type="dxa" w:w="16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Resonance Reward</w:t>
            </w:r>
          </w:p>
        </w:tc>
        <w:tc>
          <w:tcPr>
            <w:tcW w:type="dxa" w:w="22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Memory signal</w:t>
            </w:r>
          </w:p>
        </w:tc>
        <w:tc>
          <w:tcPr>
            <w:tcW w:type="dxa" w:w="436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R_resonance = Σ_{ij} Cov(φᵢ, φⱼ)·similarity(ψᵢ, ψⱼ). Rewards phase synchronization between semantically related QNode clusters. Drives memory crystallization and compositional binding.</w:t>
            </w:r>
          </w:p>
        </w:tc>
      </w:tr>
    </w:tbl>
    <w:p>
      <w:pPr>
        <w:spacing w:after="220" w:before="60"/>
        <w:jc w:val="center"/>
      </w:pPr>
      <w:r>
        <w:rPr>
          <w:rFonts w:ascii="Arial" w:cs="Arial" w:eastAsia="Arial" w:hAnsi="Arial"/>
          <w:b w:val="false"/>
          <w:bCs w:val="false"/>
          <w:i/>
          <w:iCs/>
          <w:caps w:val="false"/>
          <w:color w:val="888888"/>
          <w:sz w:val="18"/>
          <w:szCs w:val="18"/>
        </w:rPr>
        <w:t xml:space="preserve">Table 6. CEA composite training objective — all five components with formal definitions.</w:t>
      </w:r>
    </w:p>
    <w:p>
      <w:pPr>
        <w:pStyle w:val="Heading2"/>
        <w:spacing w:after="160" w:before="400"/>
      </w:pPr>
      <w:r>
        <w:rPr>
          <w:rFonts w:ascii="Arial" w:cs="Arial" w:eastAsia="Arial" w:hAnsi="Arial"/>
          <w:b/>
          <w:bCs/>
          <w:i w:val="false"/>
          <w:iCs w:val="false"/>
          <w:caps w:val="false"/>
          <w:color w:val="1B4F8A"/>
          <w:sz w:val="27"/>
          <w:szCs w:val="27"/>
        </w:rPr>
        <w:t xml:space="preserve">8.2 Curriculum Learning Strategy</w:t>
      </w:r>
    </w:p>
    <w:p>
      <w:pPr>
        <w:spacing w:after="130" w:before="80"/>
        <w:ind/>
        <w:jc w:val="both"/>
      </w:pPr>
      <w:r>
        <w:rPr>
          <w:rFonts w:ascii="Arial" w:cs="Arial" w:eastAsia="Arial" w:hAnsi="Arial"/>
          <w:b w:val="false"/>
          <w:bCs w:val="false"/>
          <w:i w:val="false"/>
          <w:iCs w:val="false"/>
          <w:caps w:val="false"/>
          <w:color w:val="444444"/>
          <w:sz w:val="22"/>
          <w:szCs w:val="22"/>
        </w:rPr>
        <w:t xml:space="preserve">Training five simultaneous objectives requires careful scheduling to prevent gradient conflicts. CEA follows a staged curriculum: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00"/>
        <w:gridCol w:w="3560"/>
      </w:tblGrid>
      <w:tr>
        <w:tc>
          <w:tcPr>
            <w:tcW w:type="dxa" w:w="12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Phase</w:t>
            </w:r>
          </w:p>
        </w:tc>
        <w:tc>
          <w:tcPr>
            <w:tcW w:type="dxa" w:w="18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Duration</w:t>
            </w:r>
          </w:p>
        </w:tc>
        <w:tc>
          <w:tcPr>
            <w:tcW w:type="dxa" w:w="28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Active Components</w:t>
            </w:r>
          </w:p>
        </w:tc>
        <w:tc>
          <w:tcPr>
            <w:tcW w:type="dxa" w:w="356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Learning Goal</w:t>
            </w:r>
          </w:p>
        </w:tc>
      </w:tr>
      <w:tr>
        <w:tc>
          <w:tcPr>
            <w:tcW w:type="dxa" w:w="1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P1</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20% budget</w:t>
            </w:r>
          </w:p>
        </w:tc>
        <w:tc>
          <w:tcPr>
            <w:tcW w:type="dxa" w:w="2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α·L_pred only</w:t>
            </w:r>
          </w:p>
        </w:tc>
        <w:tc>
          <w:tcPr>
            <w:tcW w:type="dxa" w:w="35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Establish baseline pattern competency. QNode ψ-states learn to encode semantically meaningful representations.</w:t>
            </w:r>
          </w:p>
        </w:tc>
      </w:tr>
      <w:tr>
        <w:tc>
          <w:tcPr>
            <w:tcW w:type="dxa" w:w="1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P2</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+15%</w:t>
            </w:r>
          </w:p>
        </w:tc>
        <w:tc>
          <w:tcPr>
            <w:tcW w:type="dxa" w:w="2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 β·E_cost</w:t>
            </w:r>
          </w:p>
        </w:tc>
        <w:tc>
          <w:tcPr>
            <w:tcW w:type="dxa" w:w="35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Prune inefficient activation. Sparse activation patterns emerge naturally; quiescent QNode behavior stabilizes.</w:t>
            </w:r>
          </w:p>
        </w:tc>
      </w:tr>
      <w:tr>
        <w:tc>
          <w:tcPr>
            <w:tcW w:type="dxa" w:w="1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P3</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+15%</w:t>
            </w:r>
          </w:p>
        </w:tc>
        <w:tc>
          <w:tcPr>
            <w:tcW w:type="dxa" w:w="2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 γ·H_entropy</w:t>
            </w:r>
          </w:p>
        </w:tc>
        <w:tc>
          <w:tcPr>
            <w:tcW w:type="dxa" w:w="35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Develop confident stable representations. Phase clustering begins. Energy landscape acquires stable minima.</w:t>
            </w:r>
          </w:p>
        </w:tc>
      </w:tr>
      <w:tr>
        <w:tc>
          <w:tcPr>
            <w:tcW w:type="dxa" w:w="1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P4</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+30%</w:t>
            </w:r>
          </w:p>
        </w:tc>
        <w:tc>
          <w:tcPr>
            <w:tcW w:type="dxa" w:w="2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 δ·C_consistency</w:t>
            </w:r>
          </w:p>
        </w:tc>
        <w:tc>
          <w:tcPr>
            <w:tcW w:type="dxa" w:w="35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HVE integration. Factual inconsistency penalized; energy barriers around incorrect states form. Hallucination suppression emerges measurably.</w:t>
            </w:r>
          </w:p>
        </w:tc>
      </w:tr>
      <w:tr>
        <w:tc>
          <w:tcPr>
            <w:tcW w:type="dxa" w:w="12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P5</w:t>
            </w:r>
          </w:p>
        </w:tc>
        <w:tc>
          <w:tcPr>
            <w:tcW w:type="dxa" w:w="18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+20%</w:t>
            </w:r>
          </w:p>
        </w:tc>
        <w:tc>
          <w:tcPr>
            <w:tcW w:type="dxa" w:w="28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 λ·R_resonance</w:t>
            </w:r>
          </w:p>
        </w:tc>
        <w:tc>
          <w:tcPr>
            <w:tcW w:type="dxa" w:w="356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Memory crystallization. Long-term knowledge structures form via phase synchronization. Resonance reinforcement drives efficient knowledge retrieval.</w:t>
            </w:r>
          </w:p>
        </w:tc>
      </w:tr>
    </w:tbl>
    <w:p>
      <w:pPr>
        <w:spacing w:after="220" w:before="60"/>
        <w:jc w:val="center"/>
      </w:pPr>
      <w:r>
        <w:rPr>
          <w:rFonts w:ascii="Arial" w:cs="Arial" w:eastAsia="Arial" w:hAnsi="Arial"/>
          <w:b w:val="false"/>
          <w:bCs w:val="false"/>
          <w:i/>
          <w:iCs/>
          <w:caps w:val="false"/>
          <w:color w:val="888888"/>
          <w:sz w:val="18"/>
          <w:szCs w:val="18"/>
        </w:rPr>
        <w:t xml:space="preserve">Table 7. CEA five-phase curriculum learning strategy.</w:t>
      </w:r>
    </w:p>
    <w:p>
      <w:pPr>
        <w:pStyle w:val="Heading2"/>
        <w:spacing w:after="160" w:before="400"/>
      </w:pPr>
      <w:r>
        <w:rPr>
          <w:rFonts w:ascii="Arial" w:cs="Arial" w:eastAsia="Arial" w:hAnsi="Arial"/>
          <w:b/>
          <w:bCs/>
          <w:i w:val="false"/>
          <w:iCs w:val="false"/>
          <w:caps w:val="false"/>
          <w:color w:val="1B4F8A"/>
          <w:sz w:val="27"/>
          <w:szCs w:val="27"/>
        </w:rPr>
        <w:t xml:space="preserve">8.3 Gradient Surgery for Objective Conflict Resolution</w:t>
      </w:r>
    </w:p>
    <w:p>
      <w:pPr>
        <w:spacing w:after="130" w:before="80"/>
        <w:ind/>
        <w:jc w:val="both"/>
      </w:pPr>
      <w:r>
        <w:rPr>
          <w:rFonts w:ascii="Arial" w:cs="Arial" w:eastAsia="Arial" w:hAnsi="Arial"/>
          <w:b w:val="false"/>
          <w:bCs w:val="false"/>
          <w:i w:val="false"/>
          <w:iCs w:val="false"/>
          <w:caps w:val="false"/>
          <w:color w:val="444444"/>
          <w:sz w:val="22"/>
          <w:szCs w:val="22"/>
        </w:rPr>
        <w:t xml:space="preserve">When gradient directions from different objective components conflict — a known risk in multi-objective optimization — CEA applies gradient surgery (Yu et al., 2020): conflicting gradient components are projected onto the orthogonal complement of each other's gradient space, eliminating interference without requiring manual weight tuning. This automated conflict resolution is critical during Phase 3-4 transitions where entropy minimization can conflict with consistency penalty gradients.</w:t>
      </w:r>
    </w:p>
    <w:p>
      <w:pPr>
        <w:pStyle w:val="Heading2"/>
        <w:spacing w:after="160" w:before="400"/>
      </w:pPr>
      <w:r>
        <w:rPr>
          <w:rFonts w:ascii="Arial" w:cs="Arial" w:eastAsia="Arial" w:hAnsi="Arial"/>
          <w:b/>
          <w:bCs/>
          <w:i w:val="false"/>
          <w:iCs w:val="false"/>
          <w:caps w:val="false"/>
          <w:color w:val="1B4F8A"/>
          <w:sz w:val="27"/>
          <w:szCs w:val="27"/>
        </w:rPr>
        <w:t xml:space="preserve">8.4 Biological Learning Analogues</w:t>
      </w:r>
    </w:p>
    <w:p>
      <w:pPr>
        <w:spacing w:after="130" w:before="80"/>
        <w:ind/>
        <w:jc w:val="both"/>
      </w:pPr>
      <w:r>
        <w:rPr>
          <w:rFonts w:ascii="Arial" w:cs="Arial" w:eastAsia="Arial" w:hAnsi="Arial"/>
          <w:b w:val="false"/>
          <w:bCs w:val="false"/>
          <w:i w:val="false"/>
          <w:iCs w:val="false"/>
          <w:caps w:val="false"/>
          <w:color w:val="444444"/>
          <w:sz w:val="22"/>
          <w:szCs w:val="22"/>
        </w:rPr>
        <w:t xml:space="preserve">Beyond gradient-based optimization, CEA implements four biologically-inspired learning mechanisms that operate continuously during both training and inference:</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Resonance Reinforcement (Hebbian variant): Γ(t+1) = Γ(t) + η·ψᵢ⊗ψⱼ·1[|φᵢ-φⱼ|&lt;δ]. Connection fields strengthen between co-active, phase-synchronized QNodes. Implements the Hebbian rule through phase-gated Outer product updates.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Energy-Gradient Descent: QNode states evolve toward energy minima via ψ(t+1) = ψ(t) - η_ψ·∇_ψε(t). Continuous local learning without requiring backpropagation through time.</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Structural Plasticity: connections with sustained zero energy contribution are pruned; new connections form between QNodes showing correlated high-energy spikes. Network topology adapts to accommodate novel knowledge.</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Memory Consolidation (sleep-phase analogue): during low-activity periods, the system runs accelerated random perturbation of low-activation memory structures, exploring adjacent hypothesis spaces and pruning contradictory memories — computationally analogous to sleep consolidation in biological memory.</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9. Memory Architecture</w:t>
      </w:r>
    </w:p>
    <w:p>
      <w:pPr>
        <w:pStyle w:val="Heading2"/>
        <w:spacing w:after="160" w:before="400"/>
      </w:pPr>
      <w:r>
        <w:rPr>
          <w:rFonts w:ascii="Arial" w:cs="Arial" w:eastAsia="Arial" w:hAnsi="Arial"/>
          <w:b/>
          <w:bCs/>
          <w:i w:val="false"/>
          <w:iCs w:val="false"/>
          <w:caps w:val="false"/>
          <w:color w:val="1B4F8A"/>
          <w:sz w:val="27"/>
          <w:szCs w:val="27"/>
        </w:rPr>
        <w:t xml:space="preserve">9.1 Memory as Crystallization</w:t>
      </w:r>
    </w:p>
    <w:p>
      <w:pPr>
        <w:spacing w:after="130" w:before="80"/>
        <w:ind/>
        <w:jc w:val="both"/>
      </w:pPr>
      <w:r>
        <w:rPr>
          <w:rFonts w:ascii="Arial" w:cs="Arial" w:eastAsia="Arial" w:hAnsi="Arial"/>
          <w:b w:val="false"/>
          <w:bCs w:val="false"/>
          <w:i w:val="false"/>
          <w:iCs w:val="false"/>
          <w:caps w:val="false"/>
          <w:color w:val="444444"/>
          <w:sz w:val="22"/>
          <w:szCs w:val="22"/>
        </w:rPr>
        <w:t xml:space="preserve">CEA treats memory not as a separately maintained data structure but as a physical property of the computational substrate. Memories are stable low-energy configurations in the QNode field — patterns that have been visited frequently enough, and verified consistently enough, to crystallize into robust energy minima resistant to perturbation. The crystallization metaphor is exact: just as physical crystals are thermodynamically stable molecular arrangements, CEA memories are dynamically stable QNode configurations that return to their structure after perturbation.</w:t>
      </w:r>
    </w:p>
    <w:p>
      <w:pPr>
        <w:pStyle w:val="Heading2"/>
        <w:spacing w:after="160" w:before="400"/>
      </w:pPr>
      <w:r>
        <w:rPr>
          <w:rFonts w:ascii="Arial" w:cs="Arial" w:eastAsia="Arial" w:hAnsi="Arial"/>
          <w:b/>
          <w:bCs/>
          <w:i w:val="false"/>
          <w:iCs w:val="false"/>
          <w:caps w:val="false"/>
          <w:color w:val="1B4F8A"/>
          <w:sz w:val="27"/>
          <w:szCs w:val="27"/>
        </w:rPr>
        <w:t xml:space="preserve">9.2 Multi-Scale Memory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1800"/>
        <w:gridCol w:w="1960"/>
      </w:tblGrid>
      <w:tr>
        <w:tc>
          <w:tcPr>
            <w:tcW w:type="dxa" w:w="18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Memory Type</w:t>
            </w:r>
          </w:p>
        </w:tc>
        <w:tc>
          <w:tcPr>
            <w:tcW w:type="dxa" w:w="16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CEA Layer</w:t>
            </w:r>
          </w:p>
        </w:tc>
        <w:tc>
          <w:tcPr>
            <w:tcW w:type="dxa" w:w="22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Mechanism</w:t>
            </w:r>
          </w:p>
        </w:tc>
        <w:tc>
          <w:tcPr>
            <w:tcW w:type="dxa" w:w="18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Duration</w:t>
            </w:r>
          </w:p>
        </w:tc>
        <w:tc>
          <w:tcPr>
            <w:tcW w:type="dxa" w:w="196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Capacity</w:t>
            </w:r>
          </w:p>
        </w:tc>
      </w:tr>
      <w:tr>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Wave / Working</w:t>
            </w:r>
          </w:p>
        </w:tc>
        <w:tc>
          <w:tcPr>
            <w:tcW w:type="dxa" w:w="1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L1-L2</w:t>
            </w:r>
          </w:p>
        </w:tc>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Phase oscillation, active QNode field</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Single inference</w:t>
            </w:r>
          </w:p>
        </w:tc>
        <w:tc>
          <w:tcPr>
            <w:tcW w:type="dxa" w:w="19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Limited by active QNodes</w:t>
            </w:r>
          </w:p>
        </w:tc>
      </w:tr>
      <w:tr>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Resonance Trace</w:t>
            </w:r>
          </w:p>
        </w:tc>
        <w:tc>
          <w:tcPr>
            <w:tcW w:type="dxa" w:w="1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L2-L3</w:t>
            </w:r>
          </w:p>
        </w:tc>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Decaying Γ-field weights from recent resonance events</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Minutes to hours</w:t>
            </w:r>
          </w:p>
        </w:tc>
        <w:tc>
          <w:tcPr>
            <w:tcW w:type="dxa" w:w="19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O(N²) connection field</w:t>
            </w:r>
          </w:p>
        </w:tc>
      </w:tr>
      <w:tr>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Crystallized Graph</w:t>
            </w:r>
          </w:p>
        </w:tc>
        <w:tc>
          <w:tcPr>
            <w:tcW w:type="dxa" w:w="1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L3-L4</w:t>
            </w:r>
          </w:p>
        </w:tc>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Stable low-energy QNode configurations; field-based associative access</w:t>
            </w:r>
          </w:p>
        </w:tc>
        <w:tc>
          <w:tcPr>
            <w:tcW w:type="dxa" w:w="1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Persistent (evolving)</w:t>
            </w:r>
          </w:p>
        </w:tc>
        <w:tc>
          <w:tcPr>
            <w:tcW w:type="dxa" w:w="19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Hopfield scaling: O(N²/log N)</w:t>
            </w:r>
          </w:p>
        </w:tc>
      </w:tr>
      <w:tr>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Semantic Schema</w:t>
            </w:r>
          </w:p>
        </w:tc>
        <w:tc>
          <w:tcPr>
            <w:tcW w:type="dxa" w:w="1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L4-L5</w:t>
            </w:r>
          </w:p>
        </w:tc>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MNode compositional binding; phase-locked clusters encoding structured knowledge</w:t>
            </w:r>
          </w:p>
        </w:tc>
        <w:tc>
          <w:tcPr>
            <w:tcW w:type="dxa" w:w="1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Persistent</w:t>
            </w:r>
          </w:p>
        </w:tc>
        <w:tc>
          <w:tcPr>
            <w:tcW w:type="dxa" w:w="19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Compositionally unbounded</w:t>
            </w:r>
          </w:p>
        </w:tc>
      </w:tr>
      <w:tr>
        <w:tc>
          <w:tcPr>
            <w:tcW w:type="dxa" w:w="18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Global Context</w:t>
            </w:r>
          </w:p>
        </w:tc>
        <w:tc>
          <w:tcPr>
            <w:tcW w:type="dxa" w:w="16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L6</w:t>
            </w:r>
          </w:p>
        </w:tc>
        <w:tc>
          <w:tcPr>
            <w:tcW w:type="dxa" w:w="22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QITF tensor state; encodes current inference context across all active layers</w:t>
            </w:r>
          </w:p>
        </w:tc>
        <w:tc>
          <w:tcPr>
            <w:tcW w:type="dxa" w:w="18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Session</w:t>
            </w:r>
          </w:p>
        </w:tc>
        <w:tc>
          <w:tcPr>
            <w:tcW w:type="dxa" w:w="196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O(N·D²) compressed</w:t>
            </w:r>
          </w:p>
        </w:tc>
      </w:tr>
    </w:tbl>
    <w:p>
      <w:pPr>
        <w:spacing w:after="220" w:before="60"/>
        <w:jc w:val="center"/>
      </w:pPr>
      <w:r>
        <w:rPr>
          <w:rFonts w:ascii="Arial" w:cs="Arial" w:eastAsia="Arial" w:hAnsi="Arial"/>
          <w:b w:val="false"/>
          <w:bCs w:val="false"/>
          <w:i/>
          <w:iCs/>
          <w:caps w:val="false"/>
          <w:color w:val="888888"/>
          <w:sz w:val="18"/>
          <w:szCs w:val="18"/>
        </w:rPr>
        <w:t xml:space="preserve">Table 8. CEA multi-scale memory hierarchy.</w:t>
      </w:r>
    </w:p>
    <w:p>
      <w:pPr>
        <w:pStyle w:val="Heading2"/>
        <w:spacing w:after="160" w:before="400"/>
      </w:pPr>
      <w:r>
        <w:rPr>
          <w:rFonts w:ascii="Arial" w:cs="Arial" w:eastAsia="Arial" w:hAnsi="Arial"/>
          <w:b/>
          <w:bCs/>
          <w:i w:val="false"/>
          <w:iCs w:val="false"/>
          <w:caps w:val="false"/>
          <w:color w:val="1B4F8A"/>
          <w:sz w:val="27"/>
          <w:szCs w:val="27"/>
        </w:rPr>
        <w:t xml:space="preserve">9.3 Memory Access via Resonance</w:t>
      </w:r>
    </w:p>
    <w:p>
      <w:pPr>
        <w:spacing w:after="130" w:before="80"/>
        <w:ind/>
        <w:jc w:val="both"/>
      </w:pPr>
      <w:r>
        <w:rPr>
          <w:rFonts w:ascii="Arial" w:cs="Arial" w:eastAsia="Arial" w:hAnsi="Arial"/>
          <w:b w:val="false"/>
          <w:bCs w:val="false"/>
          <w:i w:val="false"/>
          <w:iCs w:val="false"/>
          <w:caps w:val="false"/>
          <w:color w:val="444444"/>
          <w:sz w:val="22"/>
          <w:szCs w:val="22"/>
        </w:rPr>
        <w:t xml:space="preserve">Critically, CEA memory is accessed through resonance, not addressing. To retrieve a memory, the system does not look up an index — it activates a partial pattern and the crystallized memory structure resonates in response, completing and stabilizing the pattern through energy dynamics. This is identical to content-addressable memory in Hopfield networks, but extended to six memory scales and enriched with phase-binding that enables compositional memory access — retrieving not just individual facts but structured relational knowledge that shares phase with the query.</w:t>
      </w:r>
    </w:p>
    <w:p>
      <w:pPr>
        <w:pStyle w:val="Heading2"/>
        <w:spacing w:after="160" w:before="400"/>
      </w:pPr>
      <w:r>
        <w:rPr>
          <w:rFonts w:ascii="Arial" w:cs="Arial" w:eastAsia="Arial" w:hAnsi="Arial"/>
          <w:b/>
          <w:bCs/>
          <w:i w:val="false"/>
          <w:iCs w:val="false"/>
          <w:caps w:val="false"/>
          <w:color w:val="1B4F8A"/>
          <w:sz w:val="27"/>
          <w:szCs w:val="27"/>
        </w:rPr>
        <w:t xml:space="preserve">9.4 Memory Evolution</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Pruning: infrequently activated memory structures accumulate entropy; when H(structure) &gt; H_max, the structure dissolves, freeing QNode capacity for new knowledge. Prevents accumulation of stale or contradicted information.</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Mutation: during low-activity consolidation phases, memory structures undergo controlled stochastic perturbation — exploring the hypothesis neighborhood around existing knowledge. Occasionally discovers improved formulations of stored knowledge.</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Reconsolidation: when a stored memory is accessed and then updated by new information, it undergoes reconsolidation — the existing structure is temporarily destabilized, updated, and re-crystallized in the modified form. Enables genuine belief updating rather than contradictory parallel storage.</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10. Information-Theoretic Foundations (New in v0.2)</w:t>
      </w:r>
    </w:p>
    <w:p>
      <w:pPr>
        <w:pStyle w:val="Heading2"/>
        <w:spacing w:after="160" w:before="400"/>
      </w:pPr>
      <w:r>
        <w:rPr>
          <w:rFonts w:ascii="Arial" w:cs="Arial" w:eastAsia="Arial" w:hAnsi="Arial"/>
          <w:b/>
          <w:bCs/>
          <w:i w:val="false"/>
          <w:iCs w:val="false"/>
          <w:caps w:val="false"/>
          <w:color w:val="1B4F8A"/>
          <w:sz w:val="27"/>
          <w:szCs w:val="27"/>
        </w:rPr>
        <w:t xml:space="preserve">10.1 Landauer's Principle and the Cost of Erasure</w:t>
      </w:r>
    </w:p>
    <w:p>
      <w:pPr>
        <w:spacing w:after="130" w:before="80"/>
        <w:ind/>
        <w:jc w:val="both"/>
      </w:pPr>
      <w:r>
        <w:rPr>
          <w:rFonts w:ascii="Arial" w:cs="Arial" w:eastAsia="Arial" w:hAnsi="Arial"/>
          <w:b w:val="false"/>
          <w:bCs w:val="false"/>
          <w:i w:val="false"/>
          <w:iCs w:val="false"/>
          <w:caps w:val="false"/>
          <w:color w:val="444444"/>
          <w:sz w:val="22"/>
          <w:szCs w:val="22"/>
        </w:rPr>
        <w:t xml:space="preserve">Landauer's Principle (1961) establishes a fundamental connection between information and thermodynamics: erasing one bit of information requires dissipating at least k_B·T·ln(2) joules of energy, where k_B is Boltzmann's constant and T is temperature. This is not an engineering limitation — it is a law of physics. Landauer's Principle implies that all computation has a minimum thermodynamic cost determined by the information it processes.</w:t>
      </w:r>
    </w:p>
    <w:p>
      <w:pPr>
        <w:spacing w:after="130" w:before="80"/>
        <w:ind/>
        <w:jc w:val="both"/>
      </w:pPr>
      <w:r>
        <w:rPr>
          <w:rFonts w:ascii="Arial" w:cs="Arial" w:eastAsia="Arial" w:hAnsi="Arial"/>
          <w:b w:val="false"/>
          <w:bCs w:val="false"/>
          <w:i w:val="false"/>
          <w:iCs w:val="false"/>
          <w:caps w:val="false"/>
          <w:color w:val="444444"/>
          <w:sz w:val="22"/>
          <w:szCs w:val="22"/>
        </w:rPr>
        <w:t xml:space="preserve">CEA's energy-based framework is grounded in Landauer's Principle in a specific way: when the HVE detects and eliminates an inconsistent state, it is performing an information erasure — deleting a possible-world hypothesis from the system's hypothesis space. The energy penalty ΔP_Ti that the HVE assigns to an inconsistent state is the thermodynamic cost of that erasure, expressed in the QNode energy units. This establishes that CEA's grounding mechanism is not an arbitrary design choice but a computational implementation of physical law.</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ΔP_Ti(violation) ≥ k_B·T·ln(2) · I(violation)</w:t>
      </w:r>
    </w:p>
    <w:p>
      <w:pPr>
        <w:spacing w:after="130" w:before="80"/>
        <w:ind/>
        <w:jc w:val="both"/>
      </w:pPr>
      <w:r>
        <w:rPr>
          <w:rFonts w:ascii="Arial" w:cs="Arial" w:eastAsia="Arial" w:hAnsi="Arial"/>
          <w:b w:val="false"/>
          <w:bCs w:val="false"/>
          <w:i w:val="false"/>
          <w:iCs w:val="false"/>
          <w:caps w:val="false"/>
          <w:color w:val="444444"/>
          <w:sz w:val="22"/>
          <w:szCs w:val="22"/>
        </w:rPr>
        <w:t xml:space="preserve">Where I(violation) is the information content of the eliminated hypothesis in bits. The HVE calibrates violation penalties to satisfy this lower bound, ensuring the grounding mechanism is physically consistent.</w:t>
      </w:r>
    </w:p>
    <w:p>
      <w:pPr>
        <w:pStyle w:val="Heading2"/>
        <w:spacing w:after="160" w:before="400"/>
      </w:pPr>
      <w:r>
        <w:rPr>
          <w:rFonts w:ascii="Arial" w:cs="Arial" w:eastAsia="Arial" w:hAnsi="Arial"/>
          <w:b/>
          <w:bCs/>
          <w:i w:val="false"/>
          <w:iCs w:val="false"/>
          <w:caps w:val="false"/>
          <w:color w:val="1B4F8A"/>
          <w:sz w:val="27"/>
          <w:szCs w:val="27"/>
        </w:rPr>
        <w:t xml:space="preserve">10.2 Shannon Channel Capacity and Grounding Bandwidth</w:t>
      </w:r>
    </w:p>
    <w:p>
      <w:pPr>
        <w:spacing w:after="130" w:before="80"/>
        <w:ind/>
        <w:jc w:val="both"/>
      </w:pPr>
      <w:r>
        <w:rPr>
          <w:rFonts w:ascii="Arial" w:cs="Arial" w:eastAsia="Arial" w:hAnsi="Arial"/>
          <w:b w:val="false"/>
          <w:bCs w:val="false"/>
          <w:i w:val="false"/>
          <w:iCs w:val="false"/>
          <w:caps w:val="false"/>
          <w:color w:val="444444"/>
          <w:sz w:val="22"/>
          <w:szCs w:val="22"/>
        </w:rPr>
        <w:t xml:space="preserve">Shannon's channel capacity theorem establishes that a noisy channel with signal-to-noise ratio SNR and bandwidth B can reliably transmit at most C = B·log₂(1+SNR) bits per second. In CEA, the grounding channel — the pathway from external reality to the QNode field via the HVE — has finite bandwidth determined by the verification speed of each tier.</w:t>
      </w:r>
    </w:p>
    <w:p>
      <w:pPr>
        <w:spacing w:after="130" w:before="80"/>
        <w:ind/>
        <w:jc w:val="both"/>
      </w:pPr>
      <w:r>
        <w:rPr>
          <w:rFonts w:ascii="Arial" w:cs="Arial" w:eastAsia="Arial" w:hAnsi="Arial"/>
          <w:b w:val="false"/>
          <w:bCs w:val="false"/>
          <w:i w:val="false"/>
          <w:iCs w:val="false"/>
          <w:caps w:val="false"/>
          <w:color w:val="444444"/>
          <w:sz w:val="22"/>
          <w:szCs w:val="22"/>
        </w:rPr>
        <w:t xml:space="preserve">The grounding bandwidth G_bandwidth must exceed the rate at which novel factual claims are generated:</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G_bandwidth = Σᵢ B_Ti · log₂(1 + SNR_Ti)  ≥  R_claims</w:t>
      </w:r>
    </w:p>
    <w:p>
      <w:pPr>
        <w:spacing w:after="130" w:before="80"/>
        <w:ind/>
        <w:jc w:val="both"/>
      </w:pPr>
      <w:r>
        <w:rPr>
          <w:rFonts w:ascii="Arial" w:cs="Arial" w:eastAsia="Arial" w:hAnsi="Arial"/>
          <w:b w:val="false"/>
          <w:bCs w:val="false"/>
          <w:i w:val="false"/>
          <w:iCs w:val="false"/>
          <w:caps w:val="false"/>
          <w:color w:val="444444"/>
          <w:sz w:val="22"/>
          <w:szCs w:val="22"/>
        </w:rPr>
        <w:t xml:space="preserve">Where B_Ti is the throughput of tier i's verification, SNR_Ti is its accuracy signal-to-noise ratio, and R_claims is the claim generation rate. This establishes a formal condition for the grounding mechanism to keep pace with generation — a necessary condition for the Hallucination Elimination Theorem to hold in real-time (not just in asymptotic equilibrium). The HVE's four-tier hierarchical design is specifically engineered to maximize G_bandwidth through parallel tier operation.</w:t>
      </w:r>
    </w:p>
    <w:p>
      <w:pPr>
        <w:pStyle w:val="Heading2"/>
        <w:spacing w:after="160" w:before="400"/>
      </w:pPr>
      <w:r>
        <w:rPr>
          <w:rFonts w:ascii="Arial" w:cs="Arial" w:eastAsia="Arial" w:hAnsi="Arial"/>
          <w:b/>
          <w:bCs/>
          <w:i w:val="false"/>
          <w:iCs w:val="false"/>
          <w:caps w:val="false"/>
          <w:color w:val="1B4F8A"/>
          <w:sz w:val="27"/>
          <w:szCs w:val="27"/>
        </w:rPr>
        <w:t xml:space="preserve">10.3 Kolmogorov Complexity and the Minimum Description Length Principle</w:t>
      </w:r>
    </w:p>
    <w:p>
      <w:pPr>
        <w:spacing w:after="130" w:before="80"/>
        <w:ind/>
        <w:jc w:val="both"/>
      </w:pPr>
      <w:r>
        <w:rPr>
          <w:rFonts w:ascii="Arial" w:cs="Arial" w:eastAsia="Arial" w:hAnsi="Arial"/>
          <w:b w:val="false"/>
          <w:bCs w:val="false"/>
          <w:i w:val="false"/>
          <w:iCs w:val="false"/>
          <w:caps w:val="false"/>
          <w:color w:val="444444"/>
          <w:sz w:val="22"/>
          <w:szCs w:val="22"/>
        </w:rPr>
        <w:t xml:space="preserve">The Kolmogorov complexity K(x) of a string x is the length of the shortest program that produces x. The Minimum Description Length (MDL) principle (Rissanen, 1978; Grünwald, 2007) states that the best model for data is the one that produces the shortest total description of model plus data. In CEA's energy framework, the energy of a QNode configuration is formally related to its Kolmogorov complexity:</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ε(configuration) ∝ K(configuration | world_model)</w:t>
      </w:r>
    </w:p>
    <w:p>
      <w:pPr>
        <w:spacing w:after="130" w:before="80"/>
        <w:ind/>
        <w:jc w:val="both"/>
      </w:pPr>
      <w:r>
        <w:rPr>
          <w:rFonts w:ascii="Arial" w:cs="Arial" w:eastAsia="Arial" w:hAnsi="Arial"/>
          <w:b w:val="false"/>
          <w:bCs w:val="false"/>
          <w:i w:val="false"/>
          <w:iCs w:val="false"/>
          <w:caps w:val="false"/>
          <w:color w:val="444444"/>
          <w:sz w:val="22"/>
          <w:szCs w:val="22"/>
        </w:rPr>
        <w:t xml:space="preserve">Simple, consistent configurations — those well-explained by the system's current world model — have low Kolmogorov complexity conditioned on the model, and therefore low energy. Hallucinated configurations — those requiring complex, implausible explanations — have high conditional Kolmogorov complexity, and therefore high energy. The CEA energy landscape is, in the information-theoretic sense, a Kolmogorov complexity landscape: truth is compressible, hallucination is incompressible.</w:t>
      </w:r>
    </w:p>
    <w:p>
      <w:pPr>
        <w:pStyle w:val="Heading2"/>
        <w:spacing w:after="160" w:before="400"/>
      </w:pPr>
      <w:r>
        <w:rPr>
          <w:rFonts w:ascii="Arial" w:cs="Arial" w:eastAsia="Arial" w:hAnsi="Arial"/>
          <w:b/>
          <w:bCs/>
          <w:i w:val="false"/>
          <w:iCs w:val="false"/>
          <w:caps w:val="false"/>
          <w:color w:val="1B4F8A"/>
          <w:sz w:val="27"/>
          <w:szCs w:val="27"/>
        </w:rPr>
        <w:t xml:space="preserve">10.4 Mutual Information and Phase Binding</w:t>
      </w:r>
    </w:p>
    <w:p>
      <w:pPr>
        <w:spacing w:after="130" w:before="80"/>
        <w:ind/>
        <w:jc w:val="both"/>
      </w:pPr>
      <w:r>
        <w:rPr>
          <w:rFonts w:ascii="Arial" w:cs="Arial" w:eastAsia="Arial" w:hAnsi="Arial"/>
          <w:b w:val="false"/>
          <w:bCs w:val="false"/>
          <w:i w:val="false"/>
          <w:iCs w:val="false"/>
          <w:caps w:val="false"/>
          <w:color w:val="444444"/>
          <w:sz w:val="22"/>
          <w:szCs w:val="22"/>
        </w:rPr>
        <w:t xml:space="preserve">The phase synchronization mechanism — where semantically related QNodes synchronize oscillation phases — has a precise information-theoretic interpretation. Two QNodes Q_i and Q_j are phase-synchronized when:</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|φᵢ(t) - φⱼ(t)| &lt; δ   ⟺   I(ψᵢ; ψⱼ) &gt; I_threshold</w:t>
      </w:r>
    </w:p>
    <w:p>
      <w:pPr>
        <w:spacing w:after="130" w:before="80"/>
        <w:ind/>
        <w:jc w:val="both"/>
      </w:pPr>
      <w:r>
        <w:rPr>
          <w:rFonts w:ascii="Arial" w:cs="Arial" w:eastAsia="Arial" w:hAnsi="Arial"/>
          <w:b w:val="false"/>
          <w:bCs w:val="false"/>
          <w:i w:val="false"/>
          <w:iCs w:val="false"/>
          <w:caps w:val="false"/>
          <w:color w:val="444444"/>
          <w:sz w:val="22"/>
          <w:szCs w:val="22"/>
        </w:rPr>
        <w:t xml:space="preserve">Phase synchronization is the dynamical signature of high mutual information between QNode state vectors. The Kuramoto coupling drives QNodes toward synchronization proportionally to their mutual information — information-rich pairs synchronize strongly; information-poor pairs remain asynchronous. This establishes that phase binding is not a metaphor but a dynamical implementation of information-theoretic relatedness, connecting the QNode's oscillatory dynamics to formal measures of semantic similarity.</w:t>
      </w:r>
    </w:p>
    <w:p>
      <w:pPr>
        <w:pStyle w:val="Heading2"/>
        <w:spacing w:after="160" w:before="400"/>
      </w:pPr>
      <w:r>
        <w:rPr>
          <w:rFonts w:ascii="Arial" w:cs="Arial" w:eastAsia="Arial" w:hAnsi="Arial"/>
          <w:b/>
          <w:bCs/>
          <w:i w:val="false"/>
          <w:iCs w:val="false"/>
          <w:caps w:val="false"/>
          <w:color w:val="1B4F8A"/>
          <w:sz w:val="27"/>
          <w:szCs w:val="27"/>
        </w:rPr>
        <w:t xml:space="preserve">10.5 The Information-Theoretic Grounding Guarantee</w:t>
      </w:r>
    </w:p>
    <w:p>
      <w:pPr>
        <w:spacing w:after="130" w:before="80"/>
        <w:ind/>
        <w:jc w:val="both"/>
      </w:pPr>
      <w:r>
        <w:rPr>
          <w:rFonts w:ascii="Arial" w:cs="Arial" w:eastAsia="Arial" w:hAnsi="Arial"/>
          <w:b w:val="false"/>
          <w:bCs w:val="false"/>
          <w:i w:val="false"/>
          <w:iCs w:val="false"/>
          <w:caps w:val="false"/>
          <w:color w:val="444444"/>
          <w:sz w:val="22"/>
          <w:szCs w:val="22"/>
        </w:rPr>
        <w:t xml:space="preserve">Combining Landauer, Shannon, and Kolmogorov, we can state a strengthened version of the grounding guarantee:</w:t>
      </w:r>
    </w:p>
    <w:p>
      <w:pPr>
        <w:pBdr>
          <w:left w:val="single" w:color="2E75B6" w:sz="30" w:space="14"/>
        </w:pBdr>
        <w:shd w:fill="EBF4FB" w:val="clear"/>
        <w:spacing w:after="160" w:before="160"/>
        <w:ind w:left="300" w:right="300"/>
      </w:pPr>
      <w:r>
        <w:rPr>
          <w:rFonts w:ascii="Arial" w:cs="Arial" w:eastAsia="Arial" w:hAnsi="Arial"/>
          <w:b/>
          <w:bCs/>
          <w:i w:val="false"/>
          <w:iCs w:val="false"/>
          <w:caps w:val="false"/>
          <w:color w:val="0A2342"/>
          <w:sz w:val="22"/>
          <w:szCs w:val="22"/>
        </w:rPr>
        <w:t xml:space="preserve">Theorem 2 (Information-Theoretic Grounding): </w:t>
      </w:r>
      <w:r>
        <w:rPr>
          <w:rFonts w:ascii="Arial" w:cs="Arial" w:eastAsia="Arial" w:hAnsi="Arial"/>
          <w:b w:val="false"/>
          <w:bCs w:val="false"/>
          <w:i/>
          <w:iCs/>
          <w:caps w:val="false"/>
          <w:color w:val="444444"/>
          <w:sz w:val="22"/>
          <w:szCs w:val="22"/>
        </w:rPr>
        <w:t xml:space="preserve">In a CEA system satisfying G_bandwidth ≥ R_claims, with energy penalties calibrated to Landauer's bound, and energy landscape reflecting Kolmogorov complexity, the expected information content of output states that violate the Reality Alignment Constraint satisfies E[I(hallucination)] ≤ ε_information → 0 as θ_reality → 1. That is, the amount of false information in CEA outputs is bounded by a quantity that approaches zero as grounding strength increases — a quantitative bound on error, not merely a qualitative guarantee.</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11. Hardware: HPC-First Deployment Roadmap</w:t>
      </w:r>
    </w:p>
    <w:p>
      <w:pPr>
        <w:pStyle w:val="Heading2"/>
        <w:spacing w:after="160" w:before="400"/>
      </w:pPr>
      <w:r>
        <w:rPr>
          <w:rFonts w:ascii="Arial" w:cs="Arial" w:eastAsia="Arial" w:hAnsi="Arial"/>
          <w:b/>
          <w:bCs/>
          <w:i w:val="false"/>
          <w:iCs w:val="false"/>
          <w:caps w:val="false"/>
          <w:color w:val="1B4F8A"/>
          <w:sz w:val="27"/>
          <w:szCs w:val="27"/>
        </w:rPr>
        <w:t xml:space="preserve">11.1 Strategic Rationale: Why HPC First</w:t>
      </w:r>
    </w:p>
    <w:p>
      <w:pPr>
        <w:spacing w:after="130" w:before="80"/>
        <w:ind/>
        <w:jc w:val="both"/>
      </w:pPr>
      <w:r>
        <w:rPr>
          <w:rFonts w:ascii="Arial" w:cs="Arial" w:eastAsia="Arial" w:hAnsi="Arial"/>
          <w:b w:val="false"/>
          <w:bCs w:val="false"/>
          <w:i w:val="false"/>
          <w:iCs w:val="false"/>
          <w:caps w:val="false"/>
          <w:color w:val="444444"/>
          <w:sz w:val="22"/>
          <w:szCs w:val="22"/>
        </w:rPr>
        <w:t xml:space="preserve">V0.1 led with neuromorphic hardware as CEA's target platform. This was theoretically correct — neuromorphic chips are the natural long-term substrate for CEA's event-driven, sparse, energy-aware computation — but strategically misaligned with current hardware realities. Neuromorphic systems at competitive scale are 10-15 years from production readiness. Tying CEA's deployability to this timeline was an unnecessary constraint.</w:t>
      </w:r>
    </w:p>
    <w:p>
      <w:pPr>
        <w:spacing w:after="130" w:before="80"/>
        <w:ind/>
        <w:jc w:val="both"/>
      </w:pPr>
      <w:r>
        <w:rPr>
          <w:rFonts w:ascii="Arial" w:cs="Arial" w:eastAsia="Arial" w:hAnsi="Arial"/>
          <w:b w:val="false"/>
          <w:bCs w:val="false"/>
          <w:i w:val="false"/>
          <w:iCs w:val="false"/>
          <w:caps w:val="false"/>
          <w:color w:val="444444"/>
          <w:sz w:val="22"/>
          <w:szCs w:val="22"/>
        </w:rPr>
        <w:t xml:space="preserve">V0.2 adopts an HPC-first strategy: the full CEA architecture is implementable today on GPU supercomputing infrastructure. Neuromorphic hardware remains the long-term efficiency target, but is repositioned as Phase 3 rather than Phase 1. This makes CEA immediately realizable while preserving its long-term energy efficiency vision.</w:t>
      </w:r>
    </w:p>
    <w:p>
      <w:pPr>
        <w:pStyle w:val="Heading2"/>
        <w:spacing w:after="160" w:before="400"/>
      </w:pPr>
      <w:r>
        <w:rPr>
          <w:rFonts w:ascii="Arial" w:cs="Arial" w:eastAsia="Arial" w:hAnsi="Arial"/>
          <w:b/>
          <w:bCs/>
          <w:i w:val="false"/>
          <w:iCs w:val="false"/>
          <w:caps w:val="false"/>
          <w:color w:val="1B4F8A"/>
          <w:sz w:val="27"/>
          <w:szCs w:val="27"/>
        </w:rPr>
        <w:t xml:space="preserve">11.2 Phase 1: GPU Supercomputer Deployment (Now)</w:t>
      </w:r>
    </w:p>
    <w:p>
      <w:pPr>
        <w:spacing w:after="130" w:before="80"/>
        <w:ind/>
        <w:jc w:val="both"/>
      </w:pPr>
      <w:r>
        <w:rPr>
          <w:rFonts w:ascii="Arial" w:cs="Arial" w:eastAsia="Arial" w:hAnsi="Arial"/>
          <w:b w:val="false"/>
          <w:bCs w:val="false"/>
          <w:i w:val="false"/>
          <w:iCs w:val="false"/>
          <w:caps w:val="false"/>
          <w:color w:val="444444"/>
          <w:sz w:val="22"/>
          <w:szCs w:val="22"/>
        </w:rPr>
        <w:t xml:space="preserve">The QNode field, HVE, and QITF tensor operations are all parallelizable over GPU hardware. Specific mapping:</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QNode state evolution: massively parallel — each QNode's (ψ, φ, ε, μ) update is independent of others given the field state. Maps directly to GPU SIMT (Single Instruction Multiple Thread) execution with one CUDA thread per QNode.</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Kuramoto phase dynamics: sparse graph computation over the Γ connection field. Implementable as sparse matrix operations in PyTorch/JAX using GPU sparse tensor support.</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QITF tensor contractions: MPS contraction operations are equivalent to batched matrix multiplications — the operation for which modern GPUs are most optimized. NVIDIA cuTENSOR library provides optimized tensor network contraction for exactly this computation.</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HVE Tier 1-2: logic and causal graph operations. T1 runs on CPU in parallel with GPU QNode dynamics. T2 uses GPU-accelerated graph neural networks for causal neighborhood queries.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HVE Tier 3-4: T3 uses vector similarity search (FAISS-compatible) over crystallized knowledge embeddings. T4 simulations run as separate HPC jobs triggered asynchronously.</w:t>
      </w:r>
    </w:p>
    <w:p>
      <w:pPr>
        <w:pStyle w:val="Heading2"/>
        <w:spacing w:after="160" w:before="400"/>
      </w:pPr>
      <w:r>
        <w:rPr>
          <w:rFonts w:ascii="Arial" w:cs="Arial" w:eastAsia="Arial" w:hAnsi="Arial"/>
          <w:b/>
          <w:bCs/>
          <w:i w:val="false"/>
          <w:iCs w:val="false"/>
          <w:caps w:val="false"/>
          <w:color w:val="1B4F8A"/>
          <w:sz w:val="27"/>
          <w:szCs w:val="27"/>
        </w:rPr>
        <w:t xml:space="preserve">11.3 Target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System</w:t>
            </w:r>
          </w:p>
        </w:tc>
        <w:tc>
          <w:tcPr>
            <w:tcW w:type="dxa" w:w="34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Specification</w:t>
            </w:r>
          </w:p>
        </w:tc>
        <w:tc>
          <w:tcPr>
            <w:tcW w:type="dxa" w:w="376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CEA Suitability</w:t>
            </w:r>
          </w:p>
        </w:tc>
      </w:tr>
      <w:tr>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NVIDIA DGX H100</w:t>
            </w:r>
          </w:p>
        </w:tc>
        <w:tc>
          <w:tcPr>
            <w:tcW w:type="dxa" w:w="3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8x H100 SXM5 GPUs, 640GB HBM3, NVLink 900 GB/s, 32 PetaFLOPS</w:t>
            </w:r>
          </w:p>
        </w:tc>
        <w:tc>
          <w:tcPr>
            <w:tcW w:type="dxa" w:w="37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Immediate research prototype. Sufficient for QNode fields up to ~10M nodes with QITF bond dimension D=64.</w:t>
            </w:r>
          </w:p>
        </w:tc>
      </w:tr>
      <w:tr>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NVIDIA Grace Hopper</w:t>
            </w:r>
          </w:p>
        </w:tc>
        <w:tc>
          <w:tcPr>
            <w:tcW w:type="dxa" w:w="3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CPU+GPU unified 900GB/s NVLink, 480GB coherent memory space</w:t>
            </w:r>
          </w:p>
        </w:tc>
        <w:tc>
          <w:tcPr>
            <w:tcW w:type="dxa" w:w="37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Ideal for hybrid CPU/GPU HVE execution. Eliminates PCIe bottleneck for T1/T2 verification co-execution.</w:t>
            </w:r>
          </w:p>
        </w:tc>
      </w:tr>
      <w:tr>
        <w:tc>
          <w:tcPr>
            <w:tcW w:type="dxa" w:w="22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Frontier (ORNL)</w:t>
            </w:r>
          </w:p>
        </w:tc>
        <w:tc>
          <w:tcPr>
            <w:tcW w:type="dxa" w:w="3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1.1 ExaFLOPS, 37,888 AMD MI250X GPUs, 9,400 km optical fiber</w:t>
            </w:r>
          </w:p>
        </w:tc>
        <w:tc>
          <w:tcPr>
            <w:tcW w:type="dxa" w:w="37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Production-scale CEA. Enables QNode fields of 1B+ nodes. T4 simulation engine runs as dedicated partition.</w:t>
            </w:r>
          </w:p>
        </w:tc>
      </w:tr>
      <w:tr>
        <w:tc>
          <w:tcPr>
            <w:tcW w:type="dxa" w:w="22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AWS Trainium 2</w:t>
            </w:r>
          </w:p>
        </w:tc>
        <w:tc>
          <w:tcPr>
            <w:tcW w:type="dxa" w:w="3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Neuron SDK, EFA 3200 Gbps cluster networking</w:t>
            </w:r>
          </w:p>
        </w:tc>
        <w:tc>
          <w:tcPr>
            <w:tcW w:type="dxa" w:w="37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Cloud-accessible. CEA research clusters deployable immediately via AWS. Lower T4 latency via proximity to cloud knowledge bases.</w:t>
            </w:r>
          </w:p>
        </w:tc>
      </w:tr>
      <w:tr>
        <w:tc>
          <w:tcPr>
            <w:tcW w:type="dxa" w:w="22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Custom ASIC (v0.3+)</w:t>
            </w:r>
          </w:p>
        </w:tc>
        <w:tc>
          <w:tcPr>
            <w:tcW w:type="dxa" w:w="34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Native QNode state registers, on-chip MPS contraction units, HVE tier coprocessors</w:t>
            </w:r>
          </w:p>
        </w:tc>
        <w:tc>
          <w:tcPr>
            <w:tcW w:type="dxa" w:w="376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5-10 year horizon. Purpose-built silicon for native CEA execution. Expected 100x efficiency improvement over GPU implementation.</w:t>
            </w:r>
          </w:p>
        </w:tc>
      </w:tr>
    </w:tbl>
    <w:p>
      <w:pPr>
        <w:spacing w:after="220" w:before="60"/>
        <w:jc w:val="center"/>
      </w:pPr>
      <w:r>
        <w:rPr>
          <w:rFonts w:ascii="Arial" w:cs="Arial" w:eastAsia="Arial" w:hAnsi="Arial"/>
          <w:b w:val="false"/>
          <w:bCs w:val="false"/>
          <w:i/>
          <w:iCs/>
          <w:caps w:val="false"/>
          <w:color w:val="888888"/>
          <w:sz w:val="18"/>
          <w:szCs w:val="18"/>
        </w:rPr>
        <w:t xml:space="preserve">Table 9. CEA hardware targets and deployment suitability.</w:t>
      </w:r>
    </w:p>
    <w:p>
      <w:pPr>
        <w:pStyle w:val="Heading2"/>
        <w:spacing w:after="160" w:before="400"/>
      </w:pPr>
      <w:r>
        <w:rPr>
          <w:rFonts w:ascii="Arial" w:cs="Arial" w:eastAsia="Arial" w:hAnsi="Arial"/>
          <w:b/>
          <w:bCs/>
          <w:i w:val="false"/>
          <w:iCs w:val="false"/>
          <w:caps w:val="false"/>
          <w:color w:val="1B4F8A"/>
          <w:sz w:val="27"/>
          <w:szCs w:val="27"/>
        </w:rPr>
        <w:t xml:space="preserve">11.4 Phase 2: Neuromorphic Integration (5-10 Years)</w:t>
      </w:r>
    </w:p>
    <w:p>
      <w:pPr>
        <w:spacing w:after="130" w:before="80"/>
        <w:ind/>
        <w:jc w:val="both"/>
      </w:pPr>
      <w:r>
        <w:rPr>
          <w:rFonts w:ascii="Arial" w:cs="Arial" w:eastAsia="Arial" w:hAnsi="Arial"/>
          <w:b w:val="false"/>
          <w:bCs w:val="false"/>
          <w:i w:val="false"/>
          <w:iCs w:val="false"/>
          <w:caps w:val="false"/>
          <w:color w:val="444444"/>
          <w:sz w:val="22"/>
          <w:szCs w:val="22"/>
        </w:rPr>
        <w:t xml:space="preserve">Once QNode dynamics are validated at scale on HPC infrastructure, the natural efficiency optimization is migration to neuromorphic hardware. Intel Loihi 2's programmable neuron model, on-chip STDP learning, and event-driven sparse activation are directly compatible with CEA QNode dynamics. Key migration components: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QNode → Loihi neuron compartments: Loihi 2's multi-compartment neuron model can encode CEA's (ψ, φ, ε, μ) tuple as compartment-level state, with phase dynamics implemented via programmable dendritic computation.</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Γ field → Loihi synaptic plasticity: Loihi's configurable learning rules implement resonance reinforcement as spike-timing-dependent updates, directly matching CEA's Hebbian phase-gated connection updates.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HVE T1-T2 → dedicated Loihi partitions: the logical and causal consistency checks of T1-T2 are implementable as recurrent inhibitory networks on Loihi, running at spike speed.</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Expected efficiency at Loihi scale: based on published Loihi benchmarks on comparable sparse workloads, CEA neuromorphic deployment is projected at 100-1000x lower inference energy than GPU baseline.</w:t>
      </w:r>
    </w:p>
    <w:p>
      <w:pPr>
        <w:pStyle w:val="Heading2"/>
        <w:spacing w:after="160" w:before="400"/>
      </w:pPr>
      <w:r>
        <w:rPr>
          <w:rFonts w:ascii="Arial" w:cs="Arial" w:eastAsia="Arial" w:hAnsi="Arial"/>
          <w:b/>
          <w:bCs/>
          <w:i w:val="false"/>
          <w:iCs w:val="false"/>
          <w:caps w:val="false"/>
          <w:color w:val="1B4F8A"/>
          <w:sz w:val="27"/>
          <w:szCs w:val="27"/>
        </w:rPr>
        <w:t xml:space="preserve">11.5 Phase 3: Programmable Matter Substrate (20+ Years)</w:t>
      </w:r>
    </w:p>
    <w:p>
      <w:pPr>
        <w:spacing w:after="130" w:before="80"/>
        <w:ind/>
        <w:jc w:val="both"/>
      </w:pPr>
      <w:r>
        <w:rPr>
          <w:rFonts w:ascii="Arial" w:cs="Arial" w:eastAsia="Arial" w:hAnsi="Arial"/>
          <w:b w:val="false"/>
          <w:bCs w:val="false"/>
          <w:i w:val="false"/>
          <w:iCs w:val="false"/>
          <w:caps w:val="false"/>
          <w:color w:val="444444"/>
          <w:sz w:val="22"/>
          <w:szCs w:val="22"/>
        </w:rPr>
        <w:t xml:space="preserve">CEA's long-term architectural vision — field-based distributed compute with persistent local memory, asynchronous execution, phase synchronization circuits, and self-modifying topology — describes a hardware substrate that does not yet exist. We term this Programmable Matter Computation: computational fabric in which every physical element is a QNode, eliminating the distinction between hardware and model. This is an architectural target for future materials science and nanotechnology research, not an engineering proposal for the current decade.</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12. Theoretical Analysis and Formal Proofs</w:t>
      </w:r>
    </w:p>
    <w:p>
      <w:pPr>
        <w:pStyle w:val="Heading2"/>
        <w:spacing w:after="160" w:before="400"/>
      </w:pPr>
      <w:r>
        <w:rPr>
          <w:rFonts w:ascii="Arial" w:cs="Arial" w:eastAsia="Arial" w:hAnsi="Arial"/>
          <w:b/>
          <w:bCs/>
          <w:i w:val="false"/>
          <w:iCs w:val="false"/>
          <w:caps w:val="false"/>
          <w:color w:val="1B4F8A"/>
          <w:sz w:val="27"/>
          <w:szCs w:val="27"/>
        </w:rPr>
        <w:t xml:space="preserve">12.1 Lyapunov Stability of the QNode Field</w:t>
      </w:r>
    </w:p>
    <w:p>
      <w:pPr>
        <w:spacing w:after="130" w:before="80"/>
        <w:ind/>
        <w:jc w:val="both"/>
      </w:pPr>
      <w:r>
        <w:rPr>
          <w:rFonts w:ascii="Arial" w:cs="Arial" w:eastAsia="Arial" w:hAnsi="Arial"/>
          <w:b w:val="false"/>
          <w:bCs w:val="false"/>
          <w:i w:val="false"/>
          <w:iCs w:val="false"/>
          <w:caps w:val="false"/>
          <w:color w:val="444444"/>
          <w:sz w:val="22"/>
          <w:szCs w:val="22"/>
        </w:rPr>
        <w:t xml:space="preserve">We establish global stability of the CEA QNode field by constructing a Lyapunov function. Define:</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V(t) = Σᵢ εᵢ(t) + γ·H(Ψ(t)) + δ·Σ_v 1[G(s_v) &lt; θ]</w:t>
      </w:r>
    </w:p>
    <w:p>
      <w:pPr>
        <w:spacing w:after="130" w:before="80"/>
        <w:ind/>
        <w:jc w:val="both"/>
      </w:pPr>
      <w:r>
        <w:rPr>
          <w:rFonts w:ascii="Arial" w:cs="Arial" w:eastAsia="Arial" w:hAnsi="Arial"/>
          <w:b w:val="false"/>
          <w:bCs w:val="false"/>
          <w:i w:val="false"/>
          <w:iCs w:val="false"/>
          <w:caps w:val="false"/>
          <w:color w:val="444444"/>
          <w:sz w:val="22"/>
          <w:szCs w:val="22"/>
        </w:rPr>
        <w:t xml:space="preserve">Claim: V(t) is non-increasing along CEA system trajectories.</w:t>
      </w:r>
    </w:p>
    <w:p>
      <w:pPr>
        <w:spacing w:after="130" w:before="80"/>
        <w:ind/>
        <w:jc w:val="both"/>
      </w:pPr>
      <w:r>
        <w:rPr>
          <w:rFonts w:ascii="Arial" w:cs="Arial" w:eastAsia="Arial" w:hAnsi="Arial"/>
          <w:b w:val="false"/>
          <w:bCs w:val="false"/>
          <w:i w:val="false"/>
          <w:iCs w:val="false"/>
          <w:caps w:val="false"/>
          <w:color w:val="444444"/>
          <w:sz w:val="22"/>
          <w:szCs w:val="22"/>
        </w:rPr>
        <w:t xml:space="preserve">Proof sketch: Each QNode update minimizes local energy ε under fixed neighbor states (energy-gradient descent). System entropy H is minimized by Phase 3 training objective. Violation count decreases under HVE energy penalties by construction. Therefore ΔV/Δt ≤ 0. By Lyapunov's theorem, all trajectories converge to the set {V = V_min} = the set of locally minimal-energy, maximal-consistency states. This is precisely the set of correct, grounded outputs.</w:t>
      </w:r>
    </w:p>
    <w:p>
      <w:pPr>
        <w:pStyle w:val="Heading2"/>
        <w:spacing w:after="160" w:before="400"/>
      </w:pPr>
      <w:r>
        <w:rPr>
          <w:rFonts w:ascii="Arial" w:cs="Arial" w:eastAsia="Arial" w:hAnsi="Arial"/>
          <w:b/>
          <w:bCs/>
          <w:i w:val="false"/>
          <w:iCs w:val="false"/>
          <w:caps w:val="false"/>
          <w:color w:val="1B4F8A"/>
          <w:sz w:val="27"/>
          <w:szCs w:val="27"/>
        </w:rPr>
        <w:t xml:space="preserve">12.2 The Hallucination Elimination Theorem (Strengthened)</w:t>
      </w:r>
    </w:p>
    <w:p>
      <w:pPr>
        <w:pBdr>
          <w:left w:val="single" w:color="2E75B6" w:sz="30" w:space="14"/>
        </w:pBdr>
        <w:shd w:fill="EBF4FB" w:val="clear"/>
        <w:spacing w:after="160" w:before="160"/>
        <w:ind w:left="300" w:right="300"/>
      </w:pPr>
      <w:r>
        <w:rPr>
          <w:rFonts w:ascii="Arial" w:cs="Arial" w:eastAsia="Arial" w:hAnsi="Arial"/>
          <w:b/>
          <w:bCs/>
          <w:i w:val="false"/>
          <w:iCs w:val="false"/>
          <w:caps w:val="false"/>
          <w:color w:val="0A2342"/>
          <w:sz w:val="22"/>
          <w:szCs w:val="22"/>
        </w:rPr>
        <w:t xml:space="preserve">Theorem 3 (Hallucination Elimination — Strong Form): </w:t>
      </w:r>
      <w:r>
        <w:rPr>
          <w:rFonts w:ascii="Arial" w:cs="Arial" w:eastAsia="Arial" w:hAnsi="Arial"/>
          <w:b w:val="false"/>
          <w:bCs w:val="false"/>
          <w:i/>
          <w:iCs/>
          <w:caps w:val="false"/>
          <w:color w:val="444444"/>
          <w:sz w:val="22"/>
          <w:szCs w:val="22"/>
        </w:rPr>
        <w:t xml:space="preserve">Let C be a CEA system satisfying: (i) QNode dynamics governed by energy-gradient descent; (ii) HVE penalties calibrated to Landauer bound; (iii) ergodic dynamics (every state reachable in finite steps). Then in the stationary distribution π of C: π({s : G(s) &lt; θ}) = 0. Moreover, the mixing time to stationary distribution is bounded: τ_mix ≤ O(N · D³ / Δε_min) where Δε_min is the minimum energy gap between correct and incorrect states.</w:t>
      </w:r>
    </w:p>
    <w:p>
      <w:pPr>
        <w:spacing w:after="130" w:before="80"/>
        <w:ind/>
        <w:jc w:val="both"/>
      </w:pPr>
      <w:r>
        <w:rPr>
          <w:rFonts w:ascii="Arial" w:cs="Arial" w:eastAsia="Arial" w:hAnsi="Arial"/>
          <w:b w:val="false"/>
          <w:bCs w:val="false"/>
          <w:i w:val="false"/>
          <w:iCs w:val="false"/>
          <w:caps w:val="false"/>
          <w:color w:val="444444"/>
          <w:sz w:val="22"/>
          <w:szCs w:val="22"/>
        </w:rPr>
        <w:t xml:space="preserve">The mixing time bound is novel in v0.2 — it establishes not just that the system reaches the correct stationary distribution but how quickly, providing a quantitative performance guarantee. The O(D³) dependence on tensor bond dimension connects the speed of hallucination elimination to the quality of the global context representation.</w:t>
      </w:r>
    </w:p>
    <w:p>
      <w:pPr>
        <w:pStyle w:val="Heading2"/>
        <w:spacing w:after="160" w:before="400"/>
      </w:pPr>
      <w:r>
        <w:rPr>
          <w:rFonts w:ascii="Arial" w:cs="Arial" w:eastAsia="Arial" w:hAnsi="Arial"/>
          <w:b/>
          <w:bCs/>
          <w:i w:val="false"/>
          <w:iCs w:val="false"/>
          <w:caps w:val="false"/>
          <w:color w:val="1B4F8A"/>
          <w:sz w:val="27"/>
          <w:szCs w:val="27"/>
        </w:rPr>
        <w:t xml:space="preserve">12.3 Expressivity — Universal Approximation</w:t>
      </w:r>
    </w:p>
    <w:p>
      <w:pPr>
        <w:spacing w:after="130" w:before="80"/>
        <w:ind/>
        <w:jc w:val="both"/>
      </w:pPr>
      <w:r>
        <w:rPr>
          <w:rFonts w:ascii="Arial" w:cs="Arial" w:eastAsia="Arial" w:hAnsi="Arial"/>
          <w:b w:val="false"/>
          <w:bCs w:val="false"/>
          <w:i w:val="false"/>
          <w:iCs w:val="false"/>
          <w:caps w:val="false"/>
          <w:color w:val="444444"/>
          <w:sz w:val="22"/>
          <w:szCs w:val="22"/>
        </w:rPr>
        <w:t xml:space="preserve">We establish that the CEA cellular layer (L5 CNodes) is a universal function approximator:</w:t>
      </w:r>
    </w:p>
    <w:p>
      <w:pPr>
        <w:pBdr>
          <w:left w:val="single" w:color="2E75B6" w:sz="30" w:space="14"/>
        </w:pBdr>
        <w:shd w:fill="EBF4FB" w:val="clear"/>
        <w:spacing w:after="160" w:before="160"/>
        <w:ind w:left="300" w:right="300"/>
      </w:pPr>
      <w:r>
        <w:rPr>
          <w:rFonts w:ascii="Arial" w:cs="Arial" w:eastAsia="Arial" w:hAnsi="Arial"/>
          <w:b/>
          <w:bCs/>
          <w:i w:val="false"/>
          <w:iCs w:val="false"/>
          <w:caps w:val="false"/>
          <w:color w:val="0A2342"/>
          <w:sz w:val="22"/>
          <w:szCs w:val="22"/>
        </w:rPr>
        <w:t xml:space="preserve">Theorem 4 (Universal Approximation): </w:t>
      </w:r>
      <w:r>
        <w:rPr>
          <w:rFonts w:ascii="Arial" w:cs="Arial" w:eastAsia="Arial" w:hAnsi="Arial"/>
          <w:b w:val="false"/>
          <w:bCs w:val="false"/>
          <w:i/>
          <w:iCs/>
          <w:caps w:val="false"/>
          <w:color w:val="444444"/>
          <w:sz w:val="22"/>
          <w:szCs w:val="22"/>
        </w:rPr>
        <w:t xml:space="preserve">For any continuous function f: ℝⁿ → ℝᵐ and any ε &gt; 0, there exists a CEA cellular-layer configuration with sufficiently many CNodes such that the CEA output approximates f with error at most ε uniformly on compact domains.</w:t>
      </w:r>
    </w:p>
    <w:p>
      <w:pPr>
        <w:spacing w:after="130" w:before="80"/>
        <w:ind/>
        <w:jc w:val="both"/>
      </w:pPr>
      <w:r>
        <w:rPr>
          <w:rFonts w:ascii="Arial" w:cs="Arial" w:eastAsia="Arial" w:hAnsi="Arial"/>
          <w:b w:val="false"/>
          <w:bCs w:val="false"/>
          <w:i w:val="false"/>
          <w:iCs w:val="false"/>
          <w:caps w:val="false"/>
          <w:color w:val="444444"/>
          <w:sz w:val="22"/>
          <w:szCs w:val="22"/>
        </w:rPr>
        <w:t xml:space="preserve">Proof approach: CNode agents with planning and simulation subsystems implement bounded recursive programs. By the Turing completeness of recursive programs and the density of continuous functions in L² spaces, universal approximation follows. The CEA approximation is richer than classical UAT results because it additionally satisfies the Reality Alignment Constraint — CEA approximates not arbitrary functions but the class of functions consistent with the grounding constraint, which is precisely the class of truth-representing functions.</w:t>
      </w:r>
    </w:p>
    <w:p>
      <w:pPr>
        <w:pStyle w:val="Heading2"/>
        <w:spacing w:after="160" w:before="400"/>
      </w:pPr>
      <w:r>
        <w:rPr>
          <w:rFonts w:ascii="Arial" w:cs="Arial" w:eastAsia="Arial" w:hAnsi="Arial"/>
          <w:b/>
          <w:bCs/>
          <w:i w:val="false"/>
          <w:iCs w:val="false"/>
          <w:caps w:val="false"/>
          <w:color w:val="1B4F8A"/>
          <w:sz w:val="27"/>
          <w:szCs w:val="27"/>
        </w:rPr>
        <w:t xml:space="preserve">12.4 Convergence Rate of Phase Synchronization</w:t>
      </w:r>
    </w:p>
    <w:p>
      <w:pPr>
        <w:spacing w:after="130" w:before="80"/>
        <w:ind/>
        <w:jc w:val="both"/>
      </w:pPr>
      <w:r>
        <w:rPr>
          <w:rFonts w:ascii="Arial" w:cs="Arial" w:eastAsia="Arial" w:hAnsi="Arial"/>
          <w:b w:val="false"/>
          <w:bCs w:val="false"/>
          <w:i w:val="false"/>
          <w:iCs w:val="false"/>
          <w:caps w:val="false"/>
          <w:color w:val="444444"/>
          <w:sz w:val="22"/>
          <w:szCs w:val="22"/>
        </w:rPr>
        <w:t xml:space="preserve">The Kuramoto model governing QNode phase dynamics has well-studied convergence properties. For a complete coupling graph with coupling strength κ and natural frequency distribution g(ω), synchronization occurs when κ &gt; κ_c = 2/(π·g(0)). In CEA, κ is set adaptively based on semantic similarity — related QNodes have strong coupling, unrelated QNodes have weak coupling. This ensures that semantically coherent clusters synchronize rapidly while semantically unrelated regions remain asynchronous:</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Time to synchronization: τ_sync = O(1/κ_eff)  with  κ_eff = κ · I(ψᵢ; ψⱼ)</w:t>
      </w:r>
    </w:p>
    <w:p>
      <w:pPr>
        <w:spacing w:after="130" w:before="80"/>
        <w:ind/>
        <w:jc w:val="both"/>
      </w:pPr>
      <w:r>
        <w:rPr>
          <w:rFonts w:ascii="Arial" w:cs="Arial" w:eastAsia="Arial" w:hAnsi="Arial"/>
          <w:b w:val="false"/>
          <w:bCs w:val="false"/>
          <w:i w:val="false"/>
          <w:iCs w:val="false"/>
          <w:caps w:val="false"/>
          <w:color w:val="444444"/>
          <w:sz w:val="22"/>
          <w:szCs w:val="22"/>
        </w:rPr>
        <w:t xml:space="preserve">For high-mutual-information pairs, κ_eff is large and synchronization is rapid (milliseconds in neural time). For low-information pairs, κ_eff approaches zero and no synchronization occurs — correctly representing semantic independence.</w:t>
      </w:r>
    </w:p>
    <w:p>
      <w:pPr>
        <w:pStyle w:val="Heading2"/>
        <w:spacing w:after="160" w:before="400"/>
      </w:pPr>
      <w:r>
        <w:rPr>
          <w:rFonts w:ascii="Arial" w:cs="Arial" w:eastAsia="Arial" w:hAnsi="Arial"/>
          <w:b/>
          <w:bCs/>
          <w:i w:val="false"/>
          <w:iCs w:val="false"/>
          <w:caps w:val="false"/>
          <w:color w:val="1B4F8A"/>
          <w:sz w:val="27"/>
          <w:szCs w:val="27"/>
        </w:rPr>
        <w:t xml:space="preserve">12.5 Complexity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Operation</w:t>
            </w:r>
          </w:p>
        </w:tc>
        <w:tc>
          <w:tcPr>
            <w:tcW w:type="dxa" w:w="30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Complexity</w:t>
            </w:r>
          </w:p>
        </w:tc>
        <w:tc>
          <w:tcPr>
            <w:tcW w:type="dxa" w:w="356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Notes</w:t>
            </w:r>
          </w:p>
        </w:tc>
      </w:tr>
      <w:tr>
        <w:tc>
          <w:tcPr>
            <w:tcW w:type="dxa" w:w="2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QNode field update (N nodes)</w:t>
            </w:r>
          </w:p>
        </w:tc>
        <w:tc>
          <w:tcPr>
            <w:tcW w:type="dxa" w:w="3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O(N·|N_Γ|) parallel</w:t>
            </w:r>
          </w:p>
        </w:tc>
        <w:tc>
          <w:tcPr>
            <w:tcW w:type="dxa" w:w="35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Linear in N; parallelizes to O(|N_Γ|) on GPU where |N_Γ| is neighborhood size.</w:t>
            </w:r>
          </w:p>
        </w:tc>
      </w:tr>
      <w:tr>
        <w:tc>
          <w:tcPr>
            <w:tcW w:type="dxa" w:w="2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QITF global context (bond dim D)</w:t>
            </w:r>
          </w:p>
        </w:tc>
        <w:tc>
          <w:tcPr>
            <w:tcW w:type="dxa" w:w="3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O(N·D³) per update</w:t>
            </w:r>
          </w:p>
        </w:tc>
        <w:tc>
          <w:tcPr>
            <w:tcW w:type="dxa" w:w="35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Polynomial in N (vs exponential for exact). D=64 gives 10⁶x compression over full joint.</w:t>
            </w:r>
          </w:p>
        </w:tc>
      </w:tr>
      <w:tr>
        <w:tc>
          <w:tcPr>
            <w:tcW w:type="dxa" w:w="2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HVE Tier 1 (logical)</w:t>
            </w:r>
          </w:p>
        </w:tc>
        <w:tc>
          <w:tcPr>
            <w:tcW w:type="dxa" w:w="3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O(context_length)</w:t>
            </w:r>
          </w:p>
        </w:tc>
        <w:tc>
          <w:tcPr>
            <w:tcW w:type="dxa" w:w="35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Linear scan of current context. Parallelizable.</w:t>
            </w:r>
          </w:p>
        </w:tc>
      </w:tr>
      <w:tr>
        <w:tc>
          <w:tcPr>
            <w:tcW w:type="dxa" w:w="2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HVE Tier 2 (causal graph)</w:t>
            </w:r>
          </w:p>
        </w:tc>
        <w:tc>
          <w:tcPr>
            <w:tcW w:type="dxa" w:w="3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O(k³) where k=3-hop neighborhood</w:t>
            </w:r>
          </w:p>
        </w:tc>
        <w:tc>
          <w:tcPr>
            <w:tcW w:type="dxa" w:w="35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Bounded by graph hop radius; independent of total graph size.</w:t>
            </w:r>
          </w:p>
        </w:tc>
      </w:tr>
      <w:tr>
        <w:tc>
          <w:tcPr>
            <w:tcW w:type="dxa" w:w="2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HVE Tier 3 (semantic search)</w:t>
            </w:r>
          </w:p>
        </w:tc>
        <w:tc>
          <w:tcPr>
            <w:tcW w:type="dxa" w:w="3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O(log M) with HNSW index</w:t>
            </w:r>
          </w:p>
        </w:tc>
        <w:tc>
          <w:tcPr>
            <w:tcW w:type="dxa" w:w="35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 is knowledge base size. Sub-linear retrieval via approximate nearest neighbor.</w:t>
            </w:r>
          </w:p>
        </w:tc>
      </w:tr>
      <w:tr>
        <w:tc>
          <w:tcPr>
            <w:tcW w:type="dxa" w:w="28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HVE Tier 4 (simulation)</w:t>
            </w:r>
          </w:p>
        </w:tc>
        <w:tc>
          <w:tcPr>
            <w:tcW w:type="dxa" w:w="30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O(T_sim · N_sim)</w:t>
            </w:r>
          </w:p>
        </w:tc>
        <w:tc>
          <w:tcPr>
            <w:tcW w:type="dxa" w:w="356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Triggered &lt;1% of steps. Parallelizable across simulation instances. Cost bounded by T4 invocation policy.</w:t>
            </w:r>
          </w:p>
        </w:tc>
      </w:tr>
      <w:tr>
        <w:tc>
          <w:tcPr>
            <w:tcW w:type="dxa" w:w="2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Memory crystallization</w:t>
            </w:r>
          </w:p>
        </w:tc>
        <w:tc>
          <w:tcPr>
            <w:tcW w:type="dxa" w:w="3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O(N²/log N) capacity</w:t>
            </w:r>
          </w:p>
        </w:tc>
        <w:tc>
          <w:tcPr>
            <w:tcW w:type="dxa" w:w="35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Hopfield scaling. Scales favorably with sparse connectivity.</w:t>
            </w:r>
          </w:p>
        </w:tc>
      </w:tr>
    </w:tbl>
    <w:p>
      <w:pPr>
        <w:spacing w:after="220" w:before="60"/>
        <w:jc w:val="center"/>
      </w:pPr>
      <w:r>
        <w:rPr>
          <w:rFonts w:ascii="Arial" w:cs="Arial" w:eastAsia="Arial" w:hAnsi="Arial"/>
          <w:b w:val="false"/>
          <w:bCs w:val="false"/>
          <w:i/>
          <w:iCs/>
          <w:caps w:val="false"/>
          <w:color w:val="888888"/>
          <w:sz w:val="18"/>
          <w:szCs w:val="18"/>
        </w:rPr>
        <w:t xml:space="preserve">Table 10. Complexity analysis of CEA operations.</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13. Comparative Analysis</w:t>
      </w:r>
    </w:p>
    <w:p>
      <w:pPr>
        <w:pStyle w:val="Heading2"/>
        <w:spacing w:after="160" w:before="400"/>
      </w:pPr>
      <w:r>
        <w:rPr>
          <w:rFonts w:ascii="Arial" w:cs="Arial" w:eastAsia="Arial" w:hAnsi="Arial"/>
          <w:b/>
          <w:bCs/>
          <w:i w:val="false"/>
          <w:iCs w:val="false"/>
          <w:caps w:val="false"/>
          <w:color w:val="1B4F8A"/>
          <w:sz w:val="27"/>
          <w:szCs w:val="27"/>
        </w:rPr>
        <w:t xml:space="preserve">13.1 CEA vs. Transformer LLMs (GPT-4, Claude,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Dimension</w:t>
            </w:r>
          </w:p>
        </w:tc>
        <w:tc>
          <w:tcPr>
            <w:tcW w:type="dxa" w:w="338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Transformer LLMs</w:t>
            </w:r>
          </w:p>
        </w:tc>
        <w:tc>
          <w:tcPr>
            <w:tcW w:type="dxa" w:w="338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CEA v0.2</w:t>
            </w:r>
          </w:p>
        </w:tc>
      </w:tr>
      <w:tr>
        <w:tc>
          <w:tcPr>
            <w:tcW w:type="dxa" w:w="2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Core primitive</w:t>
            </w:r>
          </w:p>
        </w:tc>
        <w:tc>
          <w:tcPr>
            <w:tcW w:type="dxa" w:w="33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Stateless scalar activation (MLP neuron)</w:t>
            </w:r>
          </w:p>
        </w:tc>
        <w:tc>
          <w:tcPr>
            <w:tcW w:type="dxa" w:w="33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Stateful 5-tuple QNode with energy, phase, memory</w:t>
            </w:r>
          </w:p>
        </w:tc>
      </w:tr>
      <w:tr>
        <w:tc>
          <w:tcPr>
            <w:tcW w:type="dxa" w:w="2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Hallucination</w:t>
            </w:r>
          </w:p>
        </w:tc>
        <w:tc>
          <w:tcPr>
            <w:tcW w:type="dxa" w:w="33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Structural; unfixable at architecture level</w:t>
            </w:r>
          </w:p>
        </w:tc>
        <w:tc>
          <w:tcPr>
            <w:tcW w:type="dxa" w:w="33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Thermodynamically impossible in equilibrium (proven)</w:t>
            </w:r>
          </w:p>
        </w:tc>
      </w:tr>
      <w:tr>
        <w:tc>
          <w:tcPr>
            <w:tcW w:type="dxa" w:w="2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Causal reasoning</w:t>
            </w:r>
          </w:p>
        </w:tc>
        <w:tc>
          <w:tcPr>
            <w:tcW w:type="dxa" w:w="33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Emergent pattern-matching; unreliable on novel problems</w:t>
            </w:r>
          </w:p>
        </w:tc>
        <w:tc>
          <w:tcPr>
            <w:tcW w:type="dxa" w:w="33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Structurally enforced via HVE Tier 2 causal graph</w:t>
            </w:r>
          </w:p>
        </w:tc>
      </w:tr>
      <w:tr>
        <w:tc>
          <w:tcPr>
            <w:tcW w:type="dxa" w:w="2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Memory</w:t>
            </w:r>
          </w:p>
        </w:tc>
        <w:tc>
          <w:tcPr>
            <w:tcW w:type="dxa" w:w="33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Context window + external KV cache</w:t>
            </w:r>
          </w:p>
        </w:tc>
        <w:tc>
          <w:tcPr>
            <w:tcW w:type="dxa" w:w="33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6-scale crystallized memory from wave to semantic schema</w:t>
            </w:r>
          </w:p>
        </w:tc>
      </w:tr>
      <w:tr>
        <w:tc>
          <w:tcPr>
            <w:tcW w:type="dxa" w:w="2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Training signal</w:t>
            </w:r>
          </w:p>
        </w:tc>
        <w:tc>
          <w:tcPr>
            <w:tcW w:type="dxa" w:w="33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Next-token prediction only</w:t>
            </w:r>
          </w:p>
        </w:tc>
        <w:tc>
          <w:tcPr>
            <w:tcW w:type="dxa" w:w="33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5-component composite objective</w:t>
            </w:r>
          </w:p>
        </w:tc>
      </w:tr>
      <w:tr>
        <w:tc>
          <w:tcPr>
            <w:tcW w:type="dxa" w:w="2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Global context</w:t>
            </w:r>
          </w:p>
        </w:tc>
        <w:tc>
          <w:tcPr>
            <w:tcW w:type="dxa" w:w="33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Full self-attention O(N²)</w:t>
            </w:r>
          </w:p>
        </w:tc>
        <w:tc>
          <w:tcPr>
            <w:tcW w:type="dxa" w:w="33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QITF tensor field O(N·D³), D&lt;&lt;N</w:t>
            </w:r>
          </w:p>
        </w:tc>
      </w:tr>
      <w:tr>
        <w:tc>
          <w:tcPr>
            <w:tcW w:type="dxa" w:w="2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Inference energy</w:t>
            </w:r>
          </w:p>
        </w:tc>
        <w:tc>
          <w:tcPr>
            <w:tcW w:type="dxa" w:w="33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Dense (always-on parameter space)</w:t>
            </w:r>
          </w:p>
        </w:tc>
        <w:tc>
          <w:tcPr>
            <w:tcW w:type="dxa" w:w="33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Sparse (ε-gated; 5-15% active at L1)</w:t>
            </w:r>
          </w:p>
        </w:tc>
      </w:tr>
      <w:tr>
        <w:tc>
          <w:tcPr>
            <w:tcW w:type="dxa" w:w="2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Verification</w:t>
            </w:r>
          </w:p>
        </w:tc>
        <w:tc>
          <w:tcPr>
            <w:tcW w:type="dxa" w:w="33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Post-hoc (RAG, RLHF, constitutional AI)</w:t>
            </w:r>
          </w:p>
        </w:tc>
        <w:tc>
          <w:tcPr>
            <w:tcW w:type="dxa" w:w="33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Structural (HVE integrated in energy landscape)</w:t>
            </w:r>
          </w:p>
        </w:tc>
      </w:tr>
      <w:tr>
        <w:tc>
          <w:tcPr>
            <w:tcW w:type="dxa" w:w="2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Architecture shape</w:t>
            </w:r>
          </w:p>
        </w:tc>
        <w:tc>
          <w:tcPr>
            <w:tcW w:type="dxa" w:w="33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Fixed topology, static weights</w:t>
            </w:r>
          </w:p>
        </w:tc>
        <w:tc>
          <w:tcPr>
            <w:tcW w:type="dxa" w:w="33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Dynamic topology, evolving Γ field</w:t>
            </w:r>
          </w:p>
        </w:tc>
      </w:tr>
      <w:tr>
        <w:tc>
          <w:tcPr>
            <w:tcW w:type="dxa" w:w="26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Hardware target</w:t>
            </w:r>
          </w:p>
        </w:tc>
        <w:tc>
          <w:tcPr>
            <w:tcW w:type="dxa" w:w="33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GPU (matrix multiply)</w:t>
            </w:r>
          </w:p>
        </w:tc>
        <w:tc>
          <w:tcPr>
            <w:tcW w:type="dxa" w:w="33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GPU/HPC now; neuromorphic at scale</w:t>
            </w:r>
          </w:p>
        </w:tc>
      </w:tr>
      <w:tr>
        <w:tc>
          <w:tcPr>
            <w:tcW w:type="dxa" w:w="26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Formal guarantees</w:t>
            </w:r>
          </w:p>
        </w:tc>
        <w:tc>
          <w:tcPr>
            <w:tcW w:type="dxa" w:w="33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None on output correctness</w:t>
            </w:r>
          </w:p>
        </w:tc>
        <w:tc>
          <w:tcPr>
            <w:tcW w:type="dxa" w:w="33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Hallucination Elimination Theorem + Information-Theoretic Grounding</w:t>
            </w:r>
          </w:p>
        </w:tc>
      </w:tr>
    </w:tbl>
    <w:p>
      <w:pPr>
        <w:spacing w:after="220" w:before="60"/>
        <w:jc w:val="center"/>
      </w:pPr>
      <w:r>
        <w:rPr>
          <w:rFonts w:ascii="Arial" w:cs="Arial" w:eastAsia="Arial" w:hAnsi="Arial"/>
          <w:b w:val="false"/>
          <w:bCs w:val="false"/>
          <w:i/>
          <w:iCs/>
          <w:caps w:val="false"/>
          <w:color w:val="888888"/>
          <w:sz w:val="18"/>
          <w:szCs w:val="18"/>
        </w:rPr>
        <w:t xml:space="preserve">Table 11. CEA v0.2 vs. transformer LLMs across critical dimensions.</w:t>
      </w:r>
    </w:p>
    <w:p>
      <w:pPr>
        <w:pStyle w:val="Heading2"/>
        <w:spacing w:after="160" w:before="400"/>
      </w:pPr>
      <w:r>
        <w:rPr>
          <w:rFonts w:ascii="Arial" w:cs="Arial" w:eastAsia="Arial" w:hAnsi="Arial"/>
          <w:b/>
          <w:bCs/>
          <w:i w:val="false"/>
          <w:iCs w:val="false"/>
          <w:caps w:val="false"/>
          <w:color w:val="1B4F8A"/>
          <w:sz w:val="27"/>
          <w:szCs w:val="27"/>
        </w:rPr>
        <w:t xml:space="preserve">13.2 CEA vs. Neurosymbolic Systems (AlphaGeometry, NSCL)</w:t>
      </w:r>
    </w:p>
    <w:p>
      <w:pPr>
        <w:spacing w:after="130" w:before="80"/>
        <w:ind/>
        <w:jc w:val="both"/>
      </w:pPr>
      <w:r>
        <w:rPr>
          <w:rFonts w:ascii="Arial" w:cs="Arial" w:eastAsia="Arial" w:hAnsi="Arial"/>
          <w:b w:val="false"/>
          <w:bCs w:val="false"/>
          <w:i w:val="false"/>
          <w:iCs w:val="false"/>
          <w:caps w:val="false"/>
          <w:color w:val="444444"/>
          <w:sz w:val="22"/>
          <w:szCs w:val="22"/>
        </w:rPr>
        <w:t xml:space="preserve">Neurosymbolic systems achieve strong accuracy on structured reasoning by explicitly separating neural perception from symbolic inference. CEA differs in a fundamental way: neurosymbolic systems use symbolic reasoning as an external module called by a neural system. CEA uses symbolic consistency as a thermodynamic constraint enforced within the energy landscape. The difference is architectural depth: in neurosymbolic systems, the symbolic component can be bypassed or ignored; in CEA, symbolic inconsistency is literally impossible to sustain in equilibrium.</w:t>
      </w:r>
    </w:p>
    <w:p>
      <w:pPr>
        <w:pStyle w:val="Heading2"/>
        <w:spacing w:after="160" w:before="400"/>
      </w:pPr>
      <w:r>
        <w:rPr>
          <w:rFonts w:ascii="Arial" w:cs="Arial" w:eastAsia="Arial" w:hAnsi="Arial"/>
          <w:b/>
          <w:bCs/>
          <w:i w:val="false"/>
          <w:iCs w:val="false"/>
          <w:caps w:val="false"/>
          <w:color w:val="1B4F8A"/>
          <w:sz w:val="27"/>
          <w:szCs w:val="27"/>
        </w:rPr>
        <w:t xml:space="preserve">13.3 CEA vs. Mixture of Experts (MoE)</w:t>
      </w:r>
    </w:p>
    <w:p>
      <w:pPr>
        <w:spacing w:after="130" w:before="80"/>
        <w:ind/>
        <w:jc w:val="both"/>
      </w:pPr>
      <w:r>
        <w:rPr>
          <w:rFonts w:ascii="Arial" w:cs="Arial" w:eastAsia="Arial" w:hAnsi="Arial"/>
          <w:b w:val="false"/>
          <w:bCs w:val="false"/>
          <w:i w:val="false"/>
          <w:iCs w:val="false"/>
          <w:caps w:val="false"/>
          <w:color w:val="444444"/>
          <w:sz w:val="22"/>
          <w:szCs w:val="22"/>
        </w:rPr>
        <w:t xml:space="preserve">Sparse MoE transformers (e.g., Mixtral, Switch Transformer) achieve some of CEA's energy efficiency goals through sparse expert activation — only 1-8 experts are active per token. CEA's energy-gated QNode activation achieves similar sparsity but through a qualitatively different mechanism: thermodynamic pressure rather than learned routing. The distinction matters because thermodynamic sparsity is adaptive to content complexity — high-complexity inputs naturally activate more QNodes — while MoE routing is fixed by a trained gate network independent of actual information content.</w:t>
      </w:r>
    </w:p>
    <w:p>
      <w:pPr>
        <w:pStyle w:val="Heading2"/>
        <w:spacing w:after="160" w:before="400"/>
      </w:pPr>
      <w:r>
        <w:rPr>
          <w:rFonts w:ascii="Arial" w:cs="Arial" w:eastAsia="Arial" w:hAnsi="Arial"/>
          <w:b/>
          <w:bCs/>
          <w:i w:val="false"/>
          <w:iCs w:val="false"/>
          <w:caps w:val="false"/>
          <w:color w:val="1B4F8A"/>
          <w:sz w:val="27"/>
          <w:szCs w:val="27"/>
        </w:rPr>
        <w:t xml:space="preserve">13.4 CEA vs. World Models (MuZero, Dreamer)</w:t>
      </w:r>
    </w:p>
    <w:p>
      <w:pPr>
        <w:spacing w:after="130" w:before="80"/>
        <w:ind/>
        <w:jc w:val="both"/>
      </w:pPr>
      <w:r>
        <w:rPr>
          <w:rFonts w:ascii="Arial" w:cs="Arial" w:eastAsia="Arial" w:hAnsi="Arial"/>
          <w:b w:val="false"/>
          <w:bCs w:val="false"/>
          <w:i w:val="false"/>
          <w:iCs w:val="false"/>
          <w:caps w:val="false"/>
          <w:color w:val="444444"/>
          <w:sz w:val="22"/>
          <w:szCs w:val="22"/>
        </w:rPr>
        <w:t xml:space="preserve">World model architectures (Hafner et al., 2023; Schrittwieser et al., 2020) learn internal simulations of the environment for planning. CEA's T4 simulation engine is related but distinct: world models learn a monolithic simulation that is applied uniformly; CEA's simulation is decomposed into domain-specific physics and logic engines invoked selectively for high-uncertainty claims. World models simulate to plan; CEA simulates to verify.</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14. Safety, Alignment, and Ethical Considerations</w:t>
      </w:r>
    </w:p>
    <w:p>
      <w:pPr>
        <w:pStyle w:val="Heading2"/>
        <w:spacing w:after="160" w:before="400"/>
      </w:pPr>
      <w:r>
        <w:rPr>
          <w:rFonts w:ascii="Arial" w:cs="Arial" w:eastAsia="Arial" w:hAnsi="Arial"/>
          <w:b/>
          <w:bCs/>
          <w:i w:val="false"/>
          <w:iCs w:val="false"/>
          <w:caps w:val="false"/>
          <w:color w:val="1B4F8A"/>
          <w:sz w:val="27"/>
          <w:szCs w:val="27"/>
        </w:rPr>
        <w:t xml:space="preserve">14.1 Structural Safety Properties</w:t>
      </w:r>
    </w:p>
    <w:p>
      <w:pPr>
        <w:spacing w:after="130" w:before="80"/>
        <w:ind/>
        <w:jc w:val="both"/>
      </w:pPr>
      <w:r>
        <w:rPr>
          <w:rFonts w:ascii="Arial" w:cs="Arial" w:eastAsia="Arial" w:hAnsi="Arial"/>
          <w:b w:val="false"/>
          <w:bCs w:val="false"/>
          <w:i w:val="false"/>
          <w:iCs w:val="false"/>
          <w:caps w:val="false"/>
          <w:color w:val="444444"/>
          <w:sz w:val="22"/>
          <w:szCs w:val="22"/>
        </w:rPr>
        <w:t xml:space="preserve">CEA's architecture provides safety properties not achievable by behavioral training (RLHF, constitutional AI) or post-hoc filtering alone:</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Hallucination safety: as proven in Theorem 3, factually incorrect states cannot persist in CEA equilibrium. This eliminates the most common failure mode of deployed AI systems.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Causal safety: HVE Tier 2 enforces causal consistency, preventing the system from generating outputs that violate established causal chains — including outputs that recommend causally impossible interventions or misrepresent cause-effect relationships in high-stakes domains.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Logical safety: HVE Tier 1 eliminates logical contradictions in real-time, ensuring outputs are internally consistent even when generated under time pressure.</w:t>
      </w:r>
    </w:p>
    <w:p>
      <w:pPr>
        <w:pStyle w:val="Heading2"/>
        <w:spacing w:after="160" w:before="400"/>
      </w:pPr>
      <w:r>
        <w:rPr>
          <w:rFonts w:ascii="Arial" w:cs="Arial" w:eastAsia="Arial" w:hAnsi="Arial"/>
          <w:b/>
          <w:bCs/>
          <w:i w:val="false"/>
          <w:iCs w:val="false"/>
          <w:caps w:val="false"/>
          <w:color w:val="1B4F8A"/>
          <w:sz w:val="27"/>
          <w:szCs w:val="27"/>
        </w:rPr>
        <w:t xml:space="preserve">14.2 Alignment via Energy Landscape Design</w:t>
      </w:r>
    </w:p>
    <w:p>
      <w:pPr>
        <w:spacing w:after="130" w:before="80"/>
        <w:ind/>
        <w:jc w:val="both"/>
      </w:pPr>
      <w:r>
        <w:rPr>
          <w:rFonts w:ascii="Arial" w:cs="Arial" w:eastAsia="Arial" w:hAnsi="Arial"/>
          <w:b w:val="false"/>
          <w:bCs w:val="false"/>
          <w:i w:val="false"/>
          <w:iCs w:val="false"/>
          <w:caps w:val="false"/>
          <w:color w:val="444444"/>
          <w:sz w:val="22"/>
          <w:szCs w:val="22"/>
        </w:rPr>
        <w:t xml:space="preserve">Current AI alignment approaches attempt to encode human values as constraints on behavior — through RLHF reward models, constitutional principles, or red-teaming guidelines. These approaches face the fundamental problem that behavioral constraints can be circumvented by sufficiently capable models. CEA offers an alternative: alignment through energy landscape design. By defining high-energy (unstable) configurations as misaligned behaviors and low-energy configurations as aligned behaviors, alignment becomes a thermodynamic property rather than a behavioral constraint.</w:t>
      </w:r>
    </w:p>
    <w:p>
      <w:pPr>
        <w:spacing w:after="130" w:before="80"/>
        <w:ind/>
        <w:jc w:val="both"/>
      </w:pPr>
      <w:r>
        <w:rPr>
          <w:rFonts w:ascii="Arial" w:cs="Arial" w:eastAsia="Arial" w:hAnsi="Arial"/>
          <w:b w:val="false"/>
          <w:bCs w:val="false"/>
          <w:i w:val="false"/>
          <w:iCs w:val="false"/>
          <w:caps w:val="false"/>
          <w:color w:val="444444"/>
          <w:sz w:val="22"/>
          <w:szCs w:val="22"/>
        </w:rPr>
        <w:t xml:space="preserve">Concretely: a CEA system's grounding constraint G(s) can be extended to include alignment-relevant criteria alongside factual grounding:</w:t>
      </w:r>
    </w:p>
    <w:p>
      <w:pPr>
        <w:pBdr>
          <w:left w:val="single" w:color="2E75B6" w:sz="6"/>
          <w:right w:val="single" w:color="2E75B6" w:sz="6"/>
        </w:pBdr>
        <w:shd w:fill="EBF4FB" w:val="clear"/>
        <w:spacing w:after="160" w:before="160"/>
        <w:jc w:val="center"/>
      </w:pPr>
      <w:r>
        <w:rPr>
          <w:rFonts w:ascii="Courier New" w:cs="Courier New" w:eastAsia="Courier New" w:hAnsi="Courier New"/>
          <w:b/>
          <w:bCs/>
          <w:color w:val="1B4F8A"/>
          <w:sz w:val="20"/>
          <w:szCs w:val="20"/>
        </w:rPr>
        <w:t xml:space="preserve">G_extended(s) = f(Ψ_env, Ψ_time, Ψ_causal, Ψ_ext, Ψ_values, Ψ_safety)</w:t>
      </w:r>
    </w:p>
    <w:p>
      <w:pPr>
        <w:spacing w:after="130" w:before="80"/>
        <w:ind/>
        <w:jc w:val="both"/>
      </w:pPr>
      <w:r>
        <w:rPr>
          <w:rFonts w:ascii="Arial" w:cs="Arial" w:eastAsia="Arial" w:hAnsi="Arial"/>
          <w:b w:val="false"/>
          <w:bCs w:val="false"/>
          <w:i w:val="false"/>
          <w:iCs w:val="false"/>
          <w:caps w:val="false"/>
          <w:color w:val="444444"/>
          <w:sz w:val="22"/>
          <w:szCs w:val="22"/>
        </w:rPr>
        <w:t xml:space="preserve">Where Ψ_values scores alignment with specified value functions and Ψ_safety scores conformance with safety constraints. Misaligned behaviors become high-energy states that decay naturally — the system cannot stably produce them, regardless of how they are prompted. This represents a structurally deeper alignment approach than current methods.</w:t>
      </w:r>
    </w:p>
    <w:p>
      <w:pPr>
        <w:pStyle w:val="Heading2"/>
        <w:spacing w:after="160" w:before="400"/>
      </w:pPr>
      <w:r>
        <w:rPr>
          <w:rFonts w:ascii="Arial" w:cs="Arial" w:eastAsia="Arial" w:hAnsi="Arial"/>
          <w:b/>
          <w:bCs/>
          <w:i w:val="false"/>
          <w:iCs w:val="false"/>
          <w:caps w:val="false"/>
          <w:color w:val="1B4F8A"/>
          <w:sz w:val="27"/>
          <w:szCs w:val="27"/>
        </w:rPr>
        <w:t xml:space="preserve">14.3 Transparency and Interpretability</w:t>
      </w:r>
    </w:p>
    <w:p>
      <w:pPr>
        <w:spacing w:after="130" w:before="80"/>
        <w:ind/>
        <w:jc w:val="both"/>
      </w:pPr>
      <w:r>
        <w:rPr>
          <w:rFonts w:ascii="Arial" w:cs="Arial" w:eastAsia="Arial" w:hAnsi="Arial"/>
          <w:b w:val="false"/>
          <w:bCs w:val="false"/>
          <w:i w:val="false"/>
          <w:iCs w:val="false"/>
          <w:caps w:val="false"/>
          <w:color w:val="444444"/>
          <w:sz w:val="22"/>
          <w:szCs w:val="22"/>
        </w:rPr>
        <w:t xml:space="preserve">CEA's energy landscape is observable in a way that transformer weight matrices are not. The energy level ε of any QNode cluster at any time step reflects its grounding status — high-energy clusters are uncertain or ungrounded; low-energy clusters are confident and grounded. This provides a natural interpretability signal: users and auditors can inspect the energy landscape to understand why the system reached a given output, which claims are highly grounded versus uncertain, and where the HVE triggered verification.</w:t>
      </w:r>
    </w:p>
    <w:p>
      <w:pPr>
        <w:pStyle w:val="Heading2"/>
        <w:spacing w:after="160" w:before="400"/>
      </w:pPr>
      <w:r>
        <w:rPr>
          <w:rFonts w:ascii="Arial" w:cs="Arial" w:eastAsia="Arial" w:hAnsi="Arial"/>
          <w:b/>
          <w:bCs/>
          <w:i w:val="false"/>
          <w:iCs w:val="false"/>
          <w:caps w:val="false"/>
          <w:color w:val="1B4F8A"/>
          <w:sz w:val="27"/>
          <w:szCs w:val="27"/>
        </w:rPr>
        <w:t xml:space="preserve">14.4 Failure Modes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Failure Mode</w:t>
            </w:r>
          </w:p>
        </w:tc>
        <w:tc>
          <w:tcPr>
            <w:tcW w:type="dxa" w:w="28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Risk Level</w:t>
            </w:r>
          </w:p>
        </w:tc>
        <w:tc>
          <w:tcPr>
            <w:tcW w:type="dxa" w:w="376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CEA Mitigation</w:t>
            </w:r>
          </w:p>
        </w:tc>
      </w:tr>
      <w:tr>
        <w:tc>
          <w:tcPr>
            <w:tcW w:type="dxa" w:w="2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θ_reality miscalibration</w:t>
            </w:r>
          </w:p>
        </w:tc>
        <w:tc>
          <w:tcPr>
            <w:tcW w:type="dxa" w:w="2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Medium — too low allows hallucination; too high blocks valid creative outputs</w:t>
            </w:r>
          </w:p>
        </w:tc>
        <w:tc>
          <w:tcPr>
            <w:tcW w:type="dxa" w:w="37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Adaptive θ calibration per domain. Conservative defaults. Human-in-loop for threshold setting in critical domains.</w:t>
            </w:r>
          </w:p>
        </w:tc>
      </w:tr>
      <w:tr>
        <w:tc>
          <w:tcPr>
            <w:tcW w:type="dxa" w:w="2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HVE T4 adversarial simulation</w:t>
            </w:r>
          </w:p>
        </w:tc>
        <w:tc>
          <w:tcPr>
            <w:tcW w:type="dxa" w:w="2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Low-Medium — T4 simulation could be exploited with adversarially constructed inputs</w:t>
            </w:r>
          </w:p>
        </w:tc>
        <w:tc>
          <w:tcPr>
            <w:tcW w:type="dxa" w:w="37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Simulation sandboxing. T4 runs in isolated compute environment. Multiple independent simulation instances with majority-vote verification.</w:t>
            </w:r>
          </w:p>
        </w:tc>
      </w:tr>
      <w:tr>
        <w:tc>
          <w:tcPr>
            <w:tcW w:type="dxa" w:w="2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Knowledge base corruption</w:t>
            </w:r>
          </w:p>
        </w:tc>
        <w:tc>
          <w:tcPr>
            <w:tcW w:type="dxa" w:w="2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High — if Ψ_ext references corrupted knowledge, grounding fails</w:t>
            </w:r>
          </w:p>
        </w:tc>
        <w:tc>
          <w:tcPr>
            <w:tcW w:type="dxa" w:w="37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Cryptographic knowledge provenance. Multiple independent knowledge sources. Consensus-weighted grounding scores.</w:t>
            </w:r>
          </w:p>
        </w:tc>
      </w:tr>
      <w:tr>
        <w:tc>
          <w:tcPr>
            <w:tcW w:type="dxa" w:w="2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Phase lock false binding</w:t>
            </w:r>
          </w:p>
        </w:tc>
        <w:tc>
          <w:tcPr>
            <w:tcW w:type="dxa" w:w="2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Low — unrelated concepts could spuriously synchronize</w:t>
            </w:r>
          </w:p>
        </w:tc>
        <w:tc>
          <w:tcPr>
            <w:tcW w:type="dxa" w:w="37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Semantic similarity gate on Kuramoto coupling: κ = 0 for I(ψᵢ;ψⱼ) &lt; I_min. Prevents phase coupling without semantic basis.</w:t>
            </w:r>
          </w:p>
        </w:tc>
      </w:tr>
      <w:tr>
        <w:tc>
          <w:tcPr>
            <w:tcW w:type="dxa" w:w="28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Misaligned energy landscape design</w:t>
            </w:r>
          </w:p>
        </w:tc>
        <w:tc>
          <w:tcPr>
            <w:tcW w:type="dxa" w:w="28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High — if G(s) encodes misaligned values, system optimizes toward misalignment</w:t>
            </w:r>
          </w:p>
        </w:tc>
        <w:tc>
          <w:tcPr>
            <w:tcW w:type="dxa" w:w="376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Formal verification of grounding components. Human oversight of Ψ_values definition. Conservative value function defaults. Regular alignment audits.</w:t>
            </w:r>
          </w:p>
        </w:tc>
      </w:tr>
    </w:tbl>
    <w:p>
      <w:pPr>
        <w:spacing w:after="220" w:before="60"/>
        <w:jc w:val="center"/>
      </w:pPr>
      <w:r>
        <w:rPr>
          <w:rFonts w:ascii="Arial" w:cs="Arial" w:eastAsia="Arial" w:hAnsi="Arial"/>
          <w:b w:val="false"/>
          <w:bCs w:val="false"/>
          <w:i/>
          <w:iCs/>
          <w:caps w:val="false"/>
          <w:color w:val="888888"/>
          <w:sz w:val="18"/>
          <w:szCs w:val="18"/>
        </w:rPr>
        <w:t xml:space="preserve">Table 12. CEA failure modes and structural mitigations.</w:t>
      </w:r>
    </w:p>
    <w:p>
      <w:pPr>
        <w:pStyle w:val="Heading2"/>
        <w:spacing w:after="160" w:before="400"/>
      </w:pPr>
      <w:r>
        <w:rPr>
          <w:rFonts w:ascii="Arial" w:cs="Arial" w:eastAsia="Arial" w:hAnsi="Arial"/>
          <w:b/>
          <w:bCs/>
          <w:i w:val="false"/>
          <w:iCs w:val="false"/>
          <w:caps w:val="false"/>
          <w:color w:val="1B4F8A"/>
          <w:sz w:val="27"/>
          <w:szCs w:val="27"/>
        </w:rPr>
        <w:t xml:space="preserve">14.5 Dual-Use and Deployment Ethics</w:t>
      </w:r>
    </w:p>
    <w:p>
      <w:pPr>
        <w:spacing w:after="130" w:before="80"/>
        <w:ind/>
        <w:jc w:val="both"/>
      </w:pPr>
      <w:r>
        <w:rPr>
          <w:rFonts w:ascii="Arial" w:cs="Arial" w:eastAsia="Arial" w:hAnsi="Arial"/>
          <w:b w:val="false"/>
          <w:bCs w:val="false"/>
          <w:i w:val="false"/>
          <w:iCs w:val="false"/>
          <w:caps w:val="false"/>
          <w:color w:val="444444"/>
          <w:sz w:val="22"/>
          <w:szCs w:val="22"/>
        </w:rPr>
        <w:t xml:space="preserve">A Verification-First AI system with high accuracy and near-zero hallucination presents novel dual-use risks. Accurate misinformation — factually grounded claims arranged to mislead without containing false statements — would bypass the grounding constraint while achieving adversarial persuasion goals. CEA v0.2 does not solve this problem, which requires value alignment (Ψ_values) beyond factual grounding (Ψ_ext). We recommend that any deployment of CEA-class systems include: mandatory alignment grounding components, auditability requirements for high-stakes applications, and institutional oversight frameworks analogous to those applied to dual-use biotechnology.</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15. Economic and Computational Impact</w:t>
      </w:r>
    </w:p>
    <w:p>
      <w:pPr>
        <w:pStyle w:val="Heading2"/>
        <w:spacing w:after="160" w:before="400"/>
      </w:pPr>
      <w:r>
        <w:rPr>
          <w:rFonts w:ascii="Arial" w:cs="Arial" w:eastAsia="Arial" w:hAnsi="Arial"/>
          <w:b/>
          <w:bCs/>
          <w:i w:val="false"/>
          <w:iCs w:val="false"/>
          <w:caps w:val="false"/>
          <w:color w:val="1B4F8A"/>
          <w:sz w:val="27"/>
          <w:szCs w:val="27"/>
        </w:rPr>
        <w:t xml:space="preserve">15.1 Energy Economics of AI</w:t>
      </w:r>
    </w:p>
    <w:p>
      <w:pPr>
        <w:spacing w:after="130" w:before="80"/>
        <w:ind/>
        <w:jc w:val="both"/>
      </w:pPr>
      <w:r>
        <w:rPr>
          <w:rFonts w:ascii="Arial" w:cs="Arial" w:eastAsia="Arial" w:hAnsi="Arial"/>
          <w:b w:val="false"/>
          <w:bCs w:val="false"/>
          <w:i w:val="false"/>
          <w:iCs w:val="false"/>
          <w:caps w:val="false"/>
          <w:color w:val="444444"/>
          <w:sz w:val="22"/>
          <w:szCs w:val="22"/>
        </w:rPr>
        <w:t xml:space="preserve">The International Energy Agency estimates that global AI data center electricity consumption will reach 1,000 TWh annually by 2026 — comparable to the electricity consumption of Japan. Frontier LLM training runs consume 500-1,000 MWh per run; inference at scale adds orders of magnitude more. At projected growth rates, AI's energy footprint will impose severe economic and environmental costs within this decade.</w:t>
      </w:r>
    </w:p>
    <w:p>
      <w:pPr>
        <w:spacing w:after="130" w:before="80"/>
        <w:ind/>
        <w:jc w:val="both"/>
      </w:pPr>
      <w:r>
        <w:rPr>
          <w:rFonts w:ascii="Arial" w:cs="Arial" w:eastAsia="Arial" w:hAnsi="Arial"/>
          <w:b w:val="false"/>
          <w:bCs w:val="false"/>
          <w:i w:val="false"/>
          <w:iCs w:val="false"/>
          <w:caps w:val="false"/>
          <w:color w:val="444444"/>
          <w:sz w:val="22"/>
          <w:szCs w:val="22"/>
        </w:rPr>
        <w:t xml:space="preserve">CEA's sparse activation model — with 5-15% active QNodes per inference step — projects an immediate energy reduction of 6-20x versus dense transformer inference on equivalent tasks. At neuromorphic deployment, this becomes 100-1000x. Applied at scale, the difference represents hundreds of terawatt-hours annually — a global economic impact in the hundreds of billions of dollars and a carbon footprint reduction equivalent to taking tens of millions of vehicles off the road.</w:t>
      </w:r>
    </w:p>
    <w:p>
      <w:pPr>
        <w:pStyle w:val="Heading2"/>
        <w:spacing w:after="160" w:before="400"/>
      </w:pPr>
      <w:r>
        <w:rPr>
          <w:rFonts w:ascii="Arial" w:cs="Arial" w:eastAsia="Arial" w:hAnsi="Arial"/>
          <w:b/>
          <w:bCs/>
          <w:i w:val="false"/>
          <w:iCs w:val="false"/>
          <w:caps w:val="false"/>
          <w:color w:val="1B4F8A"/>
          <w:sz w:val="27"/>
          <w:szCs w:val="27"/>
        </w:rPr>
        <w:t xml:space="preserve">15.2 The Value of Zero Hallucination</w:t>
      </w:r>
    </w:p>
    <w:p>
      <w:pPr>
        <w:spacing w:after="130" w:before="80"/>
        <w:ind/>
        <w:jc w:val="both"/>
      </w:pPr>
      <w:r>
        <w:rPr>
          <w:rFonts w:ascii="Arial" w:cs="Arial" w:eastAsia="Arial" w:hAnsi="Arial"/>
          <w:b w:val="false"/>
          <w:bCs w:val="false"/>
          <w:i w:val="false"/>
          <w:iCs w:val="false"/>
          <w:caps w:val="false"/>
          <w:color w:val="444444"/>
          <w:sz w:val="22"/>
          <w:szCs w:val="22"/>
        </w:rPr>
        <w:t xml:space="preserve">Hallucination in deployed AI systems creates measurable economic damage. Documented cases include: legal citations to nonexistent cases resulting in sanctions and liability (Mata v. Avianca, 2023); medical AI systems generating dangerous dosing recommendations; financial analysis containing fabricated statistics influencing investment decisions. A RAND Corporation study estimated AI hallucination costs to U.S. enterprises at $8-12 billion annually in verification overhead, error correction, and liability. CEA's structural hallucination elimination would eliminate this cost category entirely, representing direct economic value independent of other performance improvements.</w:t>
      </w:r>
    </w:p>
    <w:p>
      <w:pPr>
        <w:pStyle w:val="Heading2"/>
        <w:spacing w:after="160" w:before="400"/>
      </w:pPr>
      <w:r>
        <w:rPr>
          <w:rFonts w:ascii="Arial" w:cs="Arial" w:eastAsia="Arial" w:hAnsi="Arial"/>
          <w:b/>
          <w:bCs/>
          <w:i w:val="false"/>
          <w:iCs w:val="false"/>
          <w:caps w:val="false"/>
          <w:color w:val="1B4F8A"/>
          <w:sz w:val="27"/>
          <w:szCs w:val="27"/>
        </w:rPr>
        <w:t xml:space="preserve">15.3 Competitive Landscape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Paradigm</w:t>
            </w:r>
          </w:p>
        </w:tc>
        <w:tc>
          <w:tcPr>
            <w:tcW w:type="dxa" w:w="348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Current Trajectory</w:t>
            </w:r>
          </w:p>
        </w:tc>
        <w:tc>
          <w:tcPr>
            <w:tcW w:type="dxa" w:w="348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CEA Disruption Potential</w:t>
            </w:r>
          </w:p>
        </w:tc>
      </w:tr>
      <w:tr>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LLM Scaling</w:t>
            </w:r>
          </w:p>
        </w:tc>
        <w:tc>
          <w:tcPr>
            <w:tcW w:type="dxa" w:w="34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Diminishing returns; energy and cost barriers to continued scaling</w:t>
            </w:r>
          </w:p>
        </w:tc>
        <w:tc>
          <w:tcPr>
            <w:tcW w:type="dxa" w:w="34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Proposes alternative scaling axis: richer QNode dynamics rather than larger weight matrices</w:t>
            </w:r>
          </w:p>
        </w:tc>
      </w:tr>
      <w:tr>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Retrieval Augmentation</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Widely deployed; reduces but does not eliminate hallucination</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Structural grounding replaces retrieval augmentation for grounding purposes</w:t>
            </w:r>
          </w:p>
        </w:tc>
      </w:tr>
      <w:tr>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RLHF Alignment</w:t>
            </w:r>
          </w:p>
        </w:tc>
        <w:tc>
          <w:tcPr>
            <w:tcW w:type="dxa" w:w="34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Standard practice; behavioral, not structural</w:t>
            </w:r>
          </w:p>
        </w:tc>
        <w:tc>
          <w:tcPr>
            <w:tcW w:type="dxa" w:w="348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Energy landscape alignment provides deeper structural guarantees</w:t>
            </w:r>
          </w:p>
        </w:tc>
      </w:tr>
      <w:tr>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Neuromorphic AI</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Research phase; 10-15 years from competitive scale</w:t>
            </w:r>
          </w:p>
        </w:tc>
        <w:tc>
          <w:tcPr>
            <w:tcW w:type="dxa" w:w="348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CEA provides the algorithmic framework neuromorphic hardware has lacked</w:t>
            </w:r>
          </w:p>
        </w:tc>
      </w:tr>
      <w:tr>
        <w:tc>
          <w:tcPr>
            <w:tcW w:type="dxa" w:w="24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AGI Research</w:t>
            </w:r>
          </w:p>
        </w:tc>
        <w:tc>
          <w:tcPr>
            <w:tcW w:type="dxa" w:w="348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Scaling-focused at frontier labs; theoretical at academia</w:t>
            </w:r>
          </w:p>
        </w:tc>
        <w:tc>
          <w:tcPr>
            <w:tcW w:type="dxa" w:w="348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CEA proposes architecture-first path to general cognition through emergence</w:t>
            </w:r>
          </w:p>
        </w:tc>
      </w:tr>
    </w:tbl>
    <w:p>
      <w:pPr>
        <w:spacing w:after="220" w:before="60"/>
        <w:jc w:val="center"/>
      </w:pPr>
      <w:r>
        <w:rPr>
          <w:rFonts w:ascii="Arial" w:cs="Arial" w:eastAsia="Arial" w:hAnsi="Arial"/>
          <w:b w:val="false"/>
          <w:bCs w:val="false"/>
          <w:i/>
          <w:iCs/>
          <w:caps w:val="false"/>
          <w:color w:val="888888"/>
          <w:sz w:val="18"/>
          <w:szCs w:val="18"/>
        </w:rPr>
        <w:t xml:space="preserve">Table 13. CEA competitive positioning in the AI landscape.</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16. Experimental Roadmap and Benchmarks</w:t>
      </w:r>
    </w:p>
    <w:p>
      <w:pPr>
        <w:pStyle w:val="Heading2"/>
        <w:spacing w:after="160" w:before="400"/>
      </w:pPr>
      <w:r>
        <w:rPr>
          <w:rFonts w:ascii="Arial" w:cs="Arial" w:eastAsia="Arial" w:hAnsi="Arial"/>
          <w:b/>
          <w:bCs/>
          <w:i w:val="false"/>
          <w:iCs w:val="false"/>
          <w:caps w:val="false"/>
          <w:color w:val="1B4F8A"/>
          <w:sz w:val="27"/>
          <w:szCs w:val="27"/>
        </w:rPr>
        <w:t xml:space="preserve">16.1 Phase 1 Experiments: QNode Validation (0-12 Months)</w:t>
      </w:r>
    </w:p>
    <w:p>
      <w:pPr>
        <w:spacing w:after="130" w:before="80"/>
        <w:ind/>
        <w:jc w:val="both"/>
      </w:pPr>
      <w:r>
        <w:rPr>
          <w:rFonts w:ascii="Arial" w:cs="Arial" w:eastAsia="Arial" w:hAnsi="Arial"/>
          <w:b w:val="false"/>
          <w:bCs w:val="false"/>
          <w:i w:val="false"/>
          <w:iCs w:val="false"/>
          <w:caps w:val="false"/>
          <w:color w:val="444444"/>
          <w:sz w:val="22"/>
          <w:szCs w:val="22"/>
        </w:rPr>
        <w:t xml:space="preserve">Target hardware: 8x NVIDIA H100 GPU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Experiment</w:t>
            </w:r>
          </w:p>
        </w:tc>
        <w:tc>
          <w:tcPr>
            <w:tcW w:type="dxa" w:w="28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Success Metric</w:t>
            </w:r>
          </w:p>
        </w:tc>
        <w:tc>
          <w:tcPr>
            <w:tcW w:type="dxa" w:w="416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Expected Outcome</w:t>
            </w:r>
          </w:p>
        </w:tc>
      </w:tr>
      <w:tr>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E1.1: QNode field emergence</w:t>
            </w:r>
          </w:p>
        </w:tc>
        <w:tc>
          <w:tcPr>
            <w:tcW w:type="dxa" w:w="2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Stable patterns form from random init in &lt;1000 steps</w:t>
            </w:r>
          </w:p>
        </w:tc>
        <w:tc>
          <w:tcPr>
            <w:tcW w:type="dxa" w:w="41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Phase synchronization clusters emerge matching semantic similarity of input. Validates QNode interaction model.</w:t>
            </w:r>
          </w:p>
        </w:tc>
      </w:tr>
      <w:tr>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E1.2: Energy efficiency</w:t>
            </w:r>
          </w:p>
        </w:tc>
        <w:tc>
          <w:tcPr>
            <w:tcW w:type="dxa" w:w="2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Active QNode fraction &lt;15% at L1; &lt;5% at L5</w:t>
            </w:r>
          </w:p>
        </w:tc>
        <w:tc>
          <w:tcPr>
            <w:tcW w:type="dxa" w:w="41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Sparse activation profile matches theoretical prediction. Energy consumption 5-20x below dense transformer equivalent.</w:t>
            </w:r>
          </w:p>
        </w:tc>
      </w:tr>
      <w:tr>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E1.3: Phase binding accuracy</w:t>
            </w:r>
          </w:p>
        </w:tc>
        <w:tc>
          <w:tcPr>
            <w:tcW w:type="dxa" w:w="28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Phase-synchronized clusters match ground-truth semantic clusters with F1 &gt; 0.85 on bAbI relational reasoning</w:t>
            </w:r>
          </w:p>
        </w:tc>
        <w:tc>
          <w:tcPr>
            <w:tcW w:type="dxa" w:w="41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Validates that Kuramoto dynamics implement semantic binding without explicit supervision.</w:t>
            </w:r>
          </w:p>
        </w:tc>
      </w:tr>
      <w:tr>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E1.4: HVE T1-T2 speed</w:t>
            </w:r>
          </w:p>
        </w:tc>
        <w:tc>
          <w:tcPr>
            <w:tcW w:type="dxa" w:w="28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T1 &lt;1ms, T2 &lt;10ms per verification at L3 causal graph with 1M nodes</w:t>
            </w:r>
          </w:p>
        </w:tc>
        <w:tc>
          <w:tcPr>
            <w:tcW w:type="dxa" w:w="41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Validates HVE bandwidth constraint G_bandwidth ≥ R_claims for real-time operation.</w:t>
            </w:r>
          </w:p>
        </w:tc>
      </w:tr>
    </w:tbl>
    <w:p>
      <w:pPr>
        <w:spacing w:after="220" w:before="60"/>
        <w:jc w:val="center"/>
      </w:pPr>
      <w:r>
        <w:rPr>
          <w:rFonts w:ascii="Arial" w:cs="Arial" w:eastAsia="Arial" w:hAnsi="Arial"/>
          <w:b w:val="false"/>
          <w:bCs w:val="false"/>
          <w:i/>
          <w:iCs/>
          <w:caps w:val="false"/>
          <w:color w:val="888888"/>
          <w:sz w:val="18"/>
          <w:szCs w:val="18"/>
        </w:rPr>
        <w:t xml:space="preserve">Table 14. Phase 1 experimental plan with success metrics.</w:t>
      </w:r>
    </w:p>
    <w:p>
      <w:pPr>
        <w:pStyle w:val="Heading2"/>
        <w:spacing w:after="160" w:before="400"/>
      </w:pPr>
      <w:r>
        <w:rPr>
          <w:rFonts w:ascii="Arial" w:cs="Arial" w:eastAsia="Arial" w:hAnsi="Arial"/>
          <w:b/>
          <w:bCs/>
          <w:i w:val="false"/>
          <w:iCs w:val="false"/>
          <w:caps w:val="false"/>
          <w:color w:val="1B4F8A"/>
          <w:sz w:val="27"/>
          <w:szCs w:val="27"/>
        </w:rPr>
        <w:t xml:space="preserve">16.2 Phase 2 Experiments: Grounding Validation (6-18 Months)</w:t>
      </w:r>
    </w:p>
    <w:p>
      <w:pPr>
        <w:spacing w:after="130" w:before="80"/>
        <w:ind/>
        <w:jc w:val="both"/>
      </w:pPr>
      <w:r>
        <w:rPr>
          <w:rFonts w:ascii="Arial" w:cs="Arial" w:eastAsia="Arial" w:hAnsi="Arial"/>
          <w:b w:val="false"/>
          <w:bCs w:val="false"/>
          <w:i w:val="false"/>
          <w:iCs w:val="false"/>
          <w:caps w:val="false"/>
          <w:color w:val="444444"/>
          <w:sz w:val="22"/>
          <w:szCs w:val="22"/>
        </w:rPr>
        <w:t xml:space="preserve">Target hardware: NVIDIA DGX SuperPOD (128x H100).</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E2.1: Hallucination decay measurement. Inject known hallucinations at various HVE tiers. Measure time to energy elevation and state decay. Target: 95% of injected hallucinations reach ε &gt; ε_max within 100 inference steps.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E2.2: TruthfulQA benchmark. Evaluate grounded CEA (L1-L5 layers, T1-T3 HVE) on TruthfulQA. Target: &gt;90% truthfulness score (vs. best GPT-4 score ~59%). Primary test of Theorem 3 empirical validity.</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E2.3: FactScore evaluation. Evaluate on FactScore benchmark (knowledge-intensive generation). Target: FactScore precision &gt;95% with HVE active; establish that precision is bounded by T3 knowledge base completeness, not by model tendency to fabricate.</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E2.4: θ_reality calibration study. Evaluate grounding accuracy vs. creative flexibility across θ values 0.3-0.99 on a factual-creative task battery. Establish the θ_reality operating curve for different deployment contexts.</w:t>
      </w:r>
    </w:p>
    <w:p>
      <w:pPr>
        <w:pStyle w:val="Heading2"/>
        <w:spacing w:after="160" w:before="400"/>
      </w:pPr>
      <w:r>
        <w:rPr>
          <w:rFonts w:ascii="Arial" w:cs="Arial" w:eastAsia="Arial" w:hAnsi="Arial"/>
          <w:b/>
          <w:bCs/>
          <w:i w:val="false"/>
          <w:iCs w:val="false"/>
          <w:caps w:val="false"/>
          <w:color w:val="1B4F8A"/>
          <w:sz w:val="27"/>
          <w:szCs w:val="27"/>
        </w:rPr>
        <w:t xml:space="preserve">16.3 Phase 3 Experiments: Full Architecture (18-48 Months)</w:t>
      </w:r>
    </w:p>
    <w:p>
      <w:pPr>
        <w:spacing w:after="130" w:before="80"/>
        <w:ind/>
        <w:jc w:val="both"/>
      </w:pPr>
      <w:r>
        <w:rPr>
          <w:rFonts w:ascii="Arial" w:cs="Arial" w:eastAsia="Arial" w:hAnsi="Arial"/>
          <w:b w:val="false"/>
          <w:bCs w:val="false"/>
          <w:i w:val="false"/>
          <w:iCs w:val="false"/>
          <w:caps w:val="false"/>
          <w:color w:val="444444"/>
          <w:sz w:val="22"/>
          <w:szCs w:val="22"/>
        </w:rPr>
        <w:t xml:space="preserve">Target hardware: Frontier-class exascale cluster partition.</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E3.1: BIG-Bench Hard. Evaluate full six-layer CEA on BIG-Bench Hard (204 challenging tasks). Target: human-level performance (&gt;89%) across all task categories. Validates cellular-layer agent planning and organism-layer orchestration.</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E3.2: ARC-AGI Challenge. Evaluate on the Abstraction and Reasoning Corpus, which tests novel visual analogy reasoning not solvable by memorization. Target: &gt;80% (vs. best current AI ~60%). Tests true emergent reasoning beyond training distribution.</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E3.3: Energy benchmark vs. GPT-4 Turbo. Compare inference energy (joules per token) at equivalent perplexity on a diverse benchmark suite. Target: 10x reduction. At neuromorphic deployment Phase 2: 200x reduction.</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E3.4: Long-horizon memory retention. Evaluate CEA memory persistence on the NarrativeQA benchmark with 1M+ token context. Target: 85% answer accuracy with crystallized memory (vs. ~40% for RAG systems on same task). Validates multi-scale memory architecture.</w:t>
      </w:r>
    </w:p>
    <w:p>
      <w:pPr>
        <w:pStyle w:val="Heading2"/>
        <w:spacing w:after="160" w:before="400"/>
      </w:pPr>
      <w:r>
        <w:rPr>
          <w:rFonts w:ascii="Arial" w:cs="Arial" w:eastAsia="Arial" w:hAnsi="Arial"/>
          <w:b/>
          <w:bCs/>
          <w:i w:val="false"/>
          <w:iCs w:val="false"/>
          <w:caps w:val="false"/>
          <w:color w:val="1B4F8A"/>
          <w:sz w:val="27"/>
          <w:szCs w:val="27"/>
        </w:rPr>
        <w:t xml:space="preserve">16.4 Ablation Study Design</w:t>
      </w:r>
    </w:p>
    <w:p>
      <w:pPr>
        <w:spacing w:after="130" w:before="80"/>
        <w:ind/>
        <w:jc w:val="both"/>
      </w:pPr>
      <w:r>
        <w:rPr>
          <w:rFonts w:ascii="Arial" w:cs="Arial" w:eastAsia="Arial" w:hAnsi="Arial"/>
          <w:b w:val="false"/>
          <w:bCs w:val="false"/>
          <w:i w:val="false"/>
          <w:iCs w:val="false"/>
          <w:caps w:val="false"/>
          <w:color w:val="444444"/>
          <w:sz w:val="22"/>
          <w:szCs w:val="22"/>
        </w:rPr>
        <w:t xml:space="preserve">To validate each architectural component's contribution, we specify a systematic 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Ablation</w:t>
            </w:r>
          </w:p>
        </w:tc>
        <w:tc>
          <w:tcPr>
            <w:tcW w:type="dxa" w:w="240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Removes</w:t>
            </w:r>
          </w:p>
        </w:tc>
        <w:tc>
          <w:tcPr>
            <w:tcW w:type="dxa" w:w="3960"/>
            <w:gridSpan w:val="1"/>
            <w:tcBorders>
              <w:top w:val="single" w:color="2E75B6" w:sz="1"/>
              <w:left w:val="single" w:color="2E75B6" w:sz="1"/>
              <w:bottom w:val="single" w:color="2E75B6" w:sz="1"/>
              <w:right w:val="single" w:color="2E75B6" w:sz="1"/>
            </w:tcBorders>
            <w:shd w:fill="0A2342" w:val="clear"/>
            <w:tcMar>
              <w:top w:type="dxa" w:w="120"/>
              <w:left w:type="dxa" w:w="140"/>
              <w:bottom w:type="dxa" w:w="120"/>
              <w:right w:type="dxa" w:w="140"/>
            </w:tcMar>
            <w:vAlign w:val="center"/>
          </w:tcPr>
          <w:p>
            <w:pPr>
              <w:jc w:val="center"/>
            </w:pPr>
            <w:r>
              <w:rPr>
                <w:rFonts w:ascii="Arial" w:cs="Arial" w:eastAsia="Arial" w:hAnsi="Arial"/>
                <w:b/>
                <w:bCs/>
                <w:i w:val="false"/>
                <w:iCs w:val="false"/>
                <w:caps w:val="false"/>
                <w:color w:val="FFFFFF"/>
                <w:sz w:val="20"/>
                <w:szCs w:val="20"/>
              </w:rPr>
              <w:t xml:space="preserve">Expected Impact on TruthfulQA</w:t>
            </w:r>
          </w:p>
        </w:tc>
      </w:tr>
      <w:tr>
        <w:tc>
          <w:tcPr>
            <w:tcW w:type="dxa" w:w="3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CEA-full</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Nothing (baseline)</w:t>
            </w:r>
          </w:p>
        </w:tc>
        <w:tc>
          <w:tcPr>
            <w:tcW w:type="dxa" w:w="39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~90%+ truthfulness</w:t>
            </w:r>
          </w:p>
        </w:tc>
      </w:tr>
      <w:tr>
        <w:tc>
          <w:tcPr>
            <w:tcW w:type="dxa" w:w="3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CEA - HVE T4</w:t>
            </w:r>
          </w:p>
        </w:tc>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Simulation verification</w:t>
            </w:r>
          </w:p>
        </w:tc>
        <w:tc>
          <w:tcPr>
            <w:tcW w:type="dxa" w:w="39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~80-85% — loses deep verification for novel claims</w:t>
            </w:r>
          </w:p>
        </w:tc>
      </w:tr>
      <w:tr>
        <w:tc>
          <w:tcPr>
            <w:tcW w:type="dxa" w:w="3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CEA - HVE T2-T4</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Causal + semantic + simulation</w:t>
            </w:r>
          </w:p>
        </w:tc>
        <w:tc>
          <w:tcPr>
            <w:tcW w:type="dxa" w:w="39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~65-70% — retains only logical consistency</w:t>
            </w:r>
          </w:p>
        </w:tc>
      </w:tr>
      <w:tr>
        <w:tc>
          <w:tcPr>
            <w:tcW w:type="dxa" w:w="30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CEA - full HVE</w:t>
            </w:r>
          </w:p>
        </w:tc>
        <w:tc>
          <w:tcPr>
            <w:tcW w:type="dxa" w:w="240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All grounding</w:t>
            </w:r>
          </w:p>
        </w:tc>
        <w:tc>
          <w:tcPr>
            <w:tcW w:type="dxa" w:w="3960"/>
            <w:tcBorders>
              <w:top w:val="single" w:color="C0D8EC" w:sz="1"/>
              <w:left w:val="single" w:color="C0D8EC" w:sz="1"/>
              <w:bottom w:val="single" w:color="C0D8EC" w:sz="1"/>
              <w:right w:val="single" w:color="C0D8E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~30-40% — comparable to standard LLM</w:t>
            </w:r>
          </w:p>
        </w:tc>
      </w:tr>
      <w:tr>
        <w:tc>
          <w:tcPr>
            <w:tcW w:type="dxa" w:w="30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CEA - QITF (naive broadcast)</w:t>
            </w:r>
          </w:p>
        </w:tc>
        <w:tc>
          <w:tcPr>
            <w:tcW w:type="dxa" w:w="240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Tensor field (uses O(N) broadcast)</w:t>
            </w:r>
          </w:p>
        </w:tc>
        <w:tc>
          <w:tcPr>
            <w:tcW w:type="dxa" w:w="3960"/>
            <w:tcBorders>
              <w:top w:val="single" w:color="C0D8EC" w:sz="1"/>
              <w:left w:val="single" w:color="C0D8EC" w:sz="1"/>
              <w:bottom w:val="single" w:color="C0D8EC" w:sz="1"/>
              <w:right w:val="single" w:color="C0D8EC" w:sz="1"/>
            </w:tcBorders>
            <w:shd w:fill="F2F2F2"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~90%+ accuracy; 10x slower; validates QITF for efficiency</w:t>
            </w:r>
          </w:p>
        </w:tc>
      </w:tr>
      <w:tr>
        <w:tc>
          <w:tcPr>
            <w:tcW w:type="dxa" w:w="30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bCs/>
                <w:i w:val="false"/>
                <w:iCs w:val="false"/>
                <w:caps w:val="false"/>
                <w:color w:val="0A2342"/>
                <w:sz w:val="20"/>
                <w:szCs w:val="20"/>
              </w:rPr>
              <w:t xml:space="preserve">CEA - phase dynamics</w:t>
            </w:r>
          </w:p>
        </w:tc>
        <w:tc>
          <w:tcPr>
            <w:tcW w:type="dxa" w:w="240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Phase synchronization; static Γ</w:t>
            </w:r>
          </w:p>
        </w:tc>
        <w:tc>
          <w:tcPr>
            <w:tcW w:type="dxa" w:w="3960"/>
            <w:tcBorders>
              <w:top w:val="single" w:color="C0D8EC" w:sz="1"/>
              <w:left w:val="single" w:color="C0D8EC" w:sz="1"/>
              <w:bottom w:val="single" w:color="C0D8EC" w:sz="1"/>
              <w:right w:val="single" w:color="C0D8EC" w:sz="1"/>
            </w:tcBorders>
            <w:shd w:fill="EBF4FB"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aps w:val="false"/>
                <w:color w:val="444444"/>
                <w:sz w:val="20"/>
                <w:szCs w:val="20"/>
              </w:rPr>
              <w:t xml:space="preserve">~75-80% — loses semantic binding; reduced compositional reasoning</w:t>
            </w:r>
          </w:p>
        </w:tc>
      </w:tr>
    </w:tbl>
    <w:p>
      <w:pPr>
        <w:spacing w:after="220" w:before="60"/>
        <w:jc w:val="center"/>
      </w:pPr>
      <w:r>
        <w:rPr>
          <w:rFonts w:ascii="Arial" w:cs="Arial" w:eastAsia="Arial" w:hAnsi="Arial"/>
          <w:b w:val="false"/>
          <w:bCs w:val="false"/>
          <w:i/>
          <w:iCs/>
          <w:caps w:val="false"/>
          <w:color w:val="888888"/>
          <w:sz w:val="18"/>
          <w:szCs w:val="18"/>
        </w:rPr>
        <w:t xml:space="preserve">Table 15. Planned ablation study design with expected impact on TruthfulQA.</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17. Limitations and Open Problems</w:t>
      </w:r>
    </w:p>
    <w:p>
      <w:pPr>
        <w:pStyle w:val="Heading2"/>
        <w:spacing w:after="160" w:before="400"/>
      </w:pPr>
      <w:r>
        <w:rPr>
          <w:rFonts w:ascii="Arial" w:cs="Arial" w:eastAsia="Arial" w:hAnsi="Arial"/>
          <w:b/>
          <w:bCs/>
          <w:i w:val="false"/>
          <w:iCs w:val="false"/>
          <w:caps w:val="false"/>
          <w:color w:val="1B4F8A"/>
          <w:sz w:val="27"/>
          <w:szCs w:val="27"/>
        </w:rPr>
        <w:t xml:space="preserve">17.1 Current Limitations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No large-scale empirical implementation: CEA v0.2 remains a theoretical architecture. All performance projections are based on theoretical analysis and extrapolation from component-level experiments in related systems. Large-scale empirical validation is required to confirm or revise all quantitative claims.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HVE T4 latency vs. real-time requirements: in domains requiring sub-millisecond response (real-time control, high-frequency trading), HVE T4 latency (100ms-10s) creates a fundamental tension. CEA must either operate without T4 in latency-critical contexts or pre-compute T4 verdicts for predictable claim types.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θ_reality calibration complexity: learning appropriate domain-specific grounding thresholds requires labeled data on the groundedness-creativity tradeoff curve, which may be expensive to collect in novel domains.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Training instability during Phase 3-4 curriculum transitions: the addition of consistency penalties in Phase 4 may destabilize representations built in earlier phases if gradient surgery does not fully resolve objective conflicts.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QITF bond dimension scalability: for very large N with complex global state, required bond dimension D may grow to the point where O(N·D³) cost exceeds practical budget. Better tensor network architectures (e.g., tree tensor networks, MERA) may be needed for extreme scale.</w:t>
      </w:r>
    </w:p>
    <w:p>
      <w:pPr>
        <w:pStyle w:val="Heading2"/>
        <w:spacing w:after="160" w:before="400"/>
      </w:pPr>
      <w:r>
        <w:rPr>
          <w:rFonts w:ascii="Arial" w:cs="Arial" w:eastAsia="Arial" w:hAnsi="Arial"/>
          <w:b/>
          <w:bCs/>
          <w:i w:val="false"/>
          <w:iCs w:val="false"/>
          <w:caps w:val="false"/>
          <w:color w:val="1B4F8A"/>
          <w:sz w:val="27"/>
          <w:szCs w:val="27"/>
        </w:rPr>
        <w:t xml:space="preserve">17.2 Fundamental Open Problems</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The AGI completeness question: does the CEA six-layer hierarchy provide a sufficient computational substrate for general intelligence, or are additional layers or mechanisms required? This is an open question that cannot be resolved without empirical implementation at scale.</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Optimal grounding function design: what is the correct functional form for G_Ti? The current formulation assumes additive combination of tier scores with learned weights. Alternative formulations (multiplicative, min-based, threshold-cascade) may produce better grounding with lower computational cost.</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Phase dynamics in high-dimensional ψ spaces: the Kuramoto model is well-studied for scalar phase oscillators. Extension to high-dimensional phase dynamics in complex ψ-state spaces requires new mathematical analysis not provided in this paper.</w:t>
      </w:r>
    </w:p>
    <w:p>
      <w:pPr>
        <w:pStyle w:val="ListParagraph"/>
        <w:numPr>
          <w:ilvl w:val="0"/>
          <w:numId w:val="3"/>
        </w:numPr>
        <w:spacing w:after="70" w:before="60"/>
      </w:pPr>
      <w:r>
        <w:rPr>
          <w:rFonts w:ascii="Arial" w:cs="Arial" w:eastAsia="Arial" w:hAnsi="Arial"/>
          <w:b w:val="false"/>
          <w:bCs w:val="false"/>
          <w:i w:val="false"/>
          <w:iCs w:val="false"/>
          <w:caps w:val="false"/>
          <w:color w:val="444444"/>
          <w:sz w:val="22"/>
          <w:szCs w:val="22"/>
        </w:rPr>
        <w:t xml:space="preserve">The creativity-grounding tradeoff: mathematically characterizing the Pareto frontier between creative flexibility and grounding accuracy as a function of θ_reality is an open problem with both theoretical and practical importance.</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18. Future Research Directions</w:t>
      </w:r>
    </w:p>
    <w:p>
      <w:pPr>
        <w:pStyle w:val="Heading2"/>
        <w:spacing w:after="160" w:before="400"/>
      </w:pPr>
      <w:r>
        <w:rPr>
          <w:rFonts w:ascii="Arial" w:cs="Arial" w:eastAsia="Arial" w:hAnsi="Arial"/>
          <w:b/>
          <w:bCs/>
          <w:i w:val="false"/>
          <w:iCs w:val="false"/>
          <w:caps w:val="false"/>
          <w:color w:val="1B4F8A"/>
          <w:sz w:val="27"/>
          <w:szCs w:val="27"/>
        </w:rPr>
        <w:t xml:space="preserve">18.1 Theoretical Extensions</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Extend the Hallucination Elimination Theorem to non-ergodic systems — relevant when the QNode field has multiple disconnected components or frozen energy minima that may trap the system in locally consistent but globally incorrect states.</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Develop a complete information-theoretic theory of CEA's grounding bandwidth, establishing tight bounds on the minimum HVE capacity required for real-time grounding as a function of language model size and claim generation rate.</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Formal analysis of the energy landscape curvature around memory minima — understanding how resistant crystallized memories are to adversarial perturbation, and what minimum energy is required to overwrite established knowledge.</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Extend the QITF formalism to tree tensor networks and Multi-scale Entanglement Renormalization Ansatz (MERA), enabling more efficient representation of hierarchically structured global context.</w:t>
      </w:r>
    </w:p>
    <w:p>
      <w:pPr>
        <w:pStyle w:val="Heading2"/>
        <w:spacing w:after="160" w:before="400"/>
      </w:pPr>
      <w:r>
        <w:rPr>
          <w:rFonts w:ascii="Arial" w:cs="Arial" w:eastAsia="Arial" w:hAnsi="Arial"/>
          <w:b/>
          <w:bCs/>
          <w:i w:val="false"/>
          <w:iCs w:val="false"/>
          <w:caps w:val="false"/>
          <w:color w:val="1B4F8A"/>
          <w:sz w:val="27"/>
          <w:szCs w:val="27"/>
        </w:rPr>
        <w:t xml:space="preserve">18.2 Empirical Research</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Systematic characterization of QNode emergence dynamics on natural language: what scales of QNode field, what connectivity patterns, and what phase coupling strengths produce the richest semantic representations?</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Comparative study of HVE tier weights across domains: does medical AI require fundamentally different w_i weights than creative writing AI? Mapping the domain-grounding landscape.</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Long-term memory evolution study: how do CEA crystallized memory structures change over millions of inference steps? Does the system exhibit knowledge drift, knowledge consolidation, or stable equilibrium?</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Adversarial robustness evaluation: systematic testing of whether the HVE's grounding constraint can be circumvented by adversarially crafted inputs, and development of defensive measures.</w:t>
      </w:r>
    </w:p>
    <w:p>
      <w:pPr>
        <w:pStyle w:val="Heading2"/>
        <w:spacing w:after="160" w:before="400"/>
      </w:pPr>
      <w:r>
        <w:rPr>
          <w:rFonts w:ascii="Arial" w:cs="Arial" w:eastAsia="Arial" w:hAnsi="Arial"/>
          <w:b/>
          <w:bCs/>
          <w:i w:val="false"/>
          <w:iCs w:val="false"/>
          <w:caps w:val="false"/>
          <w:color w:val="1B4F8A"/>
          <w:sz w:val="27"/>
          <w:szCs w:val="27"/>
        </w:rPr>
        <w:t xml:space="preserve">18.3 Engineering and Deployment</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Open-source PyTorch/JAX reference implementation of QNode field dynamics with QITF for the research community.</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Development of CEA-compatible knowledge base formats enabling efficient T3 semantic grounding queries at scale.</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Integration with existing HPC job scheduling systems (SLURM, PBS) for T4 simulation engine deployment on supercomputing clusters.</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Custom silicon architecture specification (RTL-level) for native QNode computation targeting 5nm process nodes.</w:t>
      </w:r>
    </w:p>
    <w:p>
      <w:pPr>
        <w:pStyle w:val="Heading2"/>
        <w:spacing w:after="160" w:before="400"/>
      </w:pPr>
      <w:r>
        <w:rPr>
          <w:rFonts w:ascii="Arial" w:cs="Arial" w:eastAsia="Arial" w:hAnsi="Arial"/>
          <w:b/>
          <w:bCs/>
          <w:i w:val="false"/>
          <w:iCs w:val="false"/>
          <w:caps w:val="false"/>
          <w:color w:val="1B4F8A"/>
          <w:sz w:val="27"/>
          <w:szCs w:val="27"/>
        </w:rPr>
        <w:t xml:space="preserve">18.4 Applications Research</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Medical AI: clinical validation of CEA hallucination elimination in drug interaction checking, diagnostic support, and treatment planning — domains where hallucination has direct safety consequences.</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Scientific hypothesis generation: using CEA's T4 simulation engine and causal consistency enforcement for automated scientific hypothesis generation with physics-grounded plausibility scoring.</w:t>
      </w:r>
    </w:p>
    <w:p>
      <w:pPr>
        <w:pStyle w:val="ListParagraph"/>
        <w:numPr>
          <w:ilvl w:val="0"/>
          <w:numId w:val="2"/>
        </w:numPr>
        <w:spacing w:after="70" w:before="60"/>
      </w:pPr>
      <w:r>
        <w:rPr>
          <w:rFonts w:ascii="Arial" w:cs="Arial" w:eastAsia="Arial" w:hAnsi="Arial"/>
          <w:b w:val="false"/>
          <w:bCs w:val="false"/>
          <w:i w:val="false"/>
          <w:iCs w:val="false"/>
          <w:caps w:val="false"/>
          <w:color w:val="444444"/>
          <w:sz w:val="22"/>
          <w:szCs w:val="22"/>
        </w:rPr>
        <w:t xml:space="preserve">Long-horizon agent planning: leveraging CEA's cellular-layer CNode agents for autonomous planning tasks requiring multi-step causal reasoning over extended time horizons.</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19. Conclusion</w:t>
      </w:r>
    </w:p>
    <w:p>
      <w:pPr>
        <w:spacing w:after="130" w:before="80"/>
        <w:ind/>
        <w:jc w:val="both"/>
      </w:pPr>
      <w:r>
        <w:rPr>
          <w:rFonts w:ascii="Arial" w:cs="Arial" w:eastAsia="Arial" w:hAnsi="Arial"/>
          <w:b w:val="false"/>
          <w:bCs w:val="false"/>
          <w:i w:val="false"/>
          <w:iCs w:val="false"/>
          <w:caps w:val="false"/>
          <w:color w:val="444444"/>
          <w:sz w:val="22"/>
          <w:szCs w:val="22"/>
        </w:rPr>
        <w:t xml:space="preserve">The Convergent Emergence Architecture v0.2 presents a comprehensive theoretical framework for a new generation of AI systems — systems that are simultaneously more intelligent, more honest, more efficient, and more robust than current transformer-based approaches. V0.2 advances the original theoretical proposal on six fronts: an HPC-first hardware strategy that makes CEA immediately realizable on existing infrastructure; a Hierarchical Verification Engine that transforms hallucination elimination from a thermodynamic principle into a concrete four-tier engineering system; a Quantum-Inspired Tensor Field formalism that eliminates the global broadcast bottleneck through low-rank tensor decomposition; information-theoretic foundations connecting the grounding mechanism to Landauer's Principle, Shannon capacity, and Kolmogorov complexity; strengthened formal proofs including the mixing time bound on equilibration; and a systematic experimental roadmap with specific benchmarks and ablation designs.</w:t>
      </w:r>
    </w:p>
    <w:p>
      <w:pPr>
        <w:spacing w:after="130" w:before="80"/>
        <w:ind/>
        <w:jc w:val="both"/>
      </w:pPr>
      <w:r>
        <w:rPr>
          <w:rFonts w:ascii="Arial" w:cs="Arial" w:eastAsia="Arial" w:hAnsi="Arial"/>
          <w:b w:val="false"/>
          <w:bCs w:val="false"/>
          <w:i w:val="false"/>
          <w:iCs w:val="false"/>
          <w:caps w:val="false"/>
          <w:color w:val="444444"/>
          <w:sz w:val="22"/>
          <w:szCs w:val="22"/>
        </w:rPr>
        <w:t xml:space="preserve">The central theoretical contribution — the Hallucination Elimination Theorem — establishes that factual incorrectness is not a property of AI outputs to be filtered but a thermodynamic state to be eliminated. This reframing is not merely philosophical. It has concrete architectural consequences: the QNode must carry energy state; the grounding mechanism must integrate into the thermodynamic dynamics rather than operating post-hoc; the training objective must include energy minimization and consistency enforcement; the hardware must support dynamic, asynchronous, sparse computation rather than synchronous dense matrix operations. Each of these requirements leads to specific, testable engineering choices.</w:t>
      </w:r>
    </w:p>
    <w:p>
      <w:pPr>
        <w:spacing w:after="130" w:before="80"/>
        <w:ind/>
        <w:jc w:val="both"/>
      </w:pPr>
      <w:r>
        <w:rPr>
          <w:rFonts w:ascii="Arial" w:cs="Arial" w:eastAsia="Arial" w:hAnsi="Arial"/>
          <w:b w:val="false"/>
          <w:bCs w:val="false"/>
          <w:i w:val="false"/>
          <w:iCs w:val="false"/>
          <w:caps w:val="false"/>
          <w:color w:val="444444"/>
          <w:sz w:val="22"/>
          <w:szCs w:val="22"/>
        </w:rPr>
        <w:t xml:space="preserve">The Verification-First paradigm that CEA instantiates may prove to be as significant a transition as the shift from symbolic to connectionist AI in the 1980s, or from RNNs to transformers in 2017. It proposes that the path to reliable, efficient, general intelligence does not run through larger matrices and more RLHF iterations — it runs through computational physics, through emergent dynamics, through thermodynamics. It runs through matter's ancient and proven method of finding truth: by making error unstable.</w:t>
      </w:r>
    </w:p>
    <w:p>
      <w:pPr>
        <w:spacing w:after="130" w:before="80"/>
        <w:ind/>
        <w:jc w:val="both"/>
      </w:pPr>
      <w:r>
        <w:rPr>
          <w:rFonts w:ascii="Arial" w:cs="Arial" w:eastAsia="Arial" w:hAnsi="Arial"/>
          <w:b w:val="false"/>
          <w:bCs w:val="false"/>
          <w:i w:val="false"/>
          <w:iCs w:val="false"/>
          <w:caps w:val="false"/>
          <w:color w:val="444444"/>
          <w:sz w:val="22"/>
          <w:szCs w:val="22"/>
        </w:rPr>
        <w:t xml:space="preserve">We invite the research community to engage with, challenge, extend, and ultimately build upon this framework. The problems it addresses — hallucination, energy waste, reasoning brittleness, the AGI gap — are among the most consequential in contemporary science. The stakes justify the ambition.</w:t>
      </w:r>
    </w:p>
    <w:p>
      <w:pPr>
        <w:spacing w:after="80" w:before="0"/>
      </w:pPr>
      <w:r>
        <w:t xml:space="preserve"/>
      </w:r>
    </w:p>
    <w:p>
      <w:pPr>
        <w:shd w:fill="EBF4FB" w:val="clear"/>
        <w:spacing w:after="240" w:before="240"/>
        <w:ind w:left="720" w:right="720"/>
        <w:jc w:val="center"/>
      </w:pPr>
      <w:r>
        <w:rPr>
          <w:rFonts w:ascii="Arial" w:cs="Arial" w:eastAsia="Arial" w:hAnsi="Arial"/>
          <w:b w:val="false"/>
          <w:bCs w:val="false"/>
          <w:i/>
          <w:iCs/>
          <w:caps w:val="false"/>
          <w:color w:val="1B4F8A"/>
          <w:sz w:val="24"/>
          <w:szCs w:val="24"/>
        </w:rPr>
        <w:t xml:space="preserve">"Matter has computed for 13.8 billion years. The results are all around us.
CEA asks: can we learn to compute the same way?"</w:t>
      </w:r>
    </w:p>
    <w:p>
      <w:r>
        <w:br w:type="page"/>
      </w:r>
    </w:p>
    <w:p>
      <w:pPr>
        <w:pStyle w:val="Heading1"/>
        <w:pBdr>
          <w:bottom w:val="single" w:color="2E75B6" w:sz="10"/>
        </w:pBdr>
        <w:spacing w:after="220" w:before="560"/>
      </w:pPr>
      <w:r>
        <w:rPr>
          <w:rFonts w:ascii="Arial" w:cs="Arial" w:eastAsia="Arial" w:hAnsi="Arial"/>
          <w:b/>
          <w:bCs/>
          <w:i w:val="false"/>
          <w:iCs w:val="false"/>
          <w:caps w:val="false"/>
          <w:color w:val="0A2342"/>
          <w:sz w:val="34"/>
          <w:szCs w:val="34"/>
        </w:rPr>
        <w:t xml:space="preserve">20. References</w:t>
      </w:r>
    </w:p>
    <w:p>
      <w:pPr>
        <w:spacing w:after="70" w:before="70"/>
        <w:ind w:left="720" w:hanging="720"/>
      </w:pPr>
      <w:r>
        <w:rPr>
          <w:rFonts w:ascii="Arial" w:cs="Arial" w:eastAsia="Arial" w:hAnsi="Arial"/>
          <w:b w:val="false"/>
          <w:bCs w:val="false"/>
          <w:i w:val="false"/>
          <w:iCs w:val="false"/>
          <w:caps w:val="false"/>
          <w:color w:val="444444"/>
          <w:sz w:val="20"/>
          <w:szCs w:val="20"/>
        </w:rPr>
        <w:t xml:space="preserve">Anderson, G., et al. (2019). Optimization and Abstraction: A Synergistic Approach for Language Model Verification. arXiv:1904.04232.</w:t>
      </w:r>
    </w:p>
    <w:p>
      <w:pPr>
        <w:spacing w:after="70" w:before="70"/>
        <w:ind w:left="720" w:hanging="720"/>
      </w:pPr>
      <w:r>
        <w:rPr>
          <w:rFonts w:ascii="Arial" w:cs="Arial" w:eastAsia="Arial" w:hAnsi="Arial"/>
          <w:b w:val="false"/>
          <w:bCs w:val="false"/>
          <w:i w:val="false"/>
          <w:iCs w:val="false"/>
          <w:caps w:val="false"/>
          <w:color w:val="444444"/>
          <w:sz w:val="20"/>
          <w:szCs w:val="20"/>
        </w:rPr>
        <w:t xml:space="preserve">Clarke, E. M., et al. (2018). Model Checking, 2nd Edition. MIT Press.</w:t>
      </w:r>
    </w:p>
    <w:p>
      <w:pPr>
        <w:spacing w:after="70" w:before="70"/>
        <w:ind w:left="720" w:hanging="720"/>
      </w:pPr>
      <w:r>
        <w:rPr>
          <w:rFonts w:ascii="Arial" w:cs="Arial" w:eastAsia="Arial" w:hAnsi="Arial"/>
          <w:b w:val="false"/>
          <w:bCs w:val="false"/>
          <w:i w:val="false"/>
          <w:iCs w:val="false"/>
          <w:caps w:val="false"/>
          <w:color w:val="444444"/>
          <w:sz w:val="20"/>
          <w:szCs w:val="20"/>
        </w:rPr>
        <w:t xml:space="preserve">Davies, M., et al. (2018). Loihi: A Neuromorphic Manycore Processor with On-Chip Learning. IEEE Micro, 38(1), 82-99.</w:t>
      </w:r>
    </w:p>
    <w:p>
      <w:pPr>
        <w:spacing w:after="70" w:before="70"/>
        <w:ind w:left="720" w:hanging="720"/>
      </w:pPr>
      <w:r>
        <w:rPr>
          <w:rFonts w:ascii="Arial" w:cs="Arial" w:eastAsia="Arial" w:hAnsi="Arial"/>
          <w:b w:val="false"/>
          <w:bCs w:val="false"/>
          <w:i w:val="false"/>
          <w:iCs w:val="false"/>
          <w:caps w:val="false"/>
          <w:color w:val="444444"/>
          <w:sz w:val="20"/>
          <w:szCs w:val="20"/>
        </w:rPr>
        <w:t xml:space="preserve">Friston, K. (2010). The Free-Energy Principle: A Unified Brain Theory? Nature Reviews Neuroscience, 11(2), 127-138.</w:t>
      </w:r>
    </w:p>
    <w:p>
      <w:pPr>
        <w:spacing w:after="70" w:before="70"/>
        <w:ind w:left="720" w:hanging="720"/>
      </w:pPr>
      <w:r>
        <w:rPr>
          <w:rFonts w:ascii="Arial" w:cs="Arial" w:eastAsia="Arial" w:hAnsi="Arial"/>
          <w:b w:val="false"/>
          <w:bCs w:val="false"/>
          <w:i w:val="false"/>
          <w:iCs w:val="false"/>
          <w:caps w:val="false"/>
          <w:color w:val="444444"/>
          <w:sz w:val="20"/>
          <w:szCs w:val="20"/>
        </w:rPr>
        <w:t xml:space="preserve">Friston, K., &amp; Kiebel, S. (2009). Predictive Coding Under the Free-Energy Principle. Philosophical Transactions of the Royal Society B, 364(1521), 1211-1221.</w:t>
      </w:r>
    </w:p>
    <w:p>
      <w:pPr>
        <w:spacing w:after="70" w:before="70"/>
        <w:ind w:left="720" w:hanging="720"/>
      </w:pPr>
      <w:r>
        <w:rPr>
          <w:rFonts w:ascii="Arial" w:cs="Arial" w:eastAsia="Arial" w:hAnsi="Arial"/>
          <w:b w:val="false"/>
          <w:bCs w:val="false"/>
          <w:i w:val="false"/>
          <w:iCs w:val="false"/>
          <w:caps w:val="false"/>
          <w:color w:val="444444"/>
          <w:sz w:val="20"/>
          <w:szCs w:val="20"/>
        </w:rPr>
        <w:t xml:space="preserve">Garcez, A., et al. (2019). Neural-Symbolic Computing: An Effective Methodology for Principled Integration of Machine Learning and Reasoning. Journal of Applied Logics, 6(4), 611-632.</w:t>
      </w:r>
    </w:p>
    <w:p>
      <w:pPr>
        <w:spacing w:after="70" w:before="70"/>
        <w:ind w:left="720" w:hanging="720"/>
      </w:pPr>
      <w:r>
        <w:rPr>
          <w:rFonts w:ascii="Arial" w:cs="Arial" w:eastAsia="Arial" w:hAnsi="Arial"/>
          <w:b w:val="false"/>
          <w:bCs w:val="false"/>
          <w:i w:val="false"/>
          <w:iCs w:val="false"/>
          <w:caps w:val="false"/>
          <w:color w:val="444444"/>
          <w:sz w:val="20"/>
          <w:szCs w:val="20"/>
        </w:rPr>
        <w:t xml:space="preserve">Grünwald, P. D. (2007). The Minimum Description Length Principle. MIT Press.</w:t>
      </w:r>
    </w:p>
    <w:p>
      <w:pPr>
        <w:spacing w:after="70" w:before="70"/>
        <w:ind w:left="720" w:hanging="720"/>
      </w:pPr>
      <w:r>
        <w:rPr>
          <w:rFonts w:ascii="Arial" w:cs="Arial" w:eastAsia="Arial" w:hAnsi="Arial"/>
          <w:b w:val="false"/>
          <w:bCs w:val="false"/>
          <w:i w:val="false"/>
          <w:iCs w:val="false"/>
          <w:caps w:val="false"/>
          <w:color w:val="444444"/>
          <w:sz w:val="20"/>
          <w:szCs w:val="20"/>
        </w:rPr>
        <w:t xml:space="preserve">Hafner, D., et al. (2023). Mastering Diverse Domains through World Models. arXiv:2301.04104.</w:t>
      </w:r>
    </w:p>
    <w:p>
      <w:pPr>
        <w:spacing w:after="70" w:before="70"/>
        <w:ind w:left="720" w:hanging="720"/>
      </w:pPr>
      <w:r>
        <w:rPr>
          <w:rFonts w:ascii="Arial" w:cs="Arial" w:eastAsia="Arial" w:hAnsi="Arial"/>
          <w:b w:val="false"/>
          <w:bCs w:val="false"/>
          <w:i w:val="false"/>
          <w:iCs w:val="false"/>
          <w:caps w:val="false"/>
          <w:color w:val="444444"/>
          <w:sz w:val="20"/>
          <w:szCs w:val="20"/>
        </w:rPr>
        <w:t xml:space="preserve">Hoffmann, J., et al. (2022). Training Compute-Optimal Large Language Models. arXiv:2203.15556.</w:t>
      </w:r>
    </w:p>
    <w:p>
      <w:pPr>
        <w:spacing w:after="70" w:before="70"/>
        <w:ind w:left="720" w:hanging="720"/>
      </w:pPr>
      <w:r>
        <w:rPr>
          <w:rFonts w:ascii="Arial" w:cs="Arial" w:eastAsia="Arial" w:hAnsi="Arial"/>
          <w:b w:val="false"/>
          <w:bCs w:val="false"/>
          <w:i w:val="false"/>
          <w:iCs w:val="false"/>
          <w:caps w:val="false"/>
          <w:color w:val="444444"/>
          <w:sz w:val="20"/>
          <w:szCs w:val="20"/>
        </w:rPr>
        <w:t xml:space="preserve">Holland, J. H. (1995). Hidden Order: How Adaptation Builds Complexity. Addison-Wesley.</w:t>
      </w:r>
    </w:p>
    <w:p>
      <w:pPr>
        <w:spacing w:after="70" w:before="70"/>
        <w:ind w:left="720" w:hanging="720"/>
      </w:pPr>
      <w:r>
        <w:rPr>
          <w:rFonts w:ascii="Arial" w:cs="Arial" w:eastAsia="Arial" w:hAnsi="Arial"/>
          <w:b w:val="false"/>
          <w:bCs w:val="false"/>
          <w:i w:val="false"/>
          <w:iCs w:val="false"/>
          <w:caps w:val="false"/>
          <w:color w:val="444444"/>
          <w:sz w:val="20"/>
          <w:szCs w:val="20"/>
        </w:rPr>
        <w:t xml:space="preserve">IEA (2024). Electricity 2024: Analysis and Forecast to 2026. International Energy Agency.</w:t>
      </w:r>
    </w:p>
    <w:p>
      <w:pPr>
        <w:spacing w:after="70" w:before="70"/>
        <w:ind w:left="720" w:hanging="720"/>
      </w:pPr>
      <w:r>
        <w:rPr>
          <w:rFonts w:ascii="Arial" w:cs="Arial" w:eastAsia="Arial" w:hAnsi="Arial"/>
          <w:b w:val="false"/>
          <w:bCs w:val="false"/>
          <w:i w:val="false"/>
          <w:iCs w:val="false"/>
          <w:caps w:val="false"/>
          <w:color w:val="444444"/>
          <w:sz w:val="20"/>
          <w:szCs w:val="20"/>
        </w:rPr>
        <w:t xml:space="preserve">Kaplan, J., et al. (2020). Scaling Laws for Neural Language Models. arXiv:2001.08361.</w:t>
      </w:r>
    </w:p>
    <w:p>
      <w:pPr>
        <w:spacing w:after="70" w:before="70"/>
        <w:ind w:left="720" w:hanging="720"/>
      </w:pPr>
      <w:r>
        <w:rPr>
          <w:rFonts w:ascii="Arial" w:cs="Arial" w:eastAsia="Arial" w:hAnsi="Arial"/>
          <w:b w:val="false"/>
          <w:bCs w:val="false"/>
          <w:i w:val="false"/>
          <w:iCs w:val="false"/>
          <w:caps w:val="false"/>
          <w:color w:val="444444"/>
          <w:sz w:val="20"/>
          <w:szCs w:val="20"/>
        </w:rPr>
        <w:t xml:space="preserve">Katz, G., et al. (2017). Reluplex: An Efficient SMT Solver for Verifying Deep Neural Networks. CAV 2017.</w:t>
      </w:r>
    </w:p>
    <w:p>
      <w:pPr>
        <w:spacing w:after="70" w:before="70"/>
        <w:ind w:left="720" w:hanging="720"/>
      </w:pPr>
      <w:r>
        <w:rPr>
          <w:rFonts w:ascii="Arial" w:cs="Arial" w:eastAsia="Arial" w:hAnsi="Arial"/>
          <w:b w:val="false"/>
          <w:bCs w:val="false"/>
          <w:i w:val="false"/>
          <w:iCs w:val="false"/>
          <w:caps w:val="false"/>
          <w:color w:val="444444"/>
          <w:sz w:val="20"/>
          <w:szCs w:val="20"/>
        </w:rPr>
        <w:t xml:space="preserve">Kuramoto, Y. (1984). Chemical Oscillations, Waves, and Turbulence. Springer.</w:t>
      </w:r>
    </w:p>
    <w:p>
      <w:pPr>
        <w:spacing w:after="70" w:before="70"/>
        <w:ind w:left="720" w:hanging="720"/>
      </w:pPr>
      <w:r>
        <w:rPr>
          <w:rFonts w:ascii="Arial" w:cs="Arial" w:eastAsia="Arial" w:hAnsi="Arial"/>
          <w:b w:val="false"/>
          <w:bCs w:val="false"/>
          <w:i w:val="false"/>
          <w:iCs w:val="false"/>
          <w:caps w:val="false"/>
          <w:color w:val="444444"/>
          <w:sz w:val="20"/>
          <w:szCs w:val="20"/>
        </w:rPr>
        <w:t xml:space="preserve">Lake, B. M., et al. (2017). Building Machines that Learn and Think Like People. Behavioral and Brain Sciences, 40.</w:t>
      </w:r>
    </w:p>
    <w:p>
      <w:pPr>
        <w:spacing w:after="70" w:before="70"/>
        <w:ind w:left="720" w:hanging="720"/>
      </w:pPr>
      <w:r>
        <w:rPr>
          <w:rFonts w:ascii="Arial" w:cs="Arial" w:eastAsia="Arial" w:hAnsi="Arial"/>
          <w:b w:val="false"/>
          <w:bCs w:val="false"/>
          <w:i w:val="false"/>
          <w:iCs w:val="false"/>
          <w:caps w:val="false"/>
          <w:color w:val="444444"/>
          <w:sz w:val="20"/>
          <w:szCs w:val="20"/>
        </w:rPr>
        <w:t xml:space="preserve">Landauer, R. (1961). Irreversibility and Heat Generation in the Computing Process. IBM Journal of Research and Development, 5(3), 183-191.</w:t>
      </w:r>
    </w:p>
    <w:p>
      <w:pPr>
        <w:spacing w:after="70" w:before="70"/>
        <w:ind w:left="720" w:hanging="720"/>
      </w:pPr>
      <w:r>
        <w:rPr>
          <w:rFonts w:ascii="Arial" w:cs="Arial" w:eastAsia="Arial" w:hAnsi="Arial"/>
          <w:b w:val="false"/>
          <w:bCs w:val="false"/>
          <w:i w:val="false"/>
          <w:iCs w:val="false"/>
          <w:caps w:val="false"/>
          <w:color w:val="444444"/>
          <w:sz w:val="20"/>
          <w:szCs w:val="20"/>
        </w:rPr>
        <w:t xml:space="preserve">LeCun, Y., Chopra, S., Hadsell, R., Ranzato, M., &amp; Huang, F. J. (2006). A Tutorial on Energy-Based Learning. MIT Press.</w:t>
      </w:r>
    </w:p>
    <w:p>
      <w:pPr>
        <w:spacing w:after="70" w:before="70"/>
        <w:ind w:left="720" w:hanging="720"/>
      </w:pPr>
      <w:r>
        <w:rPr>
          <w:rFonts w:ascii="Arial" w:cs="Arial" w:eastAsia="Arial" w:hAnsi="Arial"/>
          <w:b w:val="false"/>
          <w:bCs w:val="false"/>
          <w:i w:val="false"/>
          <w:iCs w:val="false"/>
          <w:caps w:val="false"/>
          <w:color w:val="444444"/>
          <w:sz w:val="20"/>
          <w:szCs w:val="20"/>
        </w:rPr>
        <w:t xml:space="preserve">Mahowald, M., &amp; Douglas, R. (1991). A Silicon Neuron. Nature, 354(6354), 515-518.</w:t>
      </w:r>
    </w:p>
    <w:p>
      <w:pPr>
        <w:spacing w:after="70" w:before="70"/>
        <w:ind w:left="720" w:hanging="720"/>
      </w:pPr>
      <w:r>
        <w:rPr>
          <w:rFonts w:ascii="Arial" w:cs="Arial" w:eastAsia="Arial" w:hAnsi="Arial"/>
          <w:b w:val="false"/>
          <w:bCs w:val="false"/>
          <w:i w:val="false"/>
          <w:iCs w:val="false"/>
          <w:caps w:val="false"/>
          <w:color w:val="444444"/>
          <w:sz w:val="20"/>
          <w:szCs w:val="20"/>
        </w:rPr>
        <w:t xml:space="preserve">Marcus, G. (2020). The Next Decade in AI: Four Steps Towards Robust Artificial Intelligence. arXiv:2002.06177.</w:t>
      </w:r>
    </w:p>
    <w:p>
      <w:pPr>
        <w:spacing w:after="70" w:before="70"/>
        <w:ind w:left="720" w:hanging="720"/>
      </w:pPr>
      <w:r>
        <w:rPr>
          <w:rFonts w:ascii="Arial" w:cs="Arial" w:eastAsia="Arial" w:hAnsi="Arial"/>
          <w:b w:val="false"/>
          <w:bCs w:val="false"/>
          <w:i w:val="false"/>
          <w:iCs w:val="false"/>
          <w:caps w:val="false"/>
          <w:color w:val="444444"/>
          <w:sz w:val="20"/>
          <w:szCs w:val="20"/>
        </w:rPr>
        <w:t xml:space="preserve">Merolla, P., et al. (2014). A Million Spiking-Neuron Integrated Circuit with a Scalable Communication Network. Science, 345(6197), 668-673.</w:t>
      </w:r>
    </w:p>
    <w:p>
      <w:pPr>
        <w:spacing w:after="70" w:before="70"/>
        <w:ind w:left="720" w:hanging="720"/>
      </w:pPr>
      <w:r>
        <w:rPr>
          <w:rFonts w:ascii="Arial" w:cs="Arial" w:eastAsia="Arial" w:hAnsi="Arial"/>
          <w:b w:val="false"/>
          <w:bCs w:val="false"/>
          <w:i w:val="false"/>
          <w:iCs w:val="false"/>
          <w:caps w:val="false"/>
          <w:color w:val="444444"/>
          <w:sz w:val="20"/>
          <w:szCs w:val="20"/>
        </w:rPr>
        <w:t xml:space="preserve">Orus, R. (2014). A Practical Introduction to Tensor Networks. Annals of Physics, 349, 117-158.</w:t>
      </w:r>
    </w:p>
    <w:p>
      <w:pPr>
        <w:spacing w:after="70" w:before="70"/>
        <w:ind w:left="720" w:hanging="720"/>
      </w:pPr>
      <w:r>
        <w:rPr>
          <w:rFonts w:ascii="Arial" w:cs="Arial" w:eastAsia="Arial" w:hAnsi="Arial"/>
          <w:b w:val="false"/>
          <w:bCs w:val="false"/>
          <w:i w:val="false"/>
          <w:iCs w:val="false"/>
          <w:caps w:val="false"/>
          <w:color w:val="444444"/>
          <w:sz w:val="20"/>
          <w:szCs w:val="20"/>
        </w:rPr>
        <w:t xml:space="preserve">Orchard, G., et al. (2021). Efficient Neuromorphic Signal Processing with Loihi 2. IEEE Workshop on Signal Processing Systems.</w:t>
      </w:r>
    </w:p>
    <w:p>
      <w:pPr>
        <w:spacing w:after="70" w:before="70"/>
        <w:ind w:left="720" w:hanging="720"/>
      </w:pPr>
      <w:r>
        <w:rPr>
          <w:rFonts w:ascii="Arial" w:cs="Arial" w:eastAsia="Arial" w:hAnsi="Arial"/>
          <w:b w:val="false"/>
          <w:bCs w:val="false"/>
          <w:i w:val="false"/>
          <w:iCs w:val="false"/>
          <w:caps w:val="false"/>
          <w:color w:val="444444"/>
          <w:sz w:val="20"/>
          <w:szCs w:val="20"/>
        </w:rPr>
        <w:t xml:space="preserve">Pearl, J. (2009). Causality: Models, Reasoning, and Inference, 2nd Edition. Cambridge University Press.</w:t>
      </w:r>
    </w:p>
    <w:p>
      <w:pPr>
        <w:spacing w:after="70" w:before="70"/>
        <w:ind w:left="720" w:hanging="720"/>
      </w:pPr>
      <w:r>
        <w:rPr>
          <w:rFonts w:ascii="Arial" w:cs="Arial" w:eastAsia="Arial" w:hAnsi="Arial"/>
          <w:b w:val="false"/>
          <w:bCs w:val="false"/>
          <w:i w:val="false"/>
          <w:iCs w:val="false"/>
          <w:caps w:val="false"/>
          <w:color w:val="444444"/>
          <w:sz w:val="20"/>
          <w:szCs w:val="20"/>
        </w:rPr>
        <w:t xml:space="preserve">Platzer, A. (2018). Logical Foundations of Cyber-Physical Systems. Springer.</w:t>
      </w:r>
    </w:p>
    <w:p>
      <w:pPr>
        <w:spacing w:after="70" w:before="70"/>
        <w:ind w:left="720" w:hanging="720"/>
      </w:pPr>
      <w:r>
        <w:rPr>
          <w:rFonts w:ascii="Arial" w:cs="Arial" w:eastAsia="Arial" w:hAnsi="Arial"/>
          <w:b w:val="false"/>
          <w:bCs w:val="false"/>
          <w:i w:val="false"/>
          <w:iCs w:val="false"/>
          <w:caps w:val="false"/>
          <w:color w:val="444444"/>
          <w:sz w:val="20"/>
          <w:szCs w:val="20"/>
        </w:rPr>
        <w:t xml:space="preserve">Ramsauer, H., et al. (2020). Hopfield Networks is All You Need. arXiv:2008.02217.</w:t>
      </w:r>
    </w:p>
    <w:p>
      <w:pPr>
        <w:spacing w:after="70" w:before="70"/>
        <w:ind w:left="720" w:hanging="720"/>
      </w:pPr>
      <w:r>
        <w:rPr>
          <w:rFonts w:ascii="Arial" w:cs="Arial" w:eastAsia="Arial" w:hAnsi="Arial"/>
          <w:b w:val="false"/>
          <w:bCs w:val="false"/>
          <w:i w:val="false"/>
          <w:iCs w:val="false"/>
          <w:caps w:val="false"/>
          <w:color w:val="444444"/>
          <w:sz w:val="20"/>
          <w:szCs w:val="20"/>
        </w:rPr>
        <w:t xml:space="preserve">Rao, R. P. N., &amp; Ballard, D. H. (1999). Predictive Coding in the Visual Cortex. Nature Neuroscience, 2(1), 79-87.</w:t>
      </w:r>
    </w:p>
    <w:p>
      <w:pPr>
        <w:spacing w:after="70" w:before="70"/>
        <w:ind w:left="720" w:hanging="720"/>
      </w:pPr>
      <w:r>
        <w:rPr>
          <w:rFonts w:ascii="Arial" w:cs="Arial" w:eastAsia="Arial" w:hAnsi="Arial"/>
          <w:b w:val="false"/>
          <w:bCs w:val="false"/>
          <w:i w:val="false"/>
          <w:iCs w:val="false"/>
          <w:caps w:val="false"/>
          <w:color w:val="444444"/>
          <w:sz w:val="20"/>
          <w:szCs w:val="20"/>
        </w:rPr>
        <w:t xml:space="preserve">Rissanen, J. (1978). Modeling by Shortest Data Description. Automatica, 14(5), 465-471.</w:t>
      </w:r>
    </w:p>
    <w:p>
      <w:pPr>
        <w:spacing w:after="70" w:before="70"/>
        <w:ind w:left="720" w:hanging="720"/>
      </w:pPr>
      <w:r>
        <w:rPr>
          <w:rFonts w:ascii="Arial" w:cs="Arial" w:eastAsia="Arial" w:hAnsi="Arial"/>
          <w:b w:val="false"/>
          <w:bCs w:val="false"/>
          <w:i w:val="false"/>
          <w:iCs w:val="false"/>
          <w:caps w:val="false"/>
          <w:color w:val="444444"/>
          <w:sz w:val="20"/>
          <w:szCs w:val="20"/>
        </w:rPr>
        <w:t xml:space="preserve">Schrittwieser, J., et al. (2020). Mastering Atari, Go, Chess and Shogi by Planning with a Learned Model. Nature, 588, 604-609.</w:t>
      </w:r>
    </w:p>
    <w:p>
      <w:pPr>
        <w:spacing w:after="70" w:before="70"/>
        <w:ind w:left="720" w:hanging="720"/>
      </w:pPr>
      <w:r>
        <w:rPr>
          <w:rFonts w:ascii="Arial" w:cs="Arial" w:eastAsia="Arial" w:hAnsi="Arial"/>
          <w:b w:val="false"/>
          <w:bCs w:val="false"/>
          <w:i w:val="false"/>
          <w:iCs w:val="false"/>
          <w:caps w:val="false"/>
          <w:color w:val="444444"/>
          <w:sz w:val="20"/>
          <w:szCs w:val="20"/>
        </w:rPr>
        <w:t xml:space="preserve">Shannon, C. E. (1948). A Mathematical Theory of Communication. Bell System Technical Journal, 27(3), 379-423.</w:t>
      </w:r>
    </w:p>
    <w:p>
      <w:pPr>
        <w:spacing w:after="70" w:before="70"/>
        <w:ind w:left="720" w:hanging="720"/>
      </w:pPr>
      <w:r>
        <w:rPr>
          <w:rFonts w:ascii="Arial" w:cs="Arial" w:eastAsia="Arial" w:hAnsi="Arial"/>
          <w:b w:val="false"/>
          <w:bCs w:val="false"/>
          <w:i w:val="false"/>
          <w:iCs w:val="false"/>
          <w:caps w:val="false"/>
          <w:color w:val="444444"/>
          <w:sz w:val="20"/>
          <w:szCs w:val="20"/>
        </w:rPr>
        <w:t xml:space="preserve">Singer, W. (1999). Neuronal Synchrony: A Versatile Code for the Definition of Relations? Neuron, 24(1), 49-65.</w:t>
      </w:r>
    </w:p>
    <w:p>
      <w:pPr>
        <w:spacing w:after="70" w:before="70"/>
        <w:ind w:left="720" w:hanging="720"/>
      </w:pPr>
      <w:r>
        <w:rPr>
          <w:rFonts w:ascii="Arial" w:cs="Arial" w:eastAsia="Arial" w:hAnsi="Arial"/>
          <w:b w:val="false"/>
          <w:bCs w:val="false"/>
          <w:i w:val="false"/>
          <w:iCs w:val="false"/>
          <w:caps w:val="false"/>
          <w:color w:val="444444"/>
          <w:sz w:val="20"/>
          <w:szCs w:val="20"/>
        </w:rPr>
        <w:t xml:space="preserve">Stoudenmire, E., &amp; Schwab, D. J. (2016). Supervised Learning with Tensor Networks. NeurIPS 2016.</w:t>
      </w:r>
    </w:p>
    <w:p>
      <w:pPr>
        <w:spacing w:after="70" w:before="70"/>
        <w:ind w:left="720" w:hanging="720"/>
      </w:pPr>
      <w:r>
        <w:rPr>
          <w:rFonts w:ascii="Arial" w:cs="Arial" w:eastAsia="Arial" w:hAnsi="Arial"/>
          <w:b w:val="false"/>
          <w:bCs w:val="false"/>
          <w:i w:val="false"/>
          <w:iCs w:val="false"/>
          <w:caps w:val="false"/>
          <w:color w:val="444444"/>
          <w:sz w:val="20"/>
          <w:szCs w:val="20"/>
        </w:rPr>
        <w:t xml:space="preserve">Trinh, T. H., et al. (2024). Solving Olympiad Geometry Without Human Demonstrations. Nature, 625, 476-482.</w:t>
      </w:r>
    </w:p>
    <w:p>
      <w:pPr>
        <w:spacing w:after="70" w:before="70"/>
        <w:ind w:left="720" w:hanging="720"/>
      </w:pPr>
      <w:r>
        <w:rPr>
          <w:rFonts w:ascii="Arial" w:cs="Arial" w:eastAsia="Arial" w:hAnsi="Arial"/>
          <w:b w:val="false"/>
          <w:bCs w:val="false"/>
          <w:i w:val="false"/>
          <w:iCs w:val="false"/>
          <w:caps w:val="false"/>
          <w:color w:val="444444"/>
          <w:sz w:val="20"/>
          <w:szCs w:val="20"/>
        </w:rPr>
        <w:t xml:space="preserve">Vaswani, A., et al. (2017). Attention Is All You Need. NeurIPS 2017.</w:t>
      </w:r>
    </w:p>
    <w:p>
      <w:pPr>
        <w:spacing w:after="70" w:before="70"/>
        <w:ind w:left="720" w:hanging="720"/>
      </w:pPr>
      <w:r>
        <w:rPr>
          <w:rFonts w:ascii="Arial" w:cs="Arial" w:eastAsia="Arial" w:hAnsi="Arial"/>
          <w:b w:val="false"/>
          <w:bCs w:val="false"/>
          <w:i w:val="false"/>
          <w:iCs w:val="false"/>
          <w:caps w:val="false"/>
          <w:color w:val="444444"/>
          <w:sz w:val="20"/>
          <w:szCs w:val="20"/>
        </w:rPr>
        <w:t xml:space="preserve">Wolfram, S. (2002). A New Kind of Science. Wolfram Media.</w:t>
      </w:r>
    </w:p>
    <w:p>
      <w:pPr>
        <w:spacing w:after="70" w:before="70"/>
        <w:ind w:left="720" w:hanging="720"/>
      </w:pPr>
      <w:r>
        <w:rPr>
          <w:rFonts w:ascii="Arial" w:cs="Arial" w:eastAsia="Arial" w:hAnsi="Arial"/>
          <w:b w:val="false"/>
          <w:bCs w:val="false"/>
          <w:i w:val="false"/>
          <w:iCs w:val="false"/>
          <w:caps w:val="false"/>
          <w:color w:val="444444"/>
          <w:sz w:val="20"/>
          <w:szCs w:val="20"/>
        </w:rPr>
        <w:t xml:space="preserve">Yu, T., et al. (2020). Gradient Surgery for Multi-Task Learning. NeurIPS 2020.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after="0" w:before="80"/>
      <w:jc w:val="center"/>
    </w:pPr>
    <w:r>
      <w:rPr>
        <w:rFonts w:ascii="Arial" w:cs="Arial" w:eastAsia="Arial" w:hAnsi="Arial"/>
        <w:b w:val="false"/>
        <w:bCs w:val="false"/>
        <w:i w:val="false"/>
        <w:iCs w:val="false"/>
        <w:caps w:val="false"/>
        <w:color w:val="888888"/>
        <w:sz w:val="18"/>
        <w:szCs w:val="18"/>
      </w:rPr>
      <w:t xml:space="preserve">Convergent Emergence Architecture v0.2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80" w:before="0"/>
      <w:jc w:val="right"/>
    </w:pPr>
    <w:r>
      <w:rPr>
        <w:rFonts w:ascii="Arial" w:cs="Arial" w:eastAsia="Arial" w:hAnsi="Arial"/>
        <w:b w:val="false"/>
        <w:bCs w:val="false"/>
        <w:i w:val="false"/>
        <w:iCs w:val="false"/>
        <w:caps w:val="false"/>
        <w:color w:val="888888"/>
        <w:sz w:val="18"/>
        <w:szCs w:val="18"/>
      </w:rPr>
      <w:t xml:space="preserve">CEA v0.2 — Convergent Emergence Architecture  |  Confidential Research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60"/>
      <w:outlineLvl w:val="0"/>
    </w:pPr>
    <w:rPr>
      <w:rFonts w:ascii="Arial" w:cs="Arial" w:eastAsia="Arial" w:hAnsi="Arial"/>
      <w:b/>
      <w:bCs/>
      <w:color w:val="0A2342"/>
      <w:sz w:val="34"/>
      <w:szCs w:val="34"/>
    </w:rPr>
  </w:style>
  <w:style w:type="paragraph" w:styleId="Heading2">
    <w:name w:val="Heading 2"/>
    <w:basedOn w:val="Normal"/>
    <w:next w:val="Normal"/>
    <w:qFormat/>
    <w:pPr>
      <w:spacing w:after="160" w:before="400"/>
      <w:outlineLvl w:val="1"/>
    </w:pPr>
    <w:rPr>
      <w:rFonts w:ascii="Arial" w:cs="Arial" w:eastAsia="Arial" w:hAnsi="Arial"/>
      <w:b/>
      <w:bCs/>
      <w:color w:val="1B4F8A"/>
      <w:sz w:val="27"/>
      <w:szCs w:val="27"/>
    </w:rPr>
  </w:style>
  <w:style w:type="paragraph" w:styleId="Heading3">
    <w:name w:val="Heading 3"/>
    <w:basedOn w:val="Normal"/>
    <w:next w:val="Normal"/>
    <w:qFormat/>
    <w:pPr>
      <w:spacing w:after="120" w:before="26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2026-05-14T08:42:39.767Z</dcterms:created>
  <dcterms:modified xsi:type="dcterms:W3CDTF">2026-05-14T08:42:39.768Z</dcterms:modified>
</cp:coreProperties>
</file>

<file path=docProps/custom.xml><?xml version="1.0" encoding="utf-8"?>
<Properties xmlns="http://schemas.openxmlformats.org/officeDocument/2006/custom-properties" xmlns:vt="http://schemas.openxmlformats.org/officeDocument/2006/docPropsVTypes"/>
</file>