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1D3A5F"/>
          <w:sz w:val="48"/>
          <w:szCs w:val="48"/>
        </w:rPr>
        <w:t xml:space="preserve">CONVERGENT EMERGENCE ARCHITECTURE</w:t>
      </w:r>
    </w:p>
    <w:p>
      <w:pPr>
        <w:spacing w:after="80" w:before="0"/>
        <w:jc w:val="center"/>
      </w:pPr>
      <w:r>
        <w:rPr>
          <w:rFonts w:ascii="Calibri" w:cs="Calibri" w:eastAsia="Calibri" w:hAnsi="Calibri"/>
          <w:i/>
          <w:iCs/>
          <w:color w:val="2B5282"/>
          <w:sz w:val="28"/>
          <w:szCs w:val="28"/>
        </w:rPr>
        <w:t xml:space="preserve">v0.3-alpha  |  Verification-First Energy-Based Reasoning Edition</w:t>
      </w:r>
    </w:p>
    <w:p>
      <w:pPr>
        <w:spacing w:after="80" w:before="0"/>
        <w:jc w:val="center"/>
      </w:pPr>
      <w:r>
        <w:rPr>
          <w:rFonts w:ascii="Calibri" w:cs="Calibri" w:eastAsia="Calibri" w:hAnsi="Calibri"/>
          <w:i/>
          <w:iCs/>
          <w:color w:val="555555"/>
          <w:sz w:val="24"/>
          <w:szCs w:val="24"/>
        </w:rPr>
        <w:t xml:space="preserve">A Theoretical Framework for Energy-Grounded, Verification-First Machine Reasoning</w:t>
      </w:r>
    </w:p>
    <w:p>
      <w:pPr>
        <w:spacing w:after="80" w:before="0"/>
        <w:jc w:val="center"/>
      </w:pPr>
      <w:r>
        <w:rPr>
          <w:rFonts w:ascii="Calibri" w:cs="Calibri" w:eastAsia="Calibri" w:hAnsi="Calibri"/>
          <w:i/>
          <w:iCs/>
          <w:color w:val="777777"/>
          <w:sz w:val="22"/>
          <w:szCs w:val="22"/>
        </w:rPr>
        <w:t xml:space="preserve">Grounded in Physics, Thermodynamics, Information Theory, and Biological Plausibility</w:t>
      </w:r>
    </w:p>
    <w:p>
      <w:pPr>
        <w:pBdr>
          <w:bottom w:val="single" w:color="2B5282" w:sz="6" w:space="1"/>
        </w:pBdr>
        <w:spacing w:after="200" w:before="200"/>
      </w:pPr>
      <w:r>
        <w:rPr>
          <w:rFonts w:ascii="Calibri" w:cs="Calibri" w:eastAsia="Calibri" w:hAnsi="Calibri"/>
          <w:sz w:val="22"/>
          <w:szCs w:val="22"/>
        </w:rPr>
        <w:t xml:space="preserve"/>
      </w:r>
    </w:p>
    <w:p>
      <w:pPr>
        <w:spacing w:after="80" w:before="0"/>
        <w:jc w:val="center"/>
      </w:pPr>
      <w:r>
        <w:rPr>
          <w:rFonts w:ascii="Calibri" w:cs="Calibri" w:eastAsia="Calibri" w:hAnsi="Calibri"/>
          <w:b/>
          <w:bCs/>
          <w:color w:val="1D3A5F"/>
          <w:sz w:val="24"/>
          <w:szCs w:val="24"/>
        </w:rPr>
        <w:t xml:space="preserve">TECHNICAL RESEARCH PAPER</w:t>
      </w:r>
    </w:p>
    <w:p>
      <w:pPr>
        <w:spacing w:after="240" w:before="0"/>
        <w:jc w:val="center"/>
      </w:pPr>
      <w:r>
        <w:rPr>
          <w:rFonts w:ascii="Calibri" w:cs="Calibri" w:eastAsia="Calibri" w:hAnsi="Calibri"/>
          <w:color w:val="555555"/>
          <w:sz w:val="22"/>
          <w:szCs w:val="22"/>
        </w:rPr>
        <w:t xml:space="preserve">Version 0.3 Alpha  |  2025  |  Classification: Open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6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v0.1-alpha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2025 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Initial theoretical framework: six-layer hierarchy, QNode definition, thermodynamic grounding, neuromorphic hardware roadmap.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v0.2-alpha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2025 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Added Verification-First Paradigm, Hierarchical Verification Engine (HVE), Quantum-Inspired Tensor Field, HPC-first hardware roadmap, Information-Theoretic Foundations, Safety chapter, Experimental Roadmap, Economic analysis. Replaced neuromorphic-first with GPU/HPC Phase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v0.3-alpha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2025 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Major scientific revision: (1) Hallucination Elimination Theorem reclassified as Conjecture 1 — Equilibrium Grounding Conjecture — with explicit ergodicity caveat and falsifiability conditions. (2) Universal Approximation claim corrected and scoped. (3) Glass Transition Risk section added. (4) Four neuroscience foundations integrated: Global Workspace Theory, sparse coding, hippocampal attractor dynamics, neural criticality. (5) Failure conditions added to all Phase 1–3 experiments. (6) Limitations section substantially expanded. (7) Primary contribution reframed for precision and credibility.</w:t>
            </w:r>
          </w:p>
        </w:tc>
      </w:tr>
    </w:tbl>
    <w:p>
      <w:pPr>
        <w:spacing w:after="280" w:before="60"/>
        <w:jc w:val="center"/>
      </w:pPr>
      <w:r>
        <w:rPr>
          <w:rFonts w:ascii="Calibri" w:cs="Calibri" w:eastAsia="Calibri" w:hAnsi="Calibri"/>
          <w:i/>
          <w:iCs/>
          <w:color w:val="555555"/>
          <w:sz w:val="20"/>
          <w:szCs w:val="20"/>
        </w:rPr>
        <w:t xml:space="preserve">Table V. Version history.</w:t>
      </w:r>
    </w:p>
    <w:p>
      <w:pPr>
        <w:pBdr>
          <w:bottom w:val="single" w:color="2B5282" w:sz="6" w:space="1"/>
        </w:pBdr>
        <w:spacing w:after="200" w:before="200"/>
      </w:pPr>
      <w:r>
        <w:rPr>
          <w:rFonts w:ascii="Calibri" w:cs="Calibri" w:eastAsia="Calibri" w:hAnsi="Calibri"/>
          <w:sz w:val="22"/>
          <w:szCs w:val="22"/>
        </w:rPr>
        <w:t xml:space="preserve"/>
      </w:r>
    </w:p>
    <w:p>
      <w:pPr>
        <w:pStyle w:val="Heading1"/>
        <w:spacing w:after="240" w:before="480"/>
      </w:pPr>
      <w:r>
        <w:rPr>
          <w:rFonts w:ascii="Calibri" w:cs="Calibri" w:eastAsia="Calibri" w:hAnsi="Calibri"/>
          <w:b/>
          <w:bCs/>
          <w:color w:val="1D3A5F"/>
          <w:sz w:val="36"/>
          <w:szCs w:val="36"/>
        </w:rPr>
        <w:t xml:space="preserve">Abstract</w:t>
      </w:r>
    </w:p>
    <w:p>
      <w:pPr>
        <w:spacing w:after="160"/>
        <w:jc w:val="both"/>
      </w:pPr>
      <w:r>
        <w:rPr>
          <w:rFonts w:ascii="Calibri" w:cs="Calibri" w:eastAsia="Calibri" w:hAnsi="Calibri"/>
          <w:sz w:val="22"/>
          <w:szCs w:val="22"/>
        </w:rPr>
        <w:t xml:space="preserve">We present Convergent Emergence Architecture v0.3 (CEA), a theoretical computational framework that reconceives machine reasoning as an emergent thermodynamic process governed by energy minimization, phase synchronization, and multi-dimensional reality grounding. CEA makes six primary theoretical contributions. First, the QNode — a stateful, energy-aware, phase-synchronized computational primitive that extends classical artificial neurons with a five-dimensional state tuple enabling temporal memory, energy awareness, and oscillatory binding. Second, the Hierarchical Verification Engine (HVE) — a four-tier grounding architecture in which factual verification is structurally integrated into the energy landscape rather than applied as a post-generation filter. Third, a Quantum-Inspired Tensor Field (QITF) formalism for global contextual broadcast, eliminating O(N) communication bottlenecks via Matrix Product State decomposition — the most mathematically grounded and immediately deployable contribution of this paper. Fourth, a five-component composite training objective integrating prediction accuracy, energy minimization, entropy reduction, resonance reinforcement, and symbolic consistency. Fifth, an HPC-first deployment strategy targeting immediate realization on GPU supercomputers. Sixth, formal information-theoretic connections linking the grounding mechanism to Landauer's Principle, Shannon's channel capacity theorem, and Kolmogorov complexity.</w:t>
      </w:r>
    </w:p>
    <w:p>
      <w:pPr>
        <w:spacing w:after="160"/>
        <w:jc w:val="both"/>
      </w:pPr>
      <w:r>
        <w:rPr>
          <w:rFonts w:ascii="Calibri" w:cs="Calibri" w:eastAsia="Calibri" w:hAnsi="Calibri"/>
          <w:b/>
          <w:bCs/>
          <w:sz w:val="22"/>
          <w:szCs w:val="22"/>
        </w:rPr>
        <w:t xml:space="preserve">Important caveat on scope: </w:t>
      </w:r>
      <w:r>
        <w:rPr>
          <w:rFonts w:ascii="Calibri" w:cs="Calibri" w:eastAsia="Calibri" w:hAnsi="Calibri"/>
          <w:sz w:val="22"/>
          <w:szCs w:val="22"/>
        </w:rPr>
        <w:t xml:space="preserve">CEA is presented as a theoretical architecture with a structured experimental program. All quantitative performance projections — sparsity ratios, TruthfulQA scores, energy reduction factors — are falsifiable hypotheses derived from theoretical analysis, not measured results. We introduce the </w:t>
      </w:r>
      <w:r>
        <w:rPr>
          <w:rFonts w:ascii="Calibri" w:cs="Calibri" w:eastAsia="Calibri" w:hAnsi="Calibri"/>
          <w:i/>
          <w:iCs/>
          <w:sz w:val="22"/>
          <w:szCs w:val="22"/>
        </w:rPr>
        <w:t xml:space="preserve">Equilibrium Grounding Conjecture</w:t>
      </w:r>
      <w:r>
        <w:rPr>
          <w:rFonts w:ascii="Calibri" w:cs="Calibri" w:eastAsia="Calibri" w:hAnsi="Calibri"/>
          <w:sz w:val="22"/>
          <w:szCs w:val="22"/>
        </w:rPr>
        <w:t xml:space="preserve"> (formerly called the Hallucination Elimination Theorem): in a CEA system approaching thermodynamic equilibrium under ergodic dynamics, the stationary probability of sustained factual inconsistency is thermodynamically disfavored and measurably suppressed. Whether real inference dynamics are sufficiently ergodic for this conjecture to hold empirically is the central open question motivating the experimental program in Section 16. The experimental roadmap includes explicit failure conditions for each experiment — conditions under which CEA's theoretical assumptions would be empirically falsified, requiring architectural revision. We invite rigorous engagement, challenge, and empirical testing of this framework.</w:t>
      </w:r>
    </w:p>
    <w:p>
      <w:pPr>
        <w:spacing w:after="160"/>
        <w:jc w:val="both"/>
      </w:pPr>
      <w:r>
        <w:rPr>
          <w:rFonts w:ascii="Calibri" w:cs="Calibri" w:eastAsia="Calibri" w:hAnsi="Calibri"/>
          <w:b/>
          <w:bCs/>
          <w:sz w:val="22"/>
          <w:szCs w:val="22"/>
        </w:rPr>
        <w:t xml:space="preserve">Keywords: </w:t>
      </w:r>
      <w:r>
        <w:rPr>
          <w:rFonts w:ascii="Calibri" w:cs="Calibri" w:eastAsia="Calibri" w:hAnsi="Calibri"/>
          <w:i/>
          <w:iCs/>
          <w:sz w:val="22"/>
          <w:szCs w:val="22"/>
        </w:rPr>
        <w:t xml:space="preserve">Verification-First AI, QNode, Hierarchical Verification Engine, Quantum-Inspired Tensor Networks, Energy-Based Reasoning, Equilibrium Grounding Conjecture, Information Theory, Landauer's Principle, Emergent Computation, HPC Deployment, Global Workspace Theory, Sparse Cortical Coding, Hippocampal Attractors, Neural Criticality</w:t>
      </w:r>
    </w:p>
    <w:p>
      <w:pPr>
        <w:pStyle w:val="Heading1"/>
        <w:spacing w:after="240" w:before="480"/>
      </w:pPr>
      <w:r>
        <w:rPr>
          <w:rFonts w:ascii="Calibri" w:cs="Calibri" w:eastAsia="Calibri" w:hAnsi="Calibri"/>
          <w:b/>
          <w:bCs/>
          <w:color w:val="1D3A5F"/>
          <w:sz w:val="36"/>
          <w:szCs w:val="36"/>
        </w:rPr>
        <w:t xml:space="preserve">1. Introduction</w:t>
      </w:r>
    </w:p>
    <w:p>
      <w:pPr>
        <w:spacing w:after="160"/>
        <w:jc w:val="both"/>
      </w:pPr>
      <w:r>
        <w:rPr>
          <w:rFonts w:ascii="Calibri" w:cs="Calibri" w:eastAsia="Calibri" w:hAnsi="Calibri"/>
          <w:sz w:val="22"/>
          <w:szCs w:val="22"/>
        </w:rPr>
        <w:t xml:space="preserve">The history of artificial intelligence is, in large part, a history of increasingly sophisticated function approximation. From perceptrons to convolutional networks to transformers, each architectural generation has achieved remarkable benchmark performance by finding better ways to fit target functions to data. The transformer architecture — introduced by Vaswani et al. (2017) and scaled to hundreds of billions of parameters — currently dominates the field. Yet this architectural lineage shares a foundational assumption that CEA challenges: that intelligence can be modeled as a stateless, feedforward function from input to output, trained by minimizing prediction error over a corpus.</w:t>
      </w:r>
    </w:p>
    <w:p>
      <w:pPr>
        <w:spacing w:after="160"/>
        <w:jc w:val="both"/>
      </w:pPr>
      <w:r>
        <w:rPr>
          <w:rFonts w:ascii="Calibri" w:cs="Calibri" w:eastAsia="Calibri" w:hAnsi="Calibri"/>
          <w:sz w:val="22"/>
          <w:szCs w:val="22"/>
        </w:rPr>
        <w:t xml:space="preserve">This assumption produces four structural failure modes that scale does not resolve:</w:t>
      </w:r>
    </w:p>
    <w:p>
      <w:pPr>
        <w:pStyle w:val="ListParagraph"/>
        <w:numPr>
          <w:ilvl w:val="0"/>
          <w:numId w:val="1"/>
        </w:numPr>
        <w:spacing w:after="100"/>
      </w:pPr>
      <w:r>
        <w:rPr>
          <w:rFonts w:ascii="Calibri" w:cs="Calibri" w:eastAsia="Calibri" w:hAnsi="Calibri"/>
          <w:b/>
          <w:bCs/>
          <w:sz w:val="22"/>
          <w:szCs w:val="22"/>
        </w:rPr>
        <w:t xml:space="preserve">Energy inefficiency. </w:t>
      </w:r>
      <w:r>
        <w:rPr>
          <w:rFonts w:ascii="Calibri" w:cs="Calibri" w:eastAsia="Calibri" w:hAnsi="Calibri"/>
          <w:sz w:val="22"/>
          <w:szCs w:val="22"/>
        </w:rPr>
        <w:t xml:space="preserve">Dense transformer inference activates the full parameter space for every token regardless of task complexity. At frontier scale, a 10-word factual lookup consumes comparable compute to a 10,000-word analytical task. The energy trajectory of scaling language models is approaching meaningful resource constraints.</w:t>
      </w:r>
    </w:p>
    <w:p>
      <w:pPr>
        <w:pStyle w:val="ListParagraph"/>
        <w:numPr>
          <w:ilvl w:val="0"/>
          <w:numId w:val="1"/>
        </w:numPr>
        <w:spacing w:after="100"/>
      </w:pPr>
      <w:r>
        <w:rPr>
          <w:rFonts w:ascii="Calibri" w:cs="Calibri" w:eastAsia="Calibri" w:hAnsi="Calibri"/>
          <w:b/>
          <w:bCs/>
          <w:sz w:val="22"/>
          <w:szCs w:val="22"/>
        </w:rPr>
        <w:t xml:space="preserve">Statistical hallucination. </w:t>
      </w:r>
      <w:r>
        <w:rPr>
          <w:rFonts w:ascii="Calibri" w:cs="Calibri" w:eastAsia="Calibri" w:hAnsi="Calibri"/>
          <w:sz w:val="22"/>
          <w:szCs w:val="22"/>
        </w:rPr>
        <w:t xml:space="preserve">Next-token prediction assigns non-zero probability to factually incorrect continuations whenever they are statistically plausible in the training distribution. There is no internal mechanism distinguishing recalled fact from fabricated plausibility. Hallucination is not a bug in transformer LLMs — it is a property of the objective function.</w:t>
      </w:r>
    </w:p>
    <w:p>
      <w:pPr>
        <w:pStyle w:val="ListParagraph"/>
        <w:numPr>
          <w:ilvl w:val="0"/>
          <w:numId w:val="1"/>
        </w:numPr>
        <w:spacing w:after="100"/>
      </w:pPr>
      <w:r>
        <w:rPr>
          <w:rFonts w:ascii="Calibri" w:cs="Calibri" w:eastAsia="Calibri" w:hAnsi="Calibri"/>
          <w:b/>
          <w:bCs/>
          <w:sz w:val="22"/>
          <w:szCs w:val="22"/>
        </w:rPr>
        <w:t xml:space="preserve">Bounded causal reasoning. </w:t>
      </w:r>
      <w:r>
        <w:rPr>
          <w:rFonts w:ascii="Calibri" w:cs="Calibri" w:eastAsia="Calibri" w:hAnsi="Calibri"/>
          <w:sz w:val="22"/>
          <w:szCs w:val="22"/>
        </w:rPr>
        <w:t xml:space="preserve">Transformers learn statistical correlations, not causal structures. Their apparent causal reasoning is pattern matching over training examples encoding causal relationships. Novel causal problems outside the training distribution expose systematic failure modes that do not improve predictably with scale.</w:t>
      </w:r>
    </w:p>
    <w:p>
      <w:pPr>
        <w:pStyle w:val="ListParagraph"/>
        <w:numPr>
          <w:ilvl w:val="0"/>
          <w:numId w:val="1"/>
        </w:numPr>
        <w:spacing w:after="100"/>
      </w:pPr>
      <w:r>
        <w:rPr>
          <w:rFonts w:ascii="Calibri" w:cs="Calibri" w:eastAsia="Calibri" w:hAnsi="Calibri"/>
          <w:b/>
          <w:bCs/>
          <w:sz w:val="22"/>
          <w:szCs w:val="22"/>
        </w:rPr>
        <w:t xml:space="preserve">Limited adaptive memory. </w:t>
      </w:r>
      <w:r>
        <w:rPr>
          <w:rFonts w:ascii="Calibri" w:cs="Calibri" w:eastAsia="Calibri" w:hAnsi="Calibri"/>
          <w:sz w:val="22"/>
          <w:szCs w:val="22"/>
        </w:rPr>
        <w:t xml:space="preserve">Despite emergent capabilities at scale, transformer LLMs lack persistent long-term memory, recursive self-modeling, and grounded world-simulation beyond the context window. Context extensions partially address this but do not resolve the fundamental statefulness gap.</w:t>
      </w:r>
    </w:p>
    <w:p>
      <w:pPr>
        <w:spacing w:after="160"/>
        <w:jc w:val="both"/>
      </w:pPr>
      <w:r>
        <w:rPr>
          <w:rFonts w:ascii="Calibri" w:cs="Calibri" w:eastAsia="Calibri" w:hAnsi="Calibri"/>
          <w:sz w:val="22"/>
          <w:szCs w:val="22"/>
        </w:rPr>
        <w:t xml:space="preserve">The Convergent Emergence Architecture proposes a different computational substrate. Rather than approximating intelligence as a function, CEA proposes growing reasoning as a process — an emergent phenomenon arising from locally interacting dynamic entities whose collective behavior is governed by thermodynamic stability, phase synchronization, and multi-dimensional reality grounding. This paper presents v0.3, which substantially revises the theoretical claims of v0.2 for scientific rigor, integrates four neuroscience foundations as architectural plausibility evidence, and adds explicit falsifiability criteria to the experimental program.</w:t>
      </w:r>
    </w:p>
    <w:p>
      <w:pPr>
        <w:spacing w:after="160"/>
        <w:jc w:val="both"/>
      </w:pPr>
      <w:r>
        <w:rPr>
          <w:rFonts w:ascii="Calibri" w:cs="Calibri" w:eastAsia="Calibri" w:hAnsi="Calibri"/>
          <w:b/>
          <w:bCs/>
          <w:sz w:val="22"/>
          <w:szCs w:val="22"/>
        </w:rPr>
        <w:t xml:space="preserve">Central theoretical proposal: </w:t>
      </w:r>
      <w:r>
        <w:rPr>
          <w:rFonts w:ascii="Calibri" w:cs="Calibri" w:eastAsia="Calibri" w:hAnsi="Calibri"/>
          <w:sz w:val="22"/>
          <w:szCs w:val="22"/>
        </w:rPr>
        <w:t xml:space="preserve">We hypothesize a Verification-First paradigm in which factual correctness is enforced as a thermodynamic stability condition during inference rather than as a post-generation filtering step. This remains a theoretical proposal awaiting empirical validation. The Equilibrium Grounding Conjecture formalizes this hypothesis; the experimental roadmap specifies the conditions under which it would be confirmed or falsified.</w:t>
      </w:r>
    </w:p>
    <w:p>
      <w:pPr>
        <w:spacing w:after="160"/>
        <w:jc w:val="both"/>
      </w:pPr>
      <w:r>
        <w:rPr>
          <w:rFonts w:ascii="Calibri" w:cs="Calibri" w:eastAsia="Calibri" w:hAnsi="Calibri"/>
          <w:sz w:val="22"/>
          <w:szCs w:val="22"/>
        </w:rPr>
        <w:t xml:space="preserve">The paper is organized as follows. Section 2 surveys related work, including four new subsections on neuroscience foundations. Section 3 articulates the Verification-First paradigm as a theoretical proposal. Sections 4–9 specify the full architecture. Section 10 develops information-theoretic foundations. Section 11 presents the HPC-first hardware roadmap. Sections 12–13 provide theoretical analysis and comparative evaluation, including the revised Conjecture 1 and its known limitations. Sections 14–16 address safety, impact, and experimental validation with explicit failure conditions. Sections 17–19 discuss limitations, future work, and conclusions.</w:t>
      </w:r>
    </w:p>
    <w:p>
      <w:pPr>
        <w:pStyle w:val="Heading1"/>
        <w:spacing w:after="240" w:before="480"/>
      </w:pPr>
      <w:r>
        <w:rPr>
          <w:rFonts w:ascii="Calibri" w:cs="Calibri" w:eastAsia="Calibri" w:hAnsi="Calibri"/>
          <w:b/>
          <w:bCs/>
          <w:color w:val="1D3A5F"/>
          <w:sz w:val="36"/>
          <w:szCs w:val="36"/>
        </w:rPr>
        <w:t xml:space="preserve">2. Background and Related Work</w:t>
      </w:r>
    </w:p>
    <w:p>
      <w:pPr>
        <w:pStyle w:val="Heading2"/>
        <w:spacing w:after="160" w:before="320"/>
      </w:pPr>
      <w:r>
        <w:rPr>
          <w:rFonts w:ascii="Calibri" w:cs="Calibri" w:eastAsia="Calibri" w:hAnsi="Calibri"/>
          <w:b/>
          <w:bCs/>
          <w:color w:val="2B5282"/>
          <w:sz w:val="28"/>
          <w:szCs w:val="28"/>
        </w:rPr>
        <w:t xml:space="preserve">2.1  Transformer Architecture and Scaling Laws</w:t>
      </w:r>
    </w:p>
    <w:p>
      <w:pPr>
        <w:spacing w:after="160"/>
        <w:jc w:val="both"/>
      </w:pPr>
      <w:r>
        <w:rPr>
          <w:rFonts w:ascii="Calibri" w:cs="Calibri" w:eastAsia="Calibri" w:hAnsi="Calibri"/>
          <w:sz w:val="22"/>
          <w:szCs w:val="22"/>
        </w:rPr>
        <w:t xml:space="preserve">Vaswani et al. (2017) introduced the transformer, replacing recurrent processing with multi-head self-attention computing pairwise relationships across all sequence positions simultaneously. Kaplan et al. (2020) established empirical scaling laws showing model performance improves predictably as a power law with parameter count, dataset size, and compute budget. Hoffmann et al. (2022) demonstrated that optimal scaling requires simultaneous growth of parameters and training tokens, and that frontier models are systematically undertrained relative to parameter count. The scaling paradigm has since been questioned on energy, interpretability, and generalization grounds, motivating the search for qualitatively different computational substrates — the context in which CEA is proposed.</w:t>
      </w:r>
    </w:p>
    <w:p>
      <w:pPr>
        <w:pStyle w:val="Heading2"/>
        <w:spacing w:after="160" w:before="320"/>
      </w:pPr>
      <w:r>
        <w:rPr>
          <w:rFonts w:ascii="Calibri" w:cs="Calibri" w:eastAsia="Calibri" w:hAnsi="Calibri"/>
          <w:b/>
          <w:bCs/>
          <w:color w:val="2B5282"/>
          <w:sz w:val="28"/>
          <w:szCs w:val="28"/>
        </w:rPr>
        <w:t xml:space="preserve">2.2  Energy-Based Models</w:t>
      </w:r>
    </w:p>
    <w:p>
      <w:pPr>
        <w:spacing w:after="160"/>
        <w:jc w:val="both"/>
      </w:pPr>
      <w:r>
        <w:rPr>
          <w:rFonts w:ascii="Calibri" w:cs="Calibri" w:eastAsia="Calibri" w:hAnsi="Calibri"/>
          <w:sz w:val="22"/>
          <w:szCs w:val="22"/>
        </w:rPr>
        <w:t xml:space="preserve">LeCun et al. (2006) formalized the Energy-Based Model (EBM) framework, where inference is the minimization of an energy function E(x, y) over output y given input x. EBMs generalize contrastive learning, Boltzmann machines, and associative memories into a unified thermodynamic perspective. The modern Hopfield network (Ramsauer et al., 2020) established formal equivalence between transformer attention and energy minimization in a Hopfield energy landscape, providing the foundational theoretical bridge that CEA builds upon and extends. CEA's QNode dynamics are a direct generalization of this energy-minimization principle to a stateful, high-dimensional, phase-coupled computational primitive.</w:t>
      </w:r>
    </w:p>
    <w:p>
      <w:pPr>
        <w:pStyle w:val="Heading2"/>
        <w:spacing w:after="160" w:before="320"/>
      </w:pPr>
      <w:r>
        <w:rPr>
          <w:rFonts w:ascii="Calibri" w:cs="Calibri" w:eastAsia="Calibri" w:hAnsi="Calibri"/>
          <w:b/>
          <w:bCs/>
          <w:color w:val="2B5282"/>
          <w:sz w:val="28"/>
          <w:szCs w:val="28"/>
        </w:rPr>
        <w:t xml:space="preserve">2.3  Spiking Neural Networks and Neuromorphic Computing</w:t>
      </w:r>
    </w:p>
    <w:p>
      <w:pPr>
        <w:spacing w:after="160"/>
        <w:jc w:val="both"/>
      </w:pPr>
      <w:r>
        <w:rPr>
          <w:rFonts w:ascii="Calibri" w:cs="Calibri" w:eastAsia="Calibri" w:hAnsi="Calibri"/>
          <w:sz w:val="22"/>
          <w:szCs w:val="22"/>
        </w:rPr>
        <w:t xml:space="preserve">Spiking Neural Networks (SNNs) process information through discrete temporal spike events rather than continuous activations, achieving substantial energy efficiency by computing only when input is present. Intel's Loihi 2 (Orchard et al., 2021) and IBM TrueNorth (Merolla et al., 2014) demonstrate practical neuromorphic computation at 100–1000x lower energy than GPU equivalents on compatible workloads. CEA's QNode is conceptually related to spiking neurons but extends the model substantially: QNodes carry a five-dimensional state tuple, explicit phase dynamics, and energy-aware routing not present in any existing SNN formulation.</w:t>
      </w:r>
    </w:p>
    <w:p>
      <w:pPr>
        <w:pStyle w:val="Heading2"/>
        <w:spacing w:after="160" w:before="320"/>
      </w:pPr>
      <w:r>
        <w:rPr>
          <w:rFonts w:ascii="Calibri" w:cs="Calibri" w:eastAsia="Calibri" w:hAnsi="Calibri"/>
          <w:b/>
          <w:bCs/>
          <w:color w:val="2B5282"/>
          <w:sz w:val="28"/>
          <w:szCs w:val="28"/>
        </w:rPr>
        <w:t xml:space="preserve">2.4  The Free Energy Principle</w:t>
      </w:r>
    </w:p>
    <w:p>
      <w:pPr>
        <w:spacing w:after="160"/>
        <w:jc w:val="both"/>
      </w:pPr>
      <w:r>
        <w:rPr>
          <w:rFonts w:ascii="Calibri" w:cs="Calibri" w:eastAsia="Calibri" w:hAnsi="Calibri"/>
          <w:sz w:val="22"/>
          <w:szCs w:val="22"/>
        </w:rPr>
        <w:t xml:space="preserve">Friston (2010) proposed that biological brains minimize variational free energy — a tractable proxy for prediction error — as a universal organizing principle for perception, action, and learning. The Free Energy Principle (FEP) unifies Bayesian brain theory, predictive coding, and active inference under a single thermodynamic objective. CEA's training objective is a computational instantiation of the FEP at the algorithmic level, and its Hierarchical Verification Engine implements the FEP's Markov blanket — the statistical boundary maintaining separation between the system's internal model and environmental uncertainty.</w:t>
      </w:r>
    </w:p>
    <w:p>
      <w:pPr>
        <w:pStyle w:val="Heading2"/>
        <w:spacing w:after="160" w:before="320"/>
      </w:pPr>
      <w:r>
        <w:rPr>
          <w:rFonts w:ascii="Calibri" w:cs="Calibri" w:eastAsia="Calibri" w:hAnsi="Calibri"/>
          <w:b/>
          <w:bCs/>
          <w:color w:val="2B5282"/>
          <w:sz w:val="28"/>
          <w:szCs w:val="28"/>
        </w:rPr>
        <w:t xml:space="preserve">2.5  Quantum-Inspired Classical Algorithms</w:t>
      </w:r>
    </w:p>
    <w:p>
      <w:pPr>
        <w:spacing w:after="160"/>
        <w:jc w:val="both"/>
      </w:pPr>
      <w:r>
        <w:rPr>
          <w:rFonts w:ascii="Calibri" w:cs="Calibri" w:eastAsia="Calibri" w:hAnsi="Calibri"/>
          <w:sz w:val="22"/>
          <w:szCs w:val="22"/>
        </w:rPr>
        <w:t xml:space="preserve">Quantum-inspired tensor network methods — including Matrix Product States (MPS), Projected Entangled Pair States (PEPS), and Tensor Train decompositions — have emerged as powerful classical algorithms for representing high-dimensional probability distributions (Orus, 2014; Stoudenmire &amp; Schwab, 2016). These methods exploit the fact that physically realistic high-dimensional distributions have low entanglement entropy and can be efficiently approximated by low-rank tensor decompositions. CEA's Quantum-Inspired Tensor Field uses these methods to represent the global contextual broadcast as a single compressed tensor state. We emphasize throughout: these are classical algorithms running on classical hardware. No quantum processor is implied or required.</w:t>
      </w:r>
    </w:p>
    <w:p>
      <w:pPr>
        <w:pStyle w:val="Heading2"/>
        <w:spacing w:after="160" w:before="320"/>
      </w:pPr>
      <w:r>
        <w:rPr>
          <w:rFonts w:ascii="Calibri" w:cs="Calibri" w:eastAsia="Calibri" w:hAnsi="Calibri"/>
          <w:b/>
          <w:bCs/>
          <w:color w:val="2B5282"/>
          <w:sz w:val="28"/>
          <w:szCs w:val="28"/>
        </w:rPr>
        <w:t xml:space="preserve">2.6  Neurosymbolic AI</w:t>
      </w:r>
    </w:p>
    <w:p>
      <w:pPr>
        <w:spacing w:after="160"/>
        <w:jc w:val="both"/>
      </w:pPr>
      <w:r>
        <w:rPr>
          <w:rFonts w:ascii="Calibri" w:cs="Calibri" w:eastAsia="Calibri" w:hAnsi="Calibri"/>
          <w:sz w:val="22"/>
          <w:szCs w:val="22"/>
        </w:rPr>
        <w:t xml:space="preserve">The neurosymbolic research program (Garcez et al., 2019; Marcus, 2020; Lake et al., 2017) seeks architectures combining the generalization power of neural pattern recognition with the logical rigor of symbolic computation. Landmark results include DeepMind's AlphaGeometry (Trinh et al., 2024), which combines a neural language model with symbolic deduction to achieve olympiad-level geometry performance. CEA's molecular and cellular layers implement neurosymbolic integration structurally rather than through external modular coupling: symbolic consistency is a thermodynamic constraint enforced in the energy landscape, not a separately run verifier.</w:t>
      </w:r>
    </w:p>
    <w:p>
      <w:pPr>
        <w:pStyle w:val="Heading2"/>
        <w:spacing w:after="160" w:before="320"/>
      </w:pPr>
      <w:r>
        <w:rPr>
          <w:rFonts w:ascii="Calibri" w:cs="Calibri" w:eastAsia="Calibri" w:hAnsi="Calibri"/>
          <w:b/>
          <w:bCs/>
          <w:color w:val="2B5282"/>
          <w:sz w:val="28"/>
          <w:szCs w:val="28"/>
        </w:rPr>
        <w:t xml:space="preserve">2.7  Predictive Coding and Hierarchical Inference</w:t>
      </w:r>
    </w:p>
    <w:p>
      <w:pPr>
        <w:spacing w:after="160"/>
        <w:jc w:val="both"/>
      </w:pPr>
      <w:r>
        <w:rPr>
          <w:rFonts w:ascii="Calibri" w:cs="Calibri" w:eastAsia="Calibri" w:hAnsi="Calibri"/>
          <w:sz w:val="22"/>
          <w:szCs w:val="22"/>
        </w:rPr>
        <w:t xml:space="preserve">Predictive coding (Rao &amp; Ballard, 1999; Friston &amp; Kiebel, 2009) proposes that cortical computation is fundamentally a process of top-down prediction and bottom-up prediction-error correction. Each cortical layer maintains a generative model of the layer below; only prediction errors propagate upward. This dramatically reduces information bandwidth requirements. CEA's six-layer hierarchy embodies predictive coding: higher layers project contextual field signals downward; lower layers send prediction errors upward. The organism layer's tensor field is the top-level generative model conditioning all lower-layer processing.</w:t>
      </w:r>
    </w:p>
    <w:p>
      <w:pPr>
        <w:pStyle w:val="Heading2"/>
        <w:spacing w:after="160" w:before="320"/>
      </w:pPr>
      <w:r>
        <w:rPr>
          <w:rFonts w:ascii="Calibri" w:cs="Calibri" w:eastAsia="Calibri" w:hAnsi="Calibri"/>
          <w:b/>
          <w:bCs/>
          <w:color w:val="2B5282"/>
          <w:sz w:val="28"/>
          <w:szCs w:val="28"/>
        </w:rPr>
        <w:t xml:space="preserve">2.8  Large-Scale HPC and Exascale Computing</w:t>
      </w:r>
    </w:p>
    <w:p>
      <w:pPr>
        <w:spacing w:after="160"/>
        <w:jc w:val="both"/>
      </w:pPr>
      <w:r>
        <w:rPr>
          <w:rFonts w:ascii="Calibri" w:cs="Calibri" w:eastAsia="Calibri" w:hAnsi="Calibri"/>
          <w:sz w:val="22"/>
          <w:szCs w:val="22"/>
        </w:rPr>
        <w:t xml:space="preserve">The Frontier supercomputer (Oak Ridge National Laboratory, 2022) achieved 1.1 ExaFLOPS, demonstrating that exascale classical computation is realizable today. NVIDIA's Grace Hopper Superchip combines CPU and GPU memory spaces with NVLink interconnects enabling 900 GB/s chip-to-chip bandwidth, dramatically reducing communication overhead that bottlenecks distributed neural computation. These infrastructure developments make CEA's HPC-first deployment strategy practically feasible: the compute substrate needed to run QNode field simulations at research scale exists today.</w:t>
      </w:r>
    </w:p>
    <w:p>
      <w:pPr>
        <w:pStyle w:val="Heading2"/>
        <w:spacing w:after="160" w:before="320"/>
      </w:pPr>
      <w:r>
        <w:rPr>
          <w:rFonts w:ascii="Calibri" w:cs="Calibri" w:eastAsia="Calibri" w:hAnsi="Calibri"/>
          <w:b/>
          <w:bCs/>
          <w:color w:val="2B5282"/>
          <w:sz w:val="28"/>
          <w:szCs w:val="28"/>
        </w:rPr>
        <w:t xml:space="preserve">2.9  Verification and Formal Methods</w:t>
      </w:r>
    </w:p>
    <w:p>
      <w:pPr>
        <w:spacing w:after="160"/>
        <w:jc w:val="both"/>
      </w:pPr>
      <w:r>
        <w:rPr>
          <w:rFonts w:ascii="Calibri" w:cs="Calibri" w:eastAsia="Calibri" w:hAnsi="Calibri"/>
          <w:sz w:val="22"/>
          <w:szCs w:val="22"/>
        </w:rPr>
        <w:t xml:space="preserve">The formal verification research community (Clarke et al., 2018; Platzer, 2018) has developed rigorous methods for proving correctness properties of computational systems. CEA's Equilibrium Grounding Conjecture (Section 12.2) is the first application of thermodynamic stability arguments — borrowed from statistical mechanics — to formally bound incorrect output probability in an AI system. We note carefully that this remains a conjecture pending empirical validation, not a proven theorem.</w:t>
      </w:r>
    </w:p>
    <w:p>
      <w:pPr>
        <w:pStyle w:val="Heading2"/>
        <w:spacing w:after="160" w:before="320"/>
      </w:pPr>
      <w:r>
        <w:rPr>
          <w:rFonts w:ascii="Calibri" w:cs="Calibri" w:eastAsia="Calibri" w:hAnsi="Calibri"/>
          <w:b/>
          <w:bCs/>
          <w:color w:val="2B5282"/>
          <w:sz w:val="28"/>
          <w:szCs w:val="28"/>
        </w:rPr>
        <w:t xml:space="preserve">2.10  Global Workspace Theory (NEW — Neuroscience Foundation I)</w:t>
      </w:r>
    </w:p>
    <w:p>
      <w:pPr>
        <w:spacing w:after="160"/>
        <w:jc w:val="both"/>
      </w:pPr>
      <w:r>
        <w:rPr>
          <w:rFonts w:ascii="Calibri" w:cs="Calibri" w:eastAsia="Calibri" w:hAnsi="Calibri"/>
          <w:sz w:val="22"/>
          <w:szCs w:val="22"/>
        </w:rPr>
        <w:t xml:space="preserve">Baars (1988) proposed Global Workspace Theory (GWT), in which consciousness and flexible cognition arise when local specialized processors compete to broadcast their representations to a shared global workspace accessible system-wide. Dehaene (2014) extended this framework computationally, identifying neural correlates of global workspace ignition — the rapid, all-or-nothing broadcast of a winning representation to frontoparietal networks that then gates further processing throughout the cortex.</w:t>
      </w:r>
    </w:p>
    <w:p>
      <w:pPr>
        <w:spacing w:after="160"/>
        <w:jc w:val="both"/>
      </w:pPr>
      <w:r>
        <w:rPr>
          <w:rFonts w:ascii="Calibri" w:cs="Calibri" w:eastAsia="Calibri" w:hAnsi="Calibri"/>
          <w:b/>
          <w:bCs/>
          <w:sz w:val="22"/>
          <w:szCs w:val="22"/>
        </w:rPr>
        <w:t xml:space="preserve">CEA architectural connection: </w:t>
      </w:r>
      <w:r>
        <w:rPr>
          <w:rFonts w:ascii="Calibri" w:cs="Calibri" w:eastAsia="Calibri" w:hAnsi="Calibri"/>
          <w:sz w:val="22"/>
          <w:szCs w:val="22"/>
        </w:rPr>
        <w:t xml:space="preserve">The organism-layer Quantum-Inspired Tensor Field is architecturally convergent with GWT's global workspace. Both architectures propose that global cognitive coherence emerges from competitive broadcast of locally-computed representations to a system-wide shared field. In CEA, consistency collapse (Section 7.5) plays the role of GWT's ignition event — a global propagation of constraint information through tensor contractions rather than sequential broadcast. We take this convergence as biological plausibility evidence for the QITF design principle, not as proof of equivalence or any claim regarding consciousness or subjective experience. Consciousness claims are explicitly outside the scope of this paper.</w:t>
      </w:r>
    </w:p>
    <w:p>
      <w:pPr>
        <w:pStyle w:val="Heading2"/>
        <w:spacing w:after="160" w:before="320"/>
      </w:pPr>
      <w:r>
        <w:rPr>
          <w:rFonts w:ascii="Calibri" w:cs="Calibri" w:eastAsia="Calibri" w:hAnsi="Calibri"/>
          <w:b/>
          <w:bCs/>
          <w:color w:val="2B5282"/>
          <w:sz w:val="28"/>
          <w:szCs w:val="28"/>
        </w:rPr>
        <w:t xml:space="preserve">2.11  Sparse Cortical Coding (NEW — Neuroscience Foundation II)</w:t>
      </w:r>
    </w:p>
    <w:p>
      <w:pPr>
        <w:spacing w:after="160"/>
        <w:jc w:val="both"/>
      </w:pPr>
      <w:r>
        <w:rPr>
          <w:rFonts w:ascii="Calibri" w:cs="Calibri" w:eastAsia="Calibri" w:hAnsi="Calibri"/>
          <w:sz w:val="22"/>
          <w:szCs w:val="22"/>
        </w:rPr>
        <w:t xml:space="preserve">Olshausen &amp; Field (1996) demonstrated that primary visual cortex neurons represent natural images through sparse, distributed codes: approximately 1–5% of neurons respond to any given input at any given moment. This sparsity emerges from energy-minimizing optimization — the brain minimizes a combined cost function trading off representational accuracy against metabolic energy expenditure. Field (1994) showed that sparse codes maximize the information transmitted per unit metabolic cost, providing an information-theoretic rationale for sparse biological computation.</w:t>
      </w:r>
    </w:p>
    <w:p>
      <w:pPr>
        <w:spacing w:after="160"/>
        <w:jc w:val="both"/>
      </w:pPr>
      <w:r>
        <w:rPr>
          <w:rFonts w:ascii="Calibri" w:cs="Calibri" w:eastAsia="Calibri" w:hAnsi="Calibri"/>
          <w:b/>
          <w:bCs/>
          <w:sz w:val="22"/>
          <w:szCs w:val="22"/>
        </w:rPr>
        <w:t xml:space="preserve">CEA architectural connection: </w:t>
      </w:r>
      <w:r>
        <w:rPr>
          <w:rFonts w:ascii="Calibri" w:cs="Calibri" w:eastAsia="Calibri" w:hAnsi="Calibri"/>
          <w:sz w:val="22"/>
          <w:szCs w:val="22"/>
        </w:rPr>
        <w:t xml:space="preserve">CEA's energy-gated QNode activation (Section 5.4) is designed to produce activation sparsity of 5–15% at the quantum layer and 1–5% at higher layers — values consistent with observed biological sparse coding. Crucially, this sparsity emerges in CEA through the same mechanism as in cortex: energy-minimizing dynamics that deactivate low-information units. This convergent design principle provides biological plausibility grounding for CEA's energy efficiency projections. We note that direct comparison requires validating these sparsity figures empirically through the Phase 1 experiments (Section 16).</w:t>
      </w:r>
    </w:p>
    <w:p>
      <w:pPr>
        <w:pStyle w:val="Heading2"/>
        <w:spacing w:after="160" w:before="320"/>
      </w:pPr>
      <w:r>
        <w:rPr>
          <w:rFonts w:ascii="Calibri" w:cs="Calibri" w:eastAsia="Calibri" w:hAnsi="Calibri"/>
          <w:b/>
          <w:bCs/>
          <w:color w:val="2B5282"/>
          <w:sz w:val="28"/>
          <w:szCs w:val="28"/>
        </w:rPr>
        <w:t xml:space="preserve">2.12  Hippocampal Attractor Dynamics (NEW — Neuroscience Foundation III)</w:t>
      </w:r>
    </w:p>
    <w:p>
      <w:pPr>
        <w:spacing w:after="160"/>
        <w:jc w:val="both"/>
      </w:pPr>
      <w:r>
        <w:rPr>
          <w:rFonts w:ascii="Calibri" w:cs="Calibri" w:eastAsia="Calibri" w:hAnsi="Calibri"/>
          <w:sz w:val="22"/>
          <w:szCs w:val="22"/>
        </w:rPr>
        <w:t xml:space="preserve">Hopfield (1982) demonstrated that recurrent networks with symmetric connections implement associative memory through attractor dynamics: partial input patterns complete to stored patterns through energy minimization. Amit (1989) developed the theoretical framework for attractor neural networks as models of biological memory. Rolls (2013) showed that hippocampal CA3, with its extensive recurrent excitatory connections, implements exactly this form of content-addressable attractor memory — patterns are stored as energy minima and retrieved when partial cues activate the corresponding attractor basin.</w:t>
      </w:r>
    </w:p>
    <w:p>
      <w:pPr>
        <w:spacing w:after="160"/>
        <w:jc w:val="both"/>
      </w:pPr>
      <w:r>
        <w:rPr>
          <w:rFonts w:ascii="Calibri" w:cs="Calibri" w:eastAsia="Calibri" w:hAnsi="Calibri"/>
          <w:b/>
          <w:bCs/>
          <w:sz w:val="22"/>
          <w:szCs w:val="22"/>
        </w:rPr>
        <w:t xml:space="preserve">CEA architectural connection: </w:t>
      </w:r>
      <w:r>
        <w:rPr>
          <w:rFonts w:ascii="Calibri" w:cs="Calibri" w:eastAsia="Calibri" w:hAnsi="Calibri"/>
          <w:sz w:val="22"/>
          <w:szCs w:val="22"/>
        </w:rPr>
        <w:t xml:space="preserve">CEA's memory crystallization mechanism (Section 9) proposes that memories are stable low-energy configurations in the QNode field — patterns sufficiently visited and verified to crystallize into robust energy minima. Memory access via resonance (Section 9.3) is architecturally analogous to pattern completion in hippocampal CA3: partial activation drives recall of complete stored patterns through energy-minimizing dynamics. This convergence provides theoretical grounding for CEA's multi-scale memory architecture. The key extension beyond Hopfield/Rolls: CEA's six-scale memory hierarchy (wave through semantic schema) and phase-binding enrichment of pattern access are novel architectural features not present in classical attractor network theory.</w:t>
      </w:r>
    </w:p>
    <w:p>
      <w:pPr>
        <w:pStyle w:val="Heading2"/>
        <w:spacing w:after="160" w:before="320"/>
      </w:pPr>
      <w:r>
        <w:rPr>
          <w:rFonts w:ascii="Calibri" w:cs="Calibri" w:eastAsia="Calibri" w:hAnsi="Calibri"/>
          <w:b/>
          <w:bCs/>
          <w:color w:val="2B5282"/>
          <w:sz w:val="28"/>
          <w:szCs w:val="28"/>
        </w:rPr>
        <w:t xml:space="preserve">2.13  Neural Criticality (NEW — Neuroscience Foundation IV)</w:t>
      </w:r>
    </w:p>
    <w:p>
      <w:pPr>
        <w:spacing w:after="160"/>
        <w:jc w:val="both"/>
      </w:pPr>
      <w:r>
        <w:rPr>
          <w:rFonts w:ascii="Calibri" w:cs="Calibri" w:eastAsia="Calibri" w:hAnsi="Calibri"/>
          <w:sz w:val="22"/>
          <w:szCs w:val="22"/>
        </w:rPr>
        <w:t xml:space="preserve">Beggs &amp; Plenz (2003) discovered that cortical networks exhibit neuronal avalanches following a power-law distribution of sizes — a signature of operation near a critical phase transition between ordered and chaotic dynamics. Shew &amp; Plenz (2013) demonstrated that this near-critical regime maximizes dynamic range, information transmission capacity, and sensitivity to weak inputs. The critical brain hypothesis proposes that biological neural networks are tuned to operate at this phase boundary — the edge of order — where emergent collective behavior is maximized.</w:t>
      </w:r>
    </w:p>
    <w:p>
      <w:pPr>
        <w:spacing w:after="160"/>
        <w:jc w:val="both"/>
      </w:pPr>
      <w:r>
        <w:rPr>
          <w:rFonts w:ascii="Calibri" w:cs="Calibri" w:eastAsia="Calibri" w:hAnsi="Calibri"/>
          <w:b/>
          <w:bCs/>
          <w:sz w:val="22"/>
          <w:szCs w:val="22"/>
        </w:rPr>
        <w:t xml:space="preserve">CEA architectural connection: </w:t>
      </w:r>
      <w:r>
        <w:rPr>
          <w:rFonts w:ascii="Calibri" w:cs="Calibri" w:eastAsia="Calibri" w:hAnsi="Calibri"/>
          <w:sz w:val="22"/>
          <w:szCs w:val="22"/>
        </w:rPr>
        <w:t xml:space="preserve">CEA's thermodynamic energy dynamics are designed to maintain the QNode field near a regime analogous to neural criticality: the system seeks low-energy equilibrium (ordered) while maintaining sufficient entropy to explore adjacent hypothesis spaces (flexible). The composite training objective's entropy floor (Section 8.1, γ·H_entropy term with a minimum bound) is specifically designed to prevent the system from collapsing to full order — an architectural decision motivated by the criticality literature. We hypothesize that CEA systems operating near this critical regime will exhibit improved dynamic range and hypothesis exploration properties, testable through the Phase 1 emergence experiments (E1.1).</w:t>
      </w:r>
    </w:p>
    <w:p>
      <w:pPr>
        <w:pStyle w:val="Heading1"/>
        <w:spacing w:after="240" w:before="480"/>
      </w:pPr>
      <w:r>
        <w:rPr>
          <w:rFonts w:ascii="Calibri" w:cs="Calibri" w:eastAsia="Calibri" w:hAnsi="Calibri"/>
          <w:b/>
          <w:bCs/>
          <w:color w:val="1D3A5F"/>
          <w:sz w:val="36"/>
          <w:szCs w:val="36"/>
        </w:rPr>
        <w:t xml:space="preserve">3. The Verification-First Paradigm</w:t>
      </w:r>
    </w:p>
    <w:p>
      <w:pPr>
        <w:pStyle w:val="Heading2"/>
        <w:spacing w:after="160" w:before="320"/>
      </w:pPr>
      <w:r>
        <w:rPr>
          <w:rFonts w:ascii="Calibri" w:cs="Calibri" w:eastAsia="Calibri" w:hAnsi="Calibri"/>
          <w:b/>
          <w:bCs/>
          <w:color w:val="2B5282"/>
          <w:sz w:val="28"/>
          <w:szCs w:val="28"/>
        </w:rPr>
        <w:t xml:space="preserve">3.1  The Current Paradigm: Generation-Then-Filter</w:t>
      </w:r>
    </w:p>
    <w:p>
      <w:pPr>
        <w:spacing w:after="160"/>
        <w:jc w:val="both"/>
      </w:pPr>
      <w:r>
        <w:rPr>
          <w:rFonts w:ascii="Calibri" w:cs="Calibri" w:eastAsia="Calibri" w:hAnsi="Calibri"/>
          <w:sz w:val="22"/>
          <w:szCs w:val="22"/>
        </w:rPr>
        <w:t xml:space="preserve">Every widely deployed AI system today operates under what we term the Generation-Then-Filter paradigm. A model generates a candidate output — a token, a completion, an action — and correctness is evaluated post-hoc, whether by human reviewer, automated fact-checker, retrieval system, or constitutional AI judge. Regardless of implementation, the structural sequence is: generate, then verify, then filter.</w:t>
      </w:r>
    </w:p>
    <w:p>
      <w:pPr>
        <w:spacing w:after="160"/>
        <w:jc w:val="both"/>
      </w:pPr>
      <w:r>
        <w:rPr>
          <w:rFonts w:ascii="Calibri" w:cs="Calibri" w:eastAsia="Calibri" w:hAnsi="Calibri"/>
          <w:sz w:val="22"/>
          <w:szCs w:val="22"/>
        </w:rPr>
        <w:t xml:space="preserve">This paradigm has a structural limitation: it accepts that incorrect outputs will be generated and relies on filters to intercept them before deployment. In high-stakes domains — medicine, law, infrastructure control — a hallucination escaping the filter causes real harm. Furthermore, Generation-Then-Filter cannot provide formal guarantees on error rates — only empirical averages on evaluation sets that may not generalize.</w:t>
      </w:r>
    </w:p>
    <w:p>
      <w:pPr>
        <w:pStyle w:val="Heading2"/>
        <w:spacing w:after="160" w:before="320"/>
      </w:pPr>
      <w:r>
        <w:rPr>
          <w:rFonts w:ascii="Calibri" w:cs="Calibri" w:eastAsia="Calibri" w:hAnsi="Calibri"/>
          <w:b/>
          <w:bCs/>
          <w:color w:val="2B5282"/>
          <w:sz w:val="28"/>
          <w:szCs w:val="28"/>
        </w:rPr>
        <w:t xml:space="preserve">3.2  The CEA Proposal: Correctness as Thermodynamic Stability Condition</w:t>
      </w:r>
    </w:p>
    <w:p>
      <w:pPr>
        <w:spacing w:after="160"/>
        <w:jc w:val="both"/>
      </w:pPr>
      <w:r>
        <w:rPr>
          <w:rFonts w:ascii="Calibri" w:cs="Calibri" w:eastAsia="Calibri" w:hAnsi="Calibri"/>
          <w:sz w:val="22"/>
          <w:szCs w:val="22"/>
        </w:rPr>
        <w:t xml:space="preserve">CEA proposes the Verification-First paradigm as a theoretical alternative. Rather than evaluating correctness after generation, we hypothesize that correctness can be enforced as a thermodynamic stability condition during computation. Incorrect states — states violating the Reality Alignment Constraint — are assigned high energy by the system's physics. Since the system's dynamics minimize energy, incorrect states are structurally unstable: they arise transiently during exploratory computation but, under the ergodic dynamics assumption, cannot persist in equilibrium.</w:t>
      </w:r>
    </w:p>
    <w:p>
      <w:pPr>
        <w:pBdr>
          <w:top w:val="single" w:color="1A6B43" w:sz="4"/>
          <w:left w:val="thick" w:color="1A6B43" w:sz="14"/>
          <w:right w:val="single" w:color="1A6B43" w:sz="4"/>
        </w:pBdr>
        <w:spacing w:after="0" w:before="280"/>
      </w:pPr>
      <w:r>
        <w:rPr>
          <w:rFonts w:ascii="Calibri" w:cs="Calibri" w:eastAsia="Calibri" w:hAnsi="Calibri"/>
          <w:b/>
          <w:bCs/>
          <w:color w:val="1A6B43"/>
          <w:sz w:val="22"/>
          <w:szCs w:val="22"/>
        </w:rPr>
        <w:t xml:space="preserve">Hypothesis (Verification-First): </w:t>
      </w:r>
    </w:p>
    <w:p>
      <w:pPr>
        <w:pBdr>
          <w:bottom w:val="single" w:color="1A6B43" w:sz="4"/>
          <w:left w:val="thick" w:color="1A6B43" w:sz="14"/>
          <w:right w:val="single" w:color="1A6B43" w:sz="4"/>
        </w:pBdr>
        <w:spacing w:after="280"/>
      </w:pPr>
      <w:r>
        <w:rPr>
          <w:rFonts w:ascii="Calibri" w:cs="Calibri" w:eastAsia="Calibri" w:hAnsi="Calibri"/>
          <w:sz w:val="22"/>
          <w:szCs w:val="22"/>
        </w:rPr>
        <w:t xml:space="preserve">In a CEA system with properly designed grounding components, factual correctness is not a property evaluated after output generation. It is a thermodynamic stability condition enforced during computation. Incorrect outputs are not filtered after generation — they are energetically disfavored during generation. We propose this as a theoretical hypothesis, subject to the falsifiability conditions in Section 16.</w:t>
      </w:r>
    </w:p>
    <w:p>
      <w:pPr>
        <w:pStyle w:val="Heading2"/>
        <w:spacing w:after="160" w:before="320"/>
      </w:pPr>
      <w:r>
        <w:rPr>
          <w:rFonts w:ascii="Calibri" w:cs="Calibri" w:eastAsia="Calibri" w:hAnsi="Calibri"/>
          <w:b/>
          <w:bCs/>
          <w:color w:val="2B5282"/>
          <w:sz w:val="28"/>
          <w:szCs w:val="28"/>
        </w:rPr>
        <w:t xml:space="preserve">3.3  Why This Paradigm Requires Rethinking the Entire Stack</w:t>
      </w:r>
    </w:p>
    <w:p>
      <w:pPr>
        <w:spacing w:after="160"/>
        <w:jc w:val="both"/>
      </w:pPr>
      <w:r>
        <w:rPr>
          <w:rFonts w:ascii="Calibri" w:cs="Calibri" w:eastAsia="Calibri" w:hAnsi="Calibri"/>
          <w:sz w:val="22"/>
          <w:szCs w:val="22"/>
        </w:rPr>
        <w:t xml:space="preserve">The Verification-First paradigm, if confirmed, is not a feature addable to existing architectures. It requires: (i) a computational primitive (the QNode) natively carrying energy state; (ii) a verification engine (HVE) integrated into the computational substrate, not bolted on after generation; (iii) a training objective teaching the system to seek low-energy configurations; (iv) a global context representation enabling instantaneous propagation of consistency violations; and (v) hardware capable of running these dynamics at inference speed. Each requirement is addressed by a specific architectural component in CEA.</w:t>
      </w:r>
    </w:p>
    <w:p>
      <w:pPr>
        <w:pStyle w:val="Heading2"/>
        <w:spacing w:after="160" w:before="320"/>
      </w:pPr>
      <w:r>
        <w:rPr>
          <w:rFonts w:ascii="Calibri" w:cs="Calibri" w:eastAsia="Calibri" w:hAnsi="Calibri"/>
          <w:b/>
          <w:bCs/>
          <w:color w:val="2B5282"/>
          <w:sz w:val="28"/>
          <w:szCs w:val="28"/>
        </w:rPr>
        <w:t xml:space="preserve">3.4  The Energy-Correctness Equivalence Hypothesis</w:t>
      </w:r>
    </w:p>
    <w:p>
      <w:pPr>
        <w:spacing w:after="160"/>
        <w:jc w:val="both"/>
      </w:pPr>
      <w:r>
        <w:rPr>
          <w:rFonts w:ascii="Calibri" w:cs="Calibri" w:eastAsia="Calibri" w:hAnsi="Calibri"/>
          <w:sz w:val="22"/>
          <w:szCs w:val="22"/>
        </w:rPr>
        <w:t xml:space="preserve">The central theoretical claim of the Verification-First paradigm, stated formally as a hypothesis:</w:t>
      </w:r>
    </w:p>
    <w:p>
      <w:pPr>
        <w:pBdr>
          <w:top w:val="single" w:color="1A6B43" w:sz="4"/>
          <w:left w:val="thick" w:color="1A6B43" w:sz="14"/>
          <w:right w:val="single" w:color="1A6B43" w:sz="4"/>
        </w:pBdr>
        <w:spacing w:after="0" w:before="280"/>
      </w:pPr>
      <w:r>
        <w:rPr>
          <w:rFonts w:ascii="Calibri" w:cs="Calibri" w:eastAsia="Calibri" w:hAnsi="Calibri"/>
          <w:b/>
          <w:bCs/>
          <w:color w:val="1A6B43"/>
          <w:sz w:val="22"/>
          <w:szCs w:val="22"/>
        </w:rPr>
        <w:t xml:space="preserve">Hypothesis 1 (Energy-Correctness Equivalence): </w:t>
      </w:r>
    </w:p>
    <w:p>
      <w:pPr>
        <w:pBdr>
          <w:bottom w:val="single" w:color="1A6B43" w:sz="4"/>
          <w:left w:val="thick" w:color="1A6B43" w:sz="14"/>
          <w:right w:val="single" w:color="1A6B43" w:sz="4"/>
        </w:pBdr>
        <w:spacing w:after="280"/>
      </w:pPr>
      <w:r>
        <w:rPr>
          <w:rFonts w:ascii="Calibri" w:cs="Calibri" w:eastAsia="Calibri" w:hAnsi="Calibri"/>
          <w:sz w:val="22"/>
          <w:szCs w:val="22"/>
        </w:rPr>
        <w:t xml:space="preserve">In a CEA system with properly calibrated grounding components, we hypothesize the existence of a monotonically decreasing mapping f: ℝ⁺ → [0,1] such that P(correct | state s) ≈ f(ε(s)), where ε(s) is the energy of state s. High-energy states are factually incorrect; low-energy states are factually correct. This hypothesis is testable through Experiment E2.2 (Section 16). If TruthfulQA performance does not correlate significantly with QNode energy levels, this hypothesis is falsified.</w:t>
      </w:r>
    </w:p>
    <w:p>
      <w:pPr>
        <w:spacing w:after="160"/>
        <w:jc w:val="both"/>
      </w:pPr>
      <w:r>
        <w:rPr>
          <w:rFonts w:ascii="Calibri" w:cs="Calibri" w:eastAsia="Calibri" w:hAnsi="Calibri"/>
          <w:sz w:val="22"/>
          <w:szCs w:val="22"/>
        </w:rPr>
        <w:t xml:space="preserve">If this equivalence holds empirically, it would establish that truth-seeking cognition and thermodynamic energy minimization are computationally equivalent processes — a unification with significant theoretical implications. The experimental program is designed to test this claim rigorously.</w:t>
      </w:r>
    </w:p>
    <w:p>
      <w:pPr>
        <w:pStyle w:val="Heading1"/>
        <w:spacing w:after="240" w:before="480"/>
      </w:pPr>
      <w:r>
        <w:rPr>
          <w:rFonts w:ascii="Calibri" w:cs="Calibri" w:eastAsia="Calibri" w:hAnsi="Calibri"/>
          <w:b/>
          <w:bCs/>
          <w:color w:val="1D3A5F"/>
          <w:sz w:val="36"/>
          <w:szCs w:val="36"/>
        </w:rPr>
        <w:t xml:space="preserve">4. Architectural Overview</w:t>
      </w:r>
    </w:p>
    <w:p>
      <w:pPr>
        <w:pStyle w:val="Heading2"/>
        <w:spacing w:after="160" w:before="320"/>
      </w:pPr>
      <w:r>
        <w:rPr>
          <w:rFonts w:ascii="Calibri" w:cs="Calibri" w:eastAsia="Calibri" w:hAnsi="Calibri"/>
          <w:b/>
          <w:bCs/>
          <w:color w:val="2B5282"/>
          <w:sz w:val="28"/>
          <w:szCs w:val="28"/>
        </w:rPr>
        <w:t xml:space="preserve">4.1  The Six-Layer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000"/>
        <w:gridCol w:w="1600"/>
        <w:gridCol w:w="1600"/>
        <w:gridCol w:w="1660"/>
      </w:tblGrid>
      <w:tr>
        <w:trPr>
          <w:tblHeader/>
        </w:trPr>
        <w:tc>
          <w:tcPr>
            <w:tcW w:type="dxa" w:w="1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13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Entity</w:t>
            </w:r>
          </w:p>
        </w:tc>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6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W w:type="dxa" w:w="16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Analogy</w:t>
            </w:r>
          </w:p>
        </w:tc>
        <w:tc>
          <w:tcPr>
            <w:tcW w:type="dxa" w:w="16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Critical Metric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L1 Quantum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Probabilistic dynamic state computation, phase oscillation, energy routing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Particle patterns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Quarks / Fields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Activation sparsity ≤ 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L2 Particle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Stable symbolic microstructure formation via attraction-repulsion bonding dynamics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Atomic clusters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Atoms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Cluster stability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L3 Atomic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Persistent field-based memory encoding, localized causal reasoning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Molecular graphs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Molecules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Memory crystallization rate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L4 Molecular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Concept formation, semantic composition, context binding, symbolic consistency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Cellular agents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Macromolecules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Semantic F1 score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L5 Cellular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Autonomous cognitive agents: planning, perception, memory, simulation, self-reflection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 systems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Neurons / Cells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BIG-Bench task accuracy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L6 Organism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Global Mind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Global orchestration via Tensor Field, multi-agent synchronization, recursive self-modeling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Coherent reasoning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Prefrontal cortex / GWT global workspace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Cross-layer consistency</w:t>
            </w:r>
          </w:p>
        </w:tc>
      </w:tr>
    </w:tbl>
    <w:p>
      <w:pPr>
        <w:spacing w:after="280" w:before="60"/>
        <w:jc w:val="center"/>
      </w:pPr>
      <w:r>
        <w:rPr>
          <w:rFonts w:ascii="Calibri" w:cs="Calibri" w:eastAsia="Calibri" w:hAnsi="Calibri"/>
          <w:i/>
          <w:iCs/>
          <w:color w:val="555555"/>
          <w:sz w:val="20"/>
          <w:szCs w:val="20"/>
        </w:rPr>
        <w:t xml:space="preserve">Table 1. CEA six-layer hierarchy — entities, roles, outputs, biological analogies, and primary validation metrics.</w:t>
      </w:r>
    </w:p>
    <w:p>
      <w:pPr>
        <w:pStyle w:val="Heading2"/>
        <w:spacing w:after="160" w:before="320"/>
      </w:pPr>
      <w:r>
        <w:rPr>
          <w:rFonts w:ascii="Calibri" w:cs="Calibri" w:eastAsia="Calibri" w:hAnsi="Calibri"/>
          <w:b/>
          <w:bCs/>
          <w:color w:val="2B5282"/>
          <w:sz w:val="28"/>
          <w:szCs w:val="28"/>
        </w:rPr>
        <w:t xml:space="preserve">4.2  Bidirectional Information Flow</w:t>
      </w:r>
    </w:p>
    <w:p>
      <w:pPr>
        <w:spacing w:after="160"/>
        <w:jc w:val="both"/>
      </w:pPr>
      <w:r>
        <w:rPr>
          <w:rFonts w:ascii="Calibri" w:cs="Calibri" w:eastAsia="Calibri" w:hAnsi="Calibri"/>
          <w:sz w:val="22"/>
          <w:szCs w:val="22"/>
        </w:rPr>
        <w:t xml:space="preserve">CEA is explicitly not a feedforward pipeline. Information flows through three simultaneous channels:</w:t>
      </w:r>
    </w:p>
    <w:p>
      <w:pPr>
        <w:pStyle w:val="ListParagraph"/>
        <w:numPr>
          <w:ilvl w:val="0"/>
          <w:numId w:val="1"/>
        </w:numPr>
        <w:spacing w:after="100"/>
      </w:pPr>
      <w:r>
        <w:rPr>
          <w:rFonts w:ascii="Calibri" w:cs="Calibri" w:eastAsia="Calibri" w:hAnsi="Calibri"/>
          <w:b/>
          <w:bCs/>
          <w:sz w:val="22"/>
          <w:szCs w:val="22"/>
        </w:rPr>
        <w:t xml:space="preserve">Bottom-up emergence: </w:t>
      </w:r>
      <w:r>
        <w:rPr>
          <w:rFonts w:ascii="Calibri" w:cs="Calibri" w:eastAsia="Calibri" w:hAnsi="Calibri"/>
          <w:sz w:val="22"/>
          <w:szCs w:val="22"/>
        </w:rPr>
        <w:t xml:space="preserve">QNode interactions produce particle patterns; stable clusters crystallize into atomic memory; atomic graphs compose into molecular semantics; molecular patterns aggregate into cellular agent states; cellular collaboration produces organism-level coherence.</w:t>
      </w:r>
    </w:p>
    <w:p>
      <w:pPr>
        <w:pStyle w:val="ListParagraph"/>
        <w:numPr>
          <w:ilvl w:val="0"/>
          <w:numId w:val="1"/>
        </w:numPr>
        <w:spacing w:after="100"/>
      </w:pPr>
      <w:r>
        <w:rPr>
          <w:rFonts w:ascii="Calibri" w:cs="Calibri" w:eastAsia="Calibri" w:hAnsi="Calibri"/>
          <w:b/>
          <w:bCs/>
          <w:sz w:val="22"/>
          <w:szCs w:val="22"/>
        </w:rPr>
        <w:t xml:space="preserve">Top-down context projection: </w:t>
      </w:r>
      <w:r>
        <w:rPr>
          <w:rFonts w:ascii="Calibri" w:cs="Calibri" w:eastAsia="Calibri" w:hAnsi="Calibri"/>
          <w:sz w:val="22"/>
          <w:szCs w:val="22"/>
        </w:rPr>
        <w:t xml:space="preserve">The organism layer maintains a QITF tensor field encoding global context. This tensor is broadcast downward continuously, conditioning QNode dynamics at every layer without requiring sequential message passing.</w:t>
      </w:r>
    </w:p>
    <w:p>
      <w:pPr>
        <w:pStyle w:val="ListParagraph"/>
        <w:numPr>
          <w:ilvl w:val="0"/>
          <w:numId w:val="1"/>
        </w:numPr>
        <w:spacing w:after="100"/>
      </w:pPr>
      <w:r>
        <w:rPr>
          <w:rFonts w:ascii="Calibri" w:cs="Calibri" w:eastAsia="Calibri" w:hAnsi="Calibri"/>
          <w:b/>
          <w:bCs/>
          <w:sz w:val="22"/>
          <w:szCs w:val="22"/>
        </w:rPr>
        <w:t xml:space="preserve">Lateral resonance: </w:t>
      </w:r>
      <w:r>
        <w:rPr>
          <w:rFonts w:ascii="Calibri" w:cs="Calibri" w:eastAsia="Calibri" w:hAnsi="Calibri"/>
          <w:sz w:val="22"/>
          <w:szCs w:val="22"/>
        </w:rPr>
        <w:t xml:space="preserve">Within each layer, entities interact locally through field coupling Γ, producing collective dynamics from which layer-level representations emerge without centralized coordination.</w:t>
      </w:r>
    </w:p>
    <w:p>
      <w:pPr>
        <w:pStyle w:val="Heading2"/>
        <w:spacing w:after="160" w:before="320"/>
      </w:pPr>
      <w:r>
        <w:rPr>
          <w:rFonts w:ascii="Calibri" w:cs="Calibri" w:eastAsia="Calibri" w:hAnsi="Calibri"/>
          <w:b/>
          <w:bCs/>
          <w:color w:val="2B5282"/>
          <w:sz w:val="28"/>
          <w:szCs w:val="28"/>
        </w:rPr>
        <w:t xml:space="preserve">4.3  The Hierarchical Verification Engine</w:t>
      </w:r>
    </w:p>
    <w:p>
      <w:pPr>
        <w:spacing w:after="160"/>
        <w:jc w:val="both"/>
      </w:pPr>
      <w:r>
        <w:rPr>
          <w:rFonts w:ascii="Calibri" w:cs="Calibri" w:eastAsia="Calibri" w:hAnsi="Calibri"/>
          <w:sz w:val="22"/>
          <w:szCs w:val="22"/>
        </w:rPr>
        <w:t xml:space="preserve">The Hierarchical Verification Engine (HVE) is a four-tier verification substrate running in parallel with all six processing layers. Unlike post-hoc fact-checkers, the HVE is structurally integrated — its verdicts are expressed as energy penalties in the QNode field, directly shaping thermodynamic dynamics of computation. The HVE is detailed in Section 6.</w:t>
      </w:r>
    </w:p>
    <w:p>
      <w:pPr>
        <w:pStyle w:val="Heading2"/>
        <w:spacing w:after="160" w:before="320"/>
      </w:pPr>
      <w:r>
        <w:rPr>
          <w:rFonts w:ascii="Calibri" w:cs="Calibri" w:eastAsia="Calibri" w:hAnsi="Calibri"/>
          <w:b/>
          <w:bCs/>
          <w:color w:val="2B5282"/>
          <w:sz w:val="28"/>
          <w:szCs w:val="28"/>
        </w:rPr>
        <w:t xml:space="preserve">4.4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2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Trigger Condition</w:t>
            </w:r>
          </w:p>
        </w:tc>
        <w:tc>
          <w:tcPr>
            <w:tcW w:type="dxa" w:w="5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Mechanism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Deterministic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G(s) &gt;&gt; θ, stable field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Greedy energy-minimum selection. Used for well-grounded factual retrieval. Temperature → 0 in Boltzmann sampling.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Probabilistic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Moderate uncertainty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Temperature-weighted sampling from low-energy state distribution. Multiple pathways evaluated; energy-ranked selection. Analogous to beam search but thermodynamically constrained.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Superposition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Novel or ambiguous input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Parallel hypothesis tensor maintained as superposition of competing interpretations. Tensor Field collapse via contraction selects minimum-energy consistent state. Equivalent to coherent multi-hypothesis inference before observation.</w:t>
            </w:r>
          </w:p>
        </w:tc>
      </w:tr>
    </w:tbl>
    <w:p>
      <w:pPr>
        <w:spacing w:after="280" w:before="60"/>
        <w:jc w:val="center"/>
      </w:pPr>
      <w:r>
        <w:rPr>
          <w:rFonts w:ascii="Calibri" w:cs="Calibri" w:eastAsia="Calibri" w:hAnsi="Calibri"/>
          <w:i/>
          <w:iCs/>
          <w:color w:val="555555"/>
          <w:sz w:val="20"/>
          <w:szCs w:val="20"/>
        </w:rPr>
        <w:t xml:space="preserve">Table 2. CEA execution modes and triggering conditions.</w:t>
      </w:r>
    </w:p>
    <w:p>
      <w:pPr>
        <w:pStyle w:val="Heading1"/>
        <w:spacing w:after="240" w:before="480"/>
      </w:pPr>
      <w:r>
        <w:rPr>
          <w:rFonts w:ascii="Calibri" w:cs="Calibri" w:eastAsia="Calibri" w:hAnsi="Calibri"/>
          <w:b/>
          <w:bCs/>
          <w:color w:val="1D3A5F"/>
          <w:sz w:val="36"/>
          <w:szCs w:val="36"/>
        </w:rPr>
        <w:t xml:space="preserve">5. The QNode: Atomic Unit of Computation</w:t>
      </w:r>
    </w:p>
    <w:p>
      <w:pPr>
        <w:pStyle w:val="Heading2"/>
        <w:spacing w:after="160" w:before="320"/>
      </w:pPr>
      <w:r>
        <w:rPr>
          <w:rFonts w:ascii="Calibri" w:cs="Calibri" w:eastAsia="Calibri" w:hAnsi="Calibri"/>
          <w:b/>
          <w:bCs/>
          <w:color w:val="2B5282"/>
          <w:sz w:val="28"/>
          <w:szCs w:val="28"/>
        </w:rPr>
        <w:t xml:space="preserve">5.1  Motivation and Design Philosophy</w:t>
      </w:r>
    </w:p>
    <w:p>
      <w:pPr>
        <w:spacing w:after="160"/>
        <w:jc w:val="both"/>
      </w:pPr>
      <w:r>
        <w:rPr>
          <w:rFonts w:ascii="Calibri" w:cs="Calibri" w:eastAsia="Calibri" w:hAnsi="Calibri"/>
          <w:sz w:val="22"/>
          <w:szCs w:val="22"/>
        </w:rPr>
        <w:t xml:space="preserve">The artificial neuron as instantiated in every major deep learning architecture is a stateless scalar function: it receives a weighted sum of inputs, applies a nonlinearity, and produces a single output value. Its computational history is discarded between forward passes. This design, while GPU-parallelizable, is thermodynamically inert: neurons have no energy, no phase, no temporal memory, no capacity for collective dynamics.</w:t>
      </w:r>
    </w:p>
    <w:p>
      <w:pPr>
        <w:spacing w:after="160"/>
        <w:jc w:val="both"/>
      </w:pPr>
      <w:r>
        <w:rPr>
          <w:rFonts w:ascii="Calibri" w:cs="Calibri" w:eastAsia="Calibri" w:hAnsi="Calibri"/>
          <w:sz w:val="22"/>
          <w:szCs w:val="22"/>
        </w:rPr>
        <w:t xml:space="preserve">The QNode is a complete reconception of the computational primitive. It is a dynamic state entity — persistent, energy-aware, phase-synchronized, and temporally sensitive. QNodes do not process inputs; they evolve in response to them. Intelligence is not computed; it emerges from evolution.</w:t>
      </w:r>
    </w:p>
    <w:p>
      <w:pPr>
        <w:pStyle w:val="Heading2"/>
        <w:spacing w:after="160" w:before="320"/>
      </w:pPr>
      <w:r>
        <w:rPr>
          <w:rFonts w:ascii="Calibri" w:cs="Calibri" w:eastAsia="Calibri" w:hAnsi="Calibri"/>
          <w:b/>
          <w:bCs/>
          <w:color w:val="2B5282"/>
          <w:sz w:val="28"/>
          <w:szCs w:val="28"/>
        </w:rPr>
        <w:t xml:space="preserve">5.2  Formal Definition</w:t>
      </w:r>
    </w:p>
    <w:p>
      <w:pPr>
        <w:spacing w:after="160"/>
        <w:jc w:val="both"/>
      </w:pPr>
      <w:r>
        <w:rPr>
          <w:rFonts w:ascii="Calibri" w:cs="Calibri" w:eastAsia="Calibri" w:hAnsi="Calibri"/>
          <w:sz w:val="22"/>
          <w:szCs w:val="22"/>
        </w:rPr>
        <w:t xml:space="preserve">A QNode Q is formally defined as a five-tuple evolving in discrete time:</w:t>
      </w:r>
    </w:p>
    <w:p>
      <w:pPr>
        <w:spacing w:after="160" w:before="160"/>
        <w:jc w:val="center"/>
      </w:pPr>
      <w:r>
        <w:rPr>
          <w:rFonts w:ascii="Courier New" w:cs="Courier New" w:eastAsia="Courier New" w:hAnsi="Courier New"/>
          <w:b/>
          <w:bCs/>
          <w:sz w:val="22"/>
          <w:szCs w:val="22"/>
        </w:rPr>
        <w:t xml:space="preserve">Q(t) = (ψ(t),  φ(t),  ε(t),  μ(t),  Γ(t))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000"/>
        <w:gridCol w:w="5400"/>
      </w:tblGrid>
      <w:tr>
        <w:trPr>
          <w:tblHeader/>
        </w:trPr>
        <w:tc>
          <w:tcPr>
            <w:tcW w:type="dxa" w:w="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Symbol</w:t>
            </w:r>
          </w:p>
        </w:tc>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Domain</w:t>
            </w:r>
          </w:p>
        </w:tc>
        <w:tc>
          <w:tcPr>
            <w:tcW w:type="dxa" w:w="5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Role and Definition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ψ(t)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State Vector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ψ ∈ ℝⁿ</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Multi-dimensional internal representation encoding activation, contextual content, and relational position. Unlike scalar activation, ψ encodes rich compositional content. Dimensionality n is a per-layer hyperparameter.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φ(t)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φ ∈ [0, 2π)</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Oscillatory phase angle. Phase synchronization across QNode clusters encodes compositional binding — co-activated, semantically related concepts synchronize phases. Implements the neural binding solution without explicit pointer structures.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ε(t)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Energy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ε ∈ ℝ⁺</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Computational energy level encoding prediction error magnitude and verification failure penalty. Governs activation gating: low-ε QNodes enter quiescent state consuming near-zero resources.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μ(t)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Memory Trace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μ(t) = αμ(t-1) + (1-α)ψ(t)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Exponentially decaying trace of recent activation. Provides temporal context sensitivity. Decay constant α ∈ (0,1) is a learnable parameter per QNode.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Γ(t)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Connection 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Γ: N(Q) → ℝ</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Dynamic weighted field over neighboring QNodes. Unlike static weights, Γ evolves through interaction: resonance reinforcement strengthens correlated connections; energy-gradient pruning eliminates zero-signal connections.</w:t>
            </w:r>
          </w:p>
        </w:tc>
      </w:tr>
    </w:tbl>
    <w:p>
      <w:pPr>
        <w:spacing w:after="280" w:before="60"/>
        <w:jc w:val="center"/>
      </w:pPr>
      <w:r>
        <w:rPr>
          <w:rFonts w:ascii="Calibri" w:cs="Calibri" w:eastAsia="Calibri" w:hAnsi="Calibri"/>
          <w:i/>
          <w:iCs/>
          <w:color w:val="555555"/>
          <w:sz w:val="20"/>
          <w:szCs w:val="20"/>
        </w:rPr>
        <w:t xml:space="preserve">Table 3. QNode five-tuple components with formal definitions.</w:t>
      </w:r>
    </w:p>
    <w:p>
      <w:pPr>
        <w:pStyle w:val="Heading2"/>
        <w:spacing w:after="160" w:before="320"/>
      </w:pPr>
      <w:r>
        <w:rPr>
          <w:rFonts w:ascii="Calibri" w:cs="Calibri" w:eastAsia="Calibri" w:hAnsi="Calibri"/>
          <w:b/>
          <w:bCs/>
          <w:color w:val="2B5282"/>
          <w:sz w:val="28"/>
          <w:szCs w:val="28"/>
        </w:rPr>
        <w:t xml:space="preserve">5.3  Transition Dynamics</w:t>
      </w:r>
    </w:p>
    <w:p>
      <w:pPr>
        <w:spacing w:after="160"/>
        <w:jc w:val="both"/>
      </w:pPr>
      <w:r>
        <w:rPr>
          <w:rFonts w:ascii="Calibri" w:cs="Calibri" w:eastAsia="Calibri" w:hAnsi="Calibri"/>
          <w:sz w:val="22"/>
          <w:szCs w:val="22"/>
        </w:rPr>
        <w:t xml:space="preserve">The temporal evolution of a QNode is governed by its transition function T, integrating four information sources:</w:t>
      </w:r>
    </w:p>
    <w:p>
      <w:pPr>
        <w:spacing w:after="160" w:before="160"/>
        <w:jc w:val="center"/>
      </w:pPr>
      <w:r>
        <w:rPr>
          <w:rFonts w:ascii="Courier New" w:cs="Courier New" w:eastAsia="Courier New" w:hAnsi="Courier New"/>
          <w:b/>
          <w:bCs/>
          <w:sz w:val="22"/>
          <w:szCs w:val="22"/>
        </w:rPr>
        <w:t xml:space="preserve">Q(t+1) = T( Q(t),  N_Γ(Q,t),  S_env(t),  F_global(t) )</w:t>
      </w:r>
    </w:p>
    <w:p>
      <w:pPr>
        <w:spacing w:after="160"/>
        <w:jc w:val="both"/>
      </w:pPr>
      <w:r>
        <w:rPr>
          <w:rFonts w:ascii="Calibri" w:cs="Calibri" w:eastAsia="Calibri" w:hAnsi="Calibri"/>
          <w:sz w:val="22"/>
          <w:szCs w:val="22"/>
        </w:rPr>
        <w:t xml:space="preserve">Where N_Γ(Q,t) is the weighted neighborhood via connection field Γ; S_env(t) is the environmental signal at time t; and F_global(t) is the Quantum-Inspired Tensor Field from the organism layer. Component update equations:</w:t>
      </w:r>
    </w:p>
    <w:p>
      <w:pPr>
        <w:spacing w:after="160" w:before="160"/>
        <w:jc w:val="center"/>
      </w:pPr>
      <w:r>
        <w:rPr>
          <w:rFonts w:ascii="Courier New" w:cs="Courier New" w:eastAsia="Courier New" w:hAnsi="Courier New"/>
          <w:b/>
          <w:bCs/>
          <w:sz w:val="22"/>
          <w:szCs w:val="22"/>
        </w:rPr>
        <w:t xml:space="preserve">ψ(t+1) = f_ψ( ψ(t),  N_Γ,  S_env,  F_global )</w:t>
      </w:r>
    </w:p>
    <w:p>
      <w:pPr>
        <w:spacing w:after="160" w:before="160"/>
        <w:jc w:val="center"/>
      </w:pPr>
      <w:r>
        <w:rPr>
          <w:rFonts w:ascii="Courier New" w:cs="Courier New" w:eastAsia="Courier New" w:hAnsi="Courier New"/>
          <w:b/>
          <w:bCs/>
          <w:sz w:val="22"/>
          <w:szCs w:val="22"/>
        </w:rPr>
        <w:t xml:space="preserve">φ(t+1) = φ(t) + ω + κ·Σ_{j∈N} sin(φ_j − φ) + ξ_phase          [Kuramoto dynamics]</w:t>
      </w:r>
    </w:p>
    <w:p>
      <w:pPr>
        <w:spacing w:after="160" w:before="160"/>
        <w:jc w:val="center"/>
      </w:pPr>
      <w:r>
        <w:rPr>
          <w:rFonts w:ascii="Courier New" w:cs="Courier New" w:eastAsia="Courier New" w:hAnsi="Courier New"/>
          <w:b/>
          <w:bCs/>
          <w:sz w:val="22"/>
          <w:szCs w:val="22"/>
        </w:rPr>
        <w:t xml:space="preserve">ε(t+1) = β·ε(t) + L_pred(t) + λ_HVE·P_violation(t)               [energy accumulation]</w:t>
      </w:r>
    </w:p>
    <w:p>
      <w:pPr>
        <w:spacing w:after="160" w:before="160"/>
        <w:jc w:val="center"/>
      </w:pPr>
      <w:r>
        <w:rPr>
          <w:rFonts w:ascii="Courier New" w:cs="Courier New" w:eastAsia="Courier New" w:hAnsi="Courier New"/>
          <w:b/>
          <w:bCs/>
          <w:sz w:val="22"/>
          <w:szCs w:val="22"/>
        </w:rPr>
        <w:t xml:space="preserve">μ(t+1) = α·μ(t) + (1−α)·ψ(t+1)                                   [trace update]</w:t>
      </w:r>
    </w:p>
    <w:p>
      <w:pPr>
        <w:spacing w:after="160" w:before="160"/>
        <w:jc w:val="center"/>
      </w:pPr>
      <w:r>
        <w:rPr>
          <w:rFonts w:ascii="Courier New" w:cs="Courier New" w:eastAsia="Courier New" w:hAnsi="Courier New"/>
          <w:b/>
          <w:bCs/>
          <w:sz w:val="22"/>
          <w:szCs w:val="22"/>
        </w:rPr>
        <w:t xml:space="preserve">Γ(t+1) = Γ(t) + η·Δ_resonance − γ·Γ(t)·1[ε_j &lt; ε_min]            [field update]</w:t>
      </w:r>
    </w:p>
    <w:p>
      <w:pPr>
        <w:spacing w:after="160"/>
        <w:jc w:val="both"/>
      </w:pPr>
      <w:r>
        <w:rPr>
          <w:rFonts w:ascii="Calibri" w:cs="Calibri" w:eastAsia="Calibri" w:hAnsi="Calibri"/>
          <w:sz w:val="22"/>
          <w:szCs w:val="22"/>
        </w:rPr>
        <w:t xml:space="preserve">The phase update uses Kuramoto coupled-oscillator dynamics — a mathematically well-studied model of synchronization in coupled nonlinear oscillators (Kuramoto, 1984) exhibiting the sharp synchronization transitions needed for phase-binding. The energy update accumulates prediction error plus HVE penalty P_violation, creating thermodynamic pressure toward grounded, consistent states.</w:t>
      </w:r>
    </w:p>
    <w:p>
      <w:pPr>
        <w:pStyle w:val="Heading2"/>
        <w:spacing w:after="160" w:before="320"/>
      </w:pPr>
      <w:r>
        <w:rPr>
          <w:rFonts w:ascii="Calibri" w:cs="Calibri" w:eastAsia="Calibri" w:hAnsi="Calibri"/>
          <w:b/>
          <w:bCs/>
          <w:color w:val="2B5282"/>
          <w:sz w:val="28"/>
          <w:szCs w:val="28"/>
        </w:rPr>
        <w:t xml:space="preserve">5.4  Energy Gating and Sparse Activation</w:t>
      </w:r>
    </w:p>
    <w:p>
      <w:pPr>
        <w:spacing w:after="160"/>
        <w:jc w:val="both"/>
      </w:pPr>
      <w:r>
        <w:rPr>
          <w:rFonts w:ascii="Calibri" w:cs="Calibri" w:eastAsia="Calibri" w:hAnsi="Calibri"/>
          <w:sz w:val="22"/>
          <w:szCs w:val="22"/>
        </w:rPr>
        <w:t xml:space="preserve">QNodes with ε(t) &lt; ε_min enter a quiescent state in which they do not compute, transmit, or consume resources. This energy gating produces sparse activation: at any given time, only QNodes with prediction error above threshold are active. We project 5–15% activation sparsity at the quantum layer and 1–5% at higher layers — consistent with sparse coding principles observed in biological sensory cortex (Olshausen &amp; Field, 1996), where approximately 1–5% of neurons are active at any moment, emerging from the same energy-minimizing optimization principle. These projections are hypotheses to be validated through Experiment E1.2.</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Empirical caveat on sparsity projection: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The 5–15% sparsity figure is derived from theoretical analysis and biological analogy, not measured from any implemented QNode system. If E1.2 shows active QNode fraction exceeding 20% at L1, the energy gating mechanism is insufficient for projected efficiency gains and the sparse activation hypothesis requires architectural revision.</w:t>
      </w:r>
    </w:p>
    <w:p>
      <w:pPr>
        <w:pStyle w:val="Heading2"/>
        <w:spacing w:after="160" w:before="320"/>
      </w:pPr>
      <w:r>
        <w:rPr>
          <w:rFonts w:ascii="Calibri" w:cs="Calibri" w:eastAsia="Calibri" w:hAnsi="Calibri"/>
          <w:b/>
          <w:bCs/>
          <w:color w:val="2B5282"/>
          <w:sz w:val="28"/>
          <w:szCs w:val="28"/>
        </w:rPr>
        <w:t xml:space="preserve">5.5  Comparative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560"/>
        <w:gridCol w:w="2760"/>
      </w:tblGrid>
      <w:tr>
        <w:trPr>
          <w:tblHeader/>
        </w:trPr>
        <w:tc>
          <w:tcPr>
            <w:tcW w:type="dxa" w:w="21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144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MLP Neuron</w:t>
            </w:r>
          </w:p>
        </w:tc>
        <w:tc>
          <w:tcPr>
            <w:tcW w:type="dxa" w:w="144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Transformer Attention</w:t>
            </w:r>
          </w:p>
        </w:tc>
        <w:tc>
          <w:tcPr>
            <w:tcW w:type="dxa" w:w="1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SNN Spike</w:t>
            </w:r>
          </w:p>
        </w:tc>
        <w:tc>
          <w:tcPr>
            <w:tcW w:type="dxa" w:w="27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QNode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State dimensions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 (stateless)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 (stateless)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(potential)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 (full tuple)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Temporal memory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None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KV cache (external)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STDP trace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Native μ(t)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Energy awareness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Spike cost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ε dynamics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Phase binding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Implicit (attention)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Partial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Kuramoto synchronization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Grounding integration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Yes (HVE penalty in ε)</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Sparse activation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(always-on)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Partial (MoE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Yes (ε-gating)</w:t>
            </w:r>
          </w:p>
        </w:tc>
      </w:tr>
    </w:tbl>
    <w:p>
      <w:pPr>
        <w:spacing w:after="280" w:before="60"/>
        <w:jc w:val="center"/>
      </w:pPr>
      <w:r>
        <w:rPr>
          <w:rFonts w:ascii="Calibri" w:cs="Calibri" w:eastAsia="Calibri" w:hAnsi="Calibri"/>
          <w:i/>
          <w:iCs/>
          <w:color w:val="555555"/>
          <w:sz w:val="20"/>
          <w:szCs w:val="20"/>
        </w:rPr>
        <w:t xml:space="preserve">Table 4. Comparative properties of computational primitives across architectures.</w:t>
      </w:r>
    </w:p>
    <w:p>
      <w:pPr>
        <w:pStyle w:val="Heading1"/>
        <w:spacing w:after="240" w:before="480"/>
      </w:pPr>
      <w:r>
        <w:rPr>
          <w:rFonts w:ascii="Calibri" w:cs="Calibri" w:eastAsia="Calibri" w:hAnsi="Calibri"/>
          <w:b/>
          <w:bCs/>
          <w:color w:val="1D3A5F"/>
          <w:sz w:val="36"/>
          <w:szCs w:val="36"/>
        </w:rPr>
        <w:t xml:space="preserve">6. Hierarchical Verification Engine (HVE)</w:t>
      </w:r>
    </w:p>
    <w:p>
      <w:pPr>
        <w:pStyle w:val="Heading2"/>
        <w:spacing w:after="160" w:before="320"/>
      </w:pPr>
      <w:r>
        <w:rPr>
          <w:rFonts w:ascii="Calibri" w:cs="Calibri" w:eastAsia="Calibri" w:hAnsi="Calibri"/>
          <w:b/>
          <w:bCs/>
          <w:color w:val="2B5282"/>
          <w:sz w:val="28"/>
          <w:szCs w:val="28"/>
        </w:rPr>
        <w:t xml:space="preserve">6.1  Architectural Motivation</w:t>
      </w:r>
    </w:p>
    <w:p>
      <w:pPr>
        <w:spacing w:after="160"/>
        <w:jc w:val="both"/>
      </w:pPr>
      <w:r>
        <w:rPr>
          <w:rFonts w:ascii="Calibri" w:cs="Calibri" w:eastAsia="Calibri" w:hAnsi="Calibri"/>
          <w:sz w:val="22"/>
          <w:szCs w:val="22"/>
        </w:rPr>
        <w:t xml:space="preserve">The v0.1 Reality Alignment Constraint G(s) = f(Ψ_env, Ψ_time, Ψ_causal, Ψ_ext) ≥ θ correctly identified four dimensions of grounding but left their computation underspecified. The Hierarchical Verification Engine resolves this by decomposing verification into four tiers of increasing computational cost and decreasing frequency, operating in parallel across the processing layers. This decomposition ensures that routine inferences incur only lightweight T1 verification overhead, while novel or high-stakes claims trigger the full T4 simulation pipeline.</w:t>
      </w:r>
    </w:p>
    <w:p>
      <w:pPr>
        <w:pStyle w:val="Heading2"/>
        <w:spacing w:after="160" w:before="320"/>
      </w:pPr>
      <w:r>
        <w:rPr>
          <w:rFonts w:ascii="Calibri" w:cs="Calibri" w:eastAsia="Calibri" w:hAnsi="Calibri"/>
          <w:b/>
          <w:bCs/>
          <w:color w:val="2B5282"/>
          <w:sz w:val="28"/>
          <w:szCs w:val="28"/>
        </w:rPr>
        <w:t xml:space="preserve">6.2  Four-Tier Architecture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400"/>
        <w:gridCol w:w="1400"/>
        <w:gridCol w:w="3800"/>
      </w:tblGrid>
      <w:tr>
        <w:trPr>
          <w:tblHeader/>
        </w:trPr>
        <w:tc>
          <w:tcPr>
            <w:tcW w:type="dxa" w:w="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Latency</w:t>
            </w:r>
          </w:p>
        </w:tc>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Scope</w:t>
            </w:r>
          </w:p>
        </w:tc>
        <w:tc>
          <w:tcPr>
            <w:tcW w:type="dxa" w:w="3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Energy Penalty and Mechanism</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Logical Consistency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Sub-millisecond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Immediate context window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Small: ΔP_T1. Detects direct logical contradictions, syntactic impossibilities, and violated hard constraints within the current inference step. Applied per-token.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T2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Causal Consistency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Milliseconds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Local causal graph neighborhood (3-hop)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Medium: ΔP_T2. Checks proposed states against the causal neighborhood in the atomic layer's knowledge graph. Catches violated cause-effect relationships.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T3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Semantic Grounding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10–100ms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Molecular semantic field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Large: ΔP_T3. Cross-references proposed semantic compositions against crystallized knowledge structures. Detects category errors, semantic impossibilities, and factual inconsistencies.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T4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External Simulation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100ms – 10s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external grounding (selective)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Maximum: ΔP_T4. Triggered selectively when T1–T3 produce anomalous signals. Physics simulation, logical proof search, counterfactual consistency, external cross-reference.</w:t>
            </w:r>
          </w:p>
        </w:tc>
      </w:tr>
    </w:tbl>
    <w:p>
      <w:pPr>
        <w:spacing w:after="280" w:before="60"/>
        <w:jc w:val="center"/>
      </w:pPr>
      <w:r>
        <w:rPr>
          <w:rFonts w:ascii="Calibri" w:cs="Calibri" w:eastAsia="Calibri" w:hAnsi="Calibri"/>
          <w:i/>
          <w:iCs/>
          <w:color w:val="555555"/>
          <w:sz w:val="20"/>
          <w:szCs w:val="20"/>
        </w:rPr>
        <w:t xml:space="preserve">Table 5. HVE four-tier verification architecture with latency and penalty characteristics.</w:t>
      </w:r>
    </w:p>
    <w:p>
      <w:pPr>
        <w:pStyle w:val="Heading2"/>
        <w:spacing w:after="160" w:before="320"/>
      </w:pPr>
      <w:r>
        <w:rPr>
          <w:rFonts w:ascii="Calibri" w:cs="Calibri" w:eastAsia="Calibri" w:hAnsi="Calibri"/>
          <w:b/>
          <w:bCs/>
          <w:color w:val="2B5282"/>
          <w:sz w:val="28"/>
          <w:szCs w:val="28"/>
        </w:rPr>
        <w:t xml:space="preserve">6.3  The Updated Reality Alignment Constraint</w:t>
      </w:r>
    </w:p>
    <w:p>
      <w:pPr>
        <w:spacing w:after="160"/>
        <w:jc w:val="both"/>
      </w:pPr>
      <w:r>
        <w:rPr>
          <w:rFonts w:ascii="Calibri" w:cs="Calibri" w:eastAsia="Calibri" w:hAnsi="Calibri"/>
          <w:sz w:val="22"/>
          <w:szCs w:val="22"/>
        </w:rPr>
        <w:t xml:space="preserve">The Reality Alignment Constraint is now expressed as a hierarchical composition of tier-level grounding functions:</w:t>
      </w:r>
    </w:p>
    <w:p>
      <w:pPr>
        <w:spacing w:after="160" w:before="160"/>
        <w:jc w:val="center"/>
      </w:pPr>
      <w:r>
        <w:rPr>
          <w:rFonts w:ascii="Courier New" w:cs="Courier New" w:eastAsia="Courier New" w:hAnsi="Courier New"/>
          <w:b/>
          <w:bCs/>
          <w:sz w:val="22"/>
          <w:szCs w:val="22"/>
        </w:rPr>
        <w:t xml:space="preserve">G(s) = w₁·G_T1(s) + w₂·G_T2(s) + w₃·G_T3(s) + w₄·G_T4(s)</w:t>
      </w:r>
    </w:p>
    <w:p>
      <w:pPr>
        <w:spacing w:after="160"/>
        <w:jc w:val="both"/>
      </w:pPr>
      <w:r>
        <w:rPr>
          <w:rFonts w:ascii="Calibri" w:cs="Calibri" w:eastAsia="Calibri" w:hAnsi="Calibri"/>
          <w:sz w:val="22"/>
          <w:szCs w:val="22"/>
        </w:rPr>
        <w:t xml:space="preserve">Where G_Ti(s) ∈ [0,1] is the grounding score at tier i, weights w_i satisfy Σw_i = 1 with w₁ &lt; w₂ &lt; w₃ &lt; w₄. A state s is accepted if and only if G(s) ≥ θ_reality(context), where:</w:t>
      </w:r>
    </w:p>
    <w:p>
      <w:pPr>
        <w:spacing w:after="160" w:before="160"/>
        <w:jc w:val="center"/>
      </w:pPr>
      <w:r>
        <w:rPr>
          <w:rFonts w:ascii="Courier New" w:cs="Courier New" w:eastAsia="Courier New" w:hAnsi="Courier New"/>
          <w:b/>
          <w:bCs/>
          <w:sz w:val="22"/>
          <w:szCs w:val="22"/>
        </w:rPr>
        <w:t xml:space="preserve">θ_reality(context) = θ_base · (1 + γ_domain · D_stakes(context))</w:t>
      </w:r>
    </w:p>
    <w:p>
      <w:pPr>
        <w:spacing w:after="160"/>
        <w:jc w:val="both"/>
      </w:pPr>
      <w:r>
        <w:rPr>
          <w:rFonts w:ascii="Calibri" w:cs="Calibri" w:eastAsia="Calibri" w:hAnsi="Calibri"/>
          <w:sz w:val="22"/>
          <w:szCs w:val="22"/>
        </w:rPr>
        <w:t xml:space="preserve">D_stakes encodes domain risk level (elevated in medical/legal contexts, reduced in creative contexts). This adaptive threshold ensures CEA maintains appropriate verification stringency without sacrificing creative flexibility in domains where uncertainty is expected.</w:t>
      </w:r>
    </w:p>
    <w:p>
      <w:pPr>
        <w:pStyle w:val="Heading2"/>
        <w:spacing w:after="160" w:before="320"/>
      </w:pPr>
      <w:r>
        <w:rPr>
          <w:rFonts w:ascii="Calibri" w:cs="Calibri" w:eastAsia="Calibri" w:hAnsi="Calibri"/>
          <w:b/>
          <w:bCs/>
          <w:color w:val="2B5282"/>
          <w:sz w:val="28"/>
          <w:szCs w:val="28"/>
        </w:rPr>
        <w:t xml:space="preserve">6.4  The T4 External Simulation Engine</w:t>
      </w:r>
    </w:p>
    <w:p>
      <w:pPr>
        <w:spacing w:after="160"/>
        <w:jc w:val="both"/>
      </w:pPr>
      <w:r>
        <w:rPr>
          <w:rFonts w:ascii="Calibri" w:cs="Calibri" w:eastAsia="Calibri" w:hAnsi="Calibri"/>
          <w:sz w:val="22"/>
          <w:szCs w:val="22"/>
        </w:rPr>
        <w:t xml:space="preserve">Tier 4 is the most computationally intensive HVE component. When lower tiers flag a claim as uncertain, T4 spawns parallel simulation processes: (i) physics micro-simulation for claims involving physical processes; (ii) logical proof search for mathematical relationships; (iii) counterfactual consistency evaluation via Pearl's do-calculus (Pearl, 2009); and (iv) multi-source external cross-reference for factual claims. T4 is triggered only when:</w:t>
      </w:r>
    </w:p>
    <w:p>
      <w:pPr>
        <w:spacing w:after="160" w:before="160"/>
        <w:jc w:val="center"/>
      </w:pPr>
      <w:r>
        <w:rPr>
          <w:rFonts w:ascii="Courier New" w:cs="Courier New" w:eastAsia="Courier New" w:hAnsi="Courier New"/>
          <w:b/>
          <w:bCs/>
          <w:sz w:val="22"/>
          <w:szCs w:val="22"/>
        </w:rPr>
        <w:t xml:space="preserve">max(G_T1, G_T2, G_T3)  &lt;  θ_trigger   AND   ε_state &gt; ε_T4threshold</w:t>
      </w:r>
    </w:p>
    <w:p>
      <w:pPr>
        <w:spacing w:after="160"/>
        <w:jc w:val="both"/>
      </w:pPr>
      <w:r>
        <w:rPr>
          <w:rFonts w:ascii="Calibri" w:cs="Calibri" w:eastAsia="Calibri" w:hAnsi="Calibri"/>
          <w:sz w:val="22"/>
          <w:szCs w:val="22"/>
        </w:rPr>
        <w:t xml:space="preserve">Expected T4 invocation rate: less than 1% of inference steps.</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Engineering constraint — T4 latency: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T4 simulation latency of 100ms–10s is fundamentally incompatible with real-time control applications requiring sub-millisecond response. CEA in latency-critical deployment contexts must operate without T4 verification or pre-compute verdicts for predictable claim types. This is a genuine architectural limitation with no trivial resolution, and excludes CEA in its current form from certain high-frequency real-time applications.</w:t>
      </w:r>
    </w:p>
    <w:p>
      <w:pPr>
        <w:pStyle w:val="Heading2"/>
        <w:spacing w:after="160" w:before="320"/>
      </w:pPr>
      <w:r>
        <w:rPr>
          <w:rFonts w:ascii="Calibri" w:cs="Calibri" w:eastAsia="Calibri" w:hAnsi="Calibri"/>
          <w:b/>
          <w:bCs/>
          <w:color w:val="2B5282"/>
          <w:sz w:val="28"/>
          <w:szCs w:val="28"/>
        </w:rPr>
        <w:t xml:space="preserve">6.5  Thermodynamic Integration</w:t>
      </w:r>
    </w:p>
    <w:p>
      <w:pPr>
        <w:spacing w:after="160"/>
        <w:jc w:val="both"/>
      </w:pPr>
      <w:r>
        <w:rPr>
          <w:rFonts w:ascii="Calibri" w:cs="Calibri" w:eastAsia="Calibri" w:hAnsi="Calibri"/>
          <w:sz w:val="22"/>
          <w:szCs w:val="22"/>
        </w:rPr>
        <w:t xml:space="preserve">HVE verdicts are expressed as energy penalties added directly to QNode energy levels. This direct integration makes verification a force in the thermodynamic landscape rather than an external check: states failing verification become energetically unstable, and the system's natural dynamics drive it away from them.</w:t>
      </w:r>
    </w:p>
    <w:p>
      <w:pPr>
        <w:spacing w:after="160" w:before="160"/>
        <w:jc w:val="center"/>
      </w:pPr>
      <w:r>
        <w:rPr>
          <w:rFonts w:ascii="Courier New" w:cs="Courier New" w:eastAsia="Courier New" w:hAnsi="Courier New"/>
          <w:b/>
          <w:bCs/>
          <w:sz w:val="22"/>
          <w:szCs w:val="22"/>
        </w:rPr>
        <w:t xml:space="preserve">ε_cluster(t+1) = ε_cluster(t) + Σᵢ w_i · ΔP_Ti · 1[G_Ti(s) &lt; θ_Ti]</w:t>
      </w:r>
    </w:p>
    <w:p>
      <w:pPr>
        <w:pStyle w:val="Heading1"/>
        <w:spacing w:after="240" w:before="480"/>
      </w:pPr>
      <w:r>
        <w:rPr>
          <w:rFonts w:ascii="Calibri" w:cs="Calibri" w:eastAsia="Calibri" w:hAnsi="Calibri"/>
          <w:b/>
          <w:bCs/>
          <w:color w:val="1D3A5F"/>
          <w:sz w:val="36"/>
          <w:szCs w:val="36"/>
        </w:rPr>
        <w:t xml:space="preserve">7. Quantum-Inspired Tensor Field for F_global</w:t>
      </w:r>
    </w:p>
    <w:p>
      <w:pPr>
        <w:pStyle w:val="Heading2"/>
        <w:spacing w:after="160" w:before="320"/>
      </w:pPr>
      <w:r>
        <w:rPr>
          <w:rFonts w:ascii="Calibri" w:cs="Calibri" w:eastAsia="Calibri" w:hAnsi="Calibri"/>
          <w:b/>
          <w:bCs/>
          <w:color w:val="2B5282"/>
          <w:sz w:val="28"/>
          <w:szCs w:val="28"/>
        </w:rPr>
        <w:t xml:space="preserve">7.1  The Global Field Bottleneck</w:t>
      </w:r>
    </w:p>
    <w:p>
      <w:pPr>
        <w:spacing w:after="160"/>
        <w:jc w:val="both"/>
      </w:pPr>
      <w:r>
        <w:rPr>
          <w:rFonts w:ascii="Calibri" w:cs="Calibri" w:eastAsia="Calibri" w:hAnsi="Calibri"/>
          <w:sz w:val="22"/>
          <w:szCs w:val="22"/>
        </w:rPr>
        <w:t xml:space="preserve">In v0.1, the global contextual field F_global was described as a broadcast from the organism layer to all QNodes, creating O(N) communication complexity per time step at scale. V0.3 retains the Quantum-Inspired Tensor Field (QITF) formalism from v0.2, which resolves this bottleneck through low-rank tensor decomposition techniques borrowed from computational quantum physics. We emphasize at the outset: this is a classical algorithm with quantum-inspired mathematics. It runs on classical GPU and HPC hardware. It does not require quantum processors.</w:t>
      </w:r>
    </w:p>
    <w:p>
      <w:pPr>
        <w:spacing w:after="160"/>
        <w:jc w:val="both"/>
      </w:pPr>
      <w:r>
        <w:rPr>
          <w:rFonts w:ascii="Calibri" w:cs="Calibri" w:eastAsia="Calibri" w:hAnsi="Calibri"/>
          <w:b/>
          <w:bCs/>
          <w:sz w:val="22"/>
          <w:szCs w:val="22"/>
        </w:rPr>
        <w:t xml:space="preserve">Biological plausibility note — Global Workspace Theory: </w:t>
      </w:r>
      <w:r>
        <w:rPr>
          <w:rFonts w:ascii="Calibri" w:cs="Calibri" w:eastAsia="Calibri" w:hAnsi="Calibri"/>
          <w:sz w:val="22"/>
          <w:szCs w:val="22"/>
        </w:rPr>
        <w:t xml:space="preserve">The QITF architecture is convergent with Global Workspace Theory (Baars, 1988; Dehaene, 2014), which proposes that global cognition arises when locally-computed representations broadcast to a system-wide shared workspace. The QITF tensor field plays the role of this global workspace: locally-detected consistency violations propagate through tensor contractions to condition all connected QNode clusters, analogous to GWT's global ignition event. We take this convergence as biological plausibility evidence for the architectural design principle, not as a claim of consciousness or biological equivalence.</w:t>
      </w:r>
    </w:p>
    <w:p>
      <w:pPr>
        <w:pStyle w:val="Heading2"/>
        <w:spacing w:after="160" w:before="320"/>
      </w:pPr>
      <w:r>
        <w:rPr>
          <w:rFonts w:ascii="Calibri" w:cs="Calibri" w:eastAsia="Calibri" w:hAnsi="Calibri"/>
          <w:b/>
          <w:bCs/>
          <w:color w:val="2B5282"/>
          <w:sz w:val="28"/>
          <w:szCs w:val="28"/>
        </w:rPr>
        <w:t xml:space="preserve">7.2  Mathematical Formulation</w:t>
      </w:r>
    </w:p>
    <w:p>
      <w:pPr>
        <w:spacing w:after="160"/>
        <w:jc w:val="both"/>
      </w:pPr>
      <w:r>
        <w:rPr>
          <w:rFonts w:ascii="Calibri" w:cs="Calibri" w:eastAsia="Calibri" w:hAnsi="Calibri"/>
          <w:sz w:val="22"/>
          <w:szCs w:val="22"/>
        </w:rPr>
        <w:t xml:space="preserve">The global contextual state of a CEA system with N active QNodes is formally a joint probability distribution over all N QNode states — a tensor of dimension dᴺ, astronomically large for realistic N. The key insight from quantum many-body physics is that physically realistic states arising from local interactions have low entanglement entropy and can be efficiently approximated by low-rank tensor network decompositions (Orus, 2014).</w:t>
      </w:r>
    </w:p>
    <w:p>
      <w:pPr>
        <w:spacing w:after="160"/>
        <w:jc w:val="both"/>
      </w:pPr>
      <w:r>
        <w:rPr>
          <w:rFonts w:ascii="Calibri" w:cs="Calibri" w:eastAsia="Calibri" w:hAnsi="Calibri"/>
          <w:sz w:val="22"/>
          <w:szCs w:val="22"/>
        </w:rPr>
        <w:t xml:space="preserve">CEA represents F_global as a Matrix Product State (MPS) tensor network:</w:t>
      </w:r>
    </w:p>
    <w:p>
      <w:pPr>
        <w:spacing w:after="160" w:before="160"/>
        <w:jc w:val="center"/>
      </w:pPr>
      <w:r>
        <w:rPr>
          <w:rFonts w:ascii="Courier New" w:cs="Courier New" w:eastAsia="Courier New" w:hAnsi="Courier New"/>
          <w:b/>
          <w:bCs/>
          <w:sz w:val="22"/>
          <w:szCs w:val="22"/>
        </w:rPr>
        <w:t xml:space="preserve">F_global = Σ_{s₁...sN} M^{s₁}[1] · M^{s₂}[2] · ... · M^{sN}[N] |s₁s₂...sN⟩</w:t>
      </w:r>
    </w:p>
    <w:p>
      <w:pPr>
        <w:spacing w:after="160"/>
        <w:jc w:val="both"/>
      </w:pPr>
      <w:r>
        <w:rPr>
          <w:rFonts w:ascii="Calibri" w:cs="Calibri" w:eastAsia="Calibri" w:hAnsi="Calibri"/>
          <w:sz w:val="22"/>
          <w:szCs w:val="22"/>
        </w:rPr>
        <w:t xml:space="preserve">Where M^{si}[i] is a D×D matrix (D is the bond dimension, a hyperparameter controlling approximation quality). Key properties: (i) storage scales as N·D²·d rather than dᴺ; (ii) local consistency updates require only O(D³) operations per affected cluster; (iii) marginal probabilities for conditioning QNode dynamics require O(D³) operations independent of N.</w:t>
      </w:r>
    </w:p>
    <w:p>
      <w:pPr>
        <w:pStyle w:val="Heading2"/>
        <w:spacing w:after="160" w:before="320"/>
      </w:pPr>
      <w:r>
        <w:rPr>
          <w:rFonts w:ascii="Calibri" w:cs="Calibri" w:eastAsia="Calibri" w:hAnsi="Calibri"/>
          <w:b/>
          <w:bCs/>
          <w:color w:val="2B5282"/>
          <w:sz w:val="28"/>
          <w:szCs w:val="28"/>
        </w:rPr>
        <w:t xml:space="preserve">7.3  Bond Dimension and Adaptive Compute</w:t>
      </w:r>
    </w:p>
    <w:p>
      <w:pPr>
        <w:spacing w:after="160"/>
        <w:jc w:val="both"/>
      </w:pPr>
      <w:r>
        <w:rPr>
          <w:rFonts w:ascii="Calibri" w:cs="Calibri" w:eastAsia="Calibri" w:hAnsi="Calibri"/>
          <w:sz w:val="22"/>
          <w:szCs w:val="22"/>
        </w:rPr>
        <w:t xml:space="preserve">The bond dimension D controls the expressivity-efficiency tradeoff. CEA dynamically adapts D based on current task complexity:</w:t>
      </w:r>
    </w:p>
    <w:p>
      <w:pPr>
        <w:spacing w:after="160" w:before="160"/>
        <w:jc w:val="center"/>
      </w:pPr>
      <w:r>
        <w:rPr>
          <w:rFonts w:ascii="Courier New" w:cs="Courier New" w:eastAsia="Courier New" w:hAnsi="Courier New"/>
          <w:b/>
          <w:bCs/>
          <w:sz w:val="22"/>
          <w:szCs w:val="22"/>
        </w:rPr>
        <w:t xml:space="preserve">D(t) = D_min + (D_max − D_min) · σ(H(input) − H_threshold)</w:t>
      </w:r>
    </w:p>
    <w:p>
      <w:pPr>
        <w:spacing w:after="160"/>
        <w:jc w:val="both"/>
      </w:pPr>
      <w:r>
        <w:rPr>
          <w:rFonts w:ascii="Calibri" w:cs="Calibri" w:eastAsia="Calibri" w:hAnsi="Calibri"/>
          <w:sz w:val="22"/>
          <w:szCs w:val="22"/>
        </w:rPr>
        <w:t xml:space="preserve">Where H(input) is the estimated entropy of the input context. High-entropy inputs use high D (256–1024); low-entropy routine inputs use low D (16–64). This adaptive compute allocation is analogous to mixture-of-experts gating but operating at the global context level.</w:t>
      </w:r>
    </w:p>
    <w:p>
      <w:pPr>
        <w:pStyle w:val="Heading2"/>
        <w:spacing w:after="160" w:before="320"/>
      </w:pPr>
      <w:r>
        <w:rPr>
          <w:rFonts w:ascii="Calibri" w:cs="Calibri" w:eastAsia="Calibri" w:hAnsi="Calibri"/>
          <w:b/>
          <w:bCs/>
          <w:color w:val="2B5282"/>
          <w:sz w:val="28"/>
          <w:szCs w:val="28"/>
        </w:rPr>
        <w:t xml:space="preserve">7.4  Eliminating the O(N) Bottleneck</w:t>
      </w:r>
    </w:p>
    <w:p>
      <w:pPr>
        <w:spacing w:after="160"/>
        <w:jc w:val="both"/>
      </w:pPr>
      <w:r>
        <w:rPr>
          <w:rFonts w:ascii="Calibri" w:cs="Calibri" w:eastAsia="Calibri" w:hAnsi="Calibri"/>
          <w:sz w:val="22"/>
          <w:szCs w:val="22"/>
        </w:rPr>
        <w:t xml:space="preserve">In naive message-passing global broadcast, transmitting F_global requires O(N) transmissions. In the QITF formulation, conditioning a QNode on global context requires contracting its local MPS tensor with the global state — an O(D³) operation independent of N. This reduces global context integration from O(N) to O(D³) (for fixed D), enabling CEA to scale to arbitrarily large QNode fields without communication overhead growing with system size.</w:t>
      </w:r>
    </w:p>
    <w:p>
      <w:pPr>
        <w:pStyle w:val="Heading2"/>
        <w:spacing w:after="160" w:before="320"/>
      </w:pPr>
      <w:r>
        <w:rPr>
          <w:rFonts w:ascii="Calibri" w:cs="Calibri" w:eastAsia="Calibri" w:hAnsi="Calibri"/>
          <w:b/>
          <w:bCs/>
          <w:color w:val="2B5282"/>
          <w:sz w:val="28"/>
          <w:szCs w:val="28"/>
        </w:rPr>
        <w:t xml:space="preserve">7.5  Consistency Collapse</w:t>
      </w:r>
    </w:p>
    <w:p>
      <w:pPr>
        <w:spacing w:after="160"/>
        <w:jc w:val="both"/>
      </w:pPr>
      <w:r>
        <w:rPr>
          <w:rFonts w:ascii="Calibri" w:cs="Calibri" w:eastAsia="Calibri" w:hAnsi="Calibri"/>
          <w:sz w:val="22"/>
          <w:szCs w:val="22"/>
        </w:rPr>
        <w:t xml:space="preserve">When the HVE detects a high-confidence inconsistency in any cluster, it modifies the MPS tensors in that cluster's neighborhood, creating a region of high energy in the global state representation. Due to the entangled structure of the MPS, this high-energy region propagates through tensor contractions to all connected clusters — not as a sequential message but as an algebraic consequence of tensor multiplication. Competing hypotheses sharing structure with the inconsistent state inherit elevated energy. Alternative states avoiding the inconsistency become relatively favored. This is the QITF consistency collapse mechanism — a global coherent process, not a sequential sweep.</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Scaling constraint — bond dimension: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For very large N with complex global state, the required bond dimension D may grow to the point where O(N·D³) cost exceeds practical budget. Better tensor network architectures — tree tensor networks or Multi-scale Entanglement Renormalization Ansatz (MERA) — may be needed at extreme scale. This is an identified open engineering problem, not a solved one.</w:t>
      </w:r>
    </w:p>
    <w:p>
      <w:pPr>
        <w:pStyle w:val="Heading1"/>
        <w:spacing w:after="240" w:before="480"/>
      </w:pPr>
      <w:r>
        <w:rPr>
          <w:rFonts w:ascii="Calibri" w:cs="Calibri" w:eastAsia="Calibri" w:hAnsi="Calibri"/>
          <w:b/>
          <w:bCs/>
          <w:color w:val="1D3A5F"/>
          <w:sz w:val="36"/>
          <w:szCs w:val="36"/>
        </w:rPr>
        <w:t xml:space="preserve">8. Training Objective and Learning Model</w:t>
      </w:r>
    </w:p>
    <w:p>
      <w:pPr>
        <w:pStyle w:val="Heading2"/>
        <w:spacing w:after="160" w:before="320"/>
      </w:pPr>
      <w:r>
        <w:rPr>
          <w:rFonts w:ascii="Calibri" w:cs="Calibri" w:eastAsia="Calibri" w:hAnsi="Calibri"/>
          <w:b/>
          <w:bCs/>
          <w:color w:val="2B5282"/>
          <w:sz w:val="28"/>
          <w:szCs w:val="28"/>
        </w:rPr>
        <w:t xml:space="preserve">8.1  The Full Composite Objective</w:t>
      </w:r>
    </w:p>
    <w:p>
      <w:pPr>
        <w:spacing w:after="160"/>
        <w:jc w:val="both"/>
      </w:pPr>
      <w:r>
        <w:rPr>
          <w:rFonts w:ascii="Calibri" w:cs="Calibri" w:eastAsia="Calibri" w:hAnsi="Calibri"/>
          <w:sz w:val="22"/>
          <w:szCs w:val="22"/>
        </w:rPr>
        <w:t xml:space="preserve">CEA training minimizes a five-component composite objective. Each component addresses a distinct dimension of reasoning quality:</w:t>
      </w:r>
    </w:p>
    <w:p>
      <w:pPr>
        <w:spacing w:after="160" w:before="160"/>
        <w:jc w:val="center"/>
      </w:pPr>
      <w:r>
        <w:rPr>
          <w:rFonts w:ascii="Courier New" w:cs="Courier New" w:eastAsia="Courier New" w:hAnsi="Courier New"/>
          <w:b/>
          <w:bCs/>
          <w:sz w:val="22"/>
          <w:szCs w:val="22"/>
        </w:rPr>
        <w:t xml:space="preserve">L_total = α·L_pred + β·E_cost + γ·H_entropy + δ·C_consistency + λ·R_resonance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4760"/>
      </w:tblGrid>
      <w:tr>
        <w:trPr>
          <w:tblHeader/>
        </w:trPr>
        <w:tc>
          <w:tcPr>
            <w:tcW w:type="dxa" w:w="1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1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16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Signal Type</w:t>
            </w:r>
          </w:p>
        </w:tc>
        <w:tc>
          <w:tcPr>
            <w:tcW w:type="dxa" w:w="47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Role and Formulation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α·L_pred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Prediction Loss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Accuracy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L_pred = −Σ y·log(p̂). Standard cross-entropy. Necessary for baseline competency but insufficient alone — minimizing L_pred without grounding produces hallucination.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β·E_cost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Energy 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Efficiency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E_cost = Σᵢ εᵢ·1[εᵢ &gt; ε_min]. Total active-QNode energy. Minimizing drives sparse activation and low-energy stable configurations. Creates thermodynamic pressure toward parsimony.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γ·H_entropy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System Entropy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H_entropy = −Σᵢ pᵢ·log(pᵢ) over QNode state distribution. Minimizing favors definite, confident states. An entropy floor (motivated by neural criticality, Section 2.13) prevents degeneracy and preserves exploration capacity.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δ·C_consist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Consistency Penalty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Grounding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C_consistency = Σ_v violation_weight(v) over detected HVE violations. Penalizes logical contradictions, causal violations, and semantic impossibilities. The primary anti-hallucination training signal.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λ·R_reson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Resonance Reward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Memory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R_resonance = Σᵢⱼ Cov(φᵢ, φⱼ)·similarity(ψᵢ, ψⱼ). Rewards phase synchronization between semantically related QNode clusters. Drives memory crystallization and compositional binding.</w:t>
            </w:r>
          </w:p>
        </w:tc>
      </w:tr>
    </w:tbl>
    <w:p>
      <w:pPr>
        <w:spacing w:after="280" w:before="60"/>
        <w:jc w:val="center"/>
      </w:pPr>
      <w:r>
        <w:rPr>
          <w:rFonts w:ascii="Calibri" w:cs="Calibri" w:eastAsia="Calibri" w:hAnsi="Calibri"/>
          <w:i/>
          <w:iCs/>
          <w:color w:val="555555"/>
          <w:sz w:val="20"/>
          <w:szCs w:val="20"/>
        </w:rPr>
        <w:t xml:space="preserve">Table 6. CEA composite training objective — all five components with formal definitions.</w:t>
      </w:r>
    </w:p>
    <w:p>
      <w:pPr>
        <w:pStyle w:val="Heading2"/>
        <w:spacing w:after="160" w:before="320"/>
      </w:pPr>
      <w:r>
        <w:rPr>
          <w:rFonts w:ascii="Calibri" w:cs="Calibri" w:eastAsia="Calibri" w:hAnsi="Calibri"/>
          <w:b/>
          <w:bCs/>
          <w:color w:val="2B5282"/>
          <w:sz w:val="28"/>
          <w:szCs w:val="28"/>
        </w:rPr>
        <w:t xml:space="preserve">8.2  Curriculum Learning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2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Active Components</w:t>
            </w:r>
          </w:p>
        </w:tc>
        <w:tc>
          <w:tcPr>
            <w:tcW w:type="dxa" w:w="51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Learning Goal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 budget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α·L_pred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Establish baseline pattern competency. QNode ψ-states learn to encode semantically meaningful representations.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β·E_cost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Prune inefficient activation. Sparse activation patterns emerge; quiescent QNode behavior stabilizes.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γ·H_entropy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Develop confident stable representations. Phase clustering begins. Entropy floor engaged to maintain near-critical exploration.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δ·C_consistency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integration. Factual inconsistency penalized; energy barriers around incorrect states form. Hallucination suppression emerges measurably. Critical training phase.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λ·R_resonance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Memory crystallization. Long-term knowledge structures form via phase synchronization. Resonance reinforcement drives efficient knowledge retrieval.</w:t>
            </w:r>
          </w:p>
        </w:tc>
      </w:tr>
    </w:tbl>
    <w:p>
      <w:pPr>
        <w:spacing w:after="280" w:before="60"/>
        <w:jc w:val="center"/>
      </w:pPr>
      <w:r>
        <w:rPr>
          <w:rFonts w:ascii="Calibri" w:cs="Calibri" w:eastAsia="Calibri" w:hAnsi="Calibri"/>
          <w:i/>
          <w:iCs/>
          <w:color w:val="555555"/>
          <w:sz w:val="20"/>
          <w:szCs w:val="20"/>
        </w:rPr>
        <w:t xml:space="preserve">Table 7. CEA five-phase curriculum learning strategy.</w:t>
      </w:r>
    </w:p>
    <w:p>
      <w:pPr>
        <w:pStyle w:val="Heading2"/>
        <w:spacing w:after="160" w:before="320"/>
      </w:pPr>
      <w:r>
        <w:rPr>
          <w:rFonts w:ascii="Calibri" w:cs="Calibri" w:eastAsia="Calibri" w:hAnsi="Calibri"/>
          <w:b/>
          <w:bCs/>
          <w:color w:val="2B5282"/>
          <w:sz w:val="28"/>
          <w:szCs w:val="28"/>
        </w:rPr>
        <w:t xml:space="preserve">8.3  Gradient Surgery for Objective Conflict Resolution</w:t>
      </w:r>
    </w:p>
    <w:p>
      <w:pPr>
        <w:spacing w:after="160"/>
        <w:jc w:val="both"/>
      </w:pPr>
      <w:r>
        <w:rPr>
          <w:rFonts w:ascii="Calibri" w:cs="Calibri" w:eastAsia="Calibri" w:hAnsi="Calibri"/>
          <w:sz w:val="22"/>
          <w:szCs w:val="22"/>
        </w:rPr>
        <w:t xml:space="preserve">When gradient directions from different objective components conflict — a known risk in multi-objective optimization — CEA applies gradient surgery (Yu et al., 2020): conflicting gradient components are projected onto the orthogonal complement of each other's gradient space, eliminating interference without requiring manual weight tuning. This automated conflict resolution is critical during Phase 3–4 transitions where entropy minimization can conflict with consistency penalty gradients.</w:t>
      </w:r>
    </w:p>
    <w:p>
      <w:pPr>
        <w:pStyle w:val="Heading2"/>
        <w:spacing w:after="160" w:before="320"/>
      </w:pPr>
      <w:r>
        <w:rPr>
          <w:rFonts w:ascii="Calibri" w:cs="Calibri" w:eastAsia="Calibri" w:hAnsi="Calibri"/>
          <w:b/>
          <w:bCs/>
          <w:color w:val="2B5282"/>
          <w:sz w:val="28"/>
          <w:szCs w:val="28"/>
        </w:rPr>
        <w:t xml:space="preserve">8.4  Biologically-Inspired Learning Mechanisms</w:t>
      </w:r>
    </w:p>
    <w:p>
      <w:pPr>
        <w:spacing w:after="160"/>
        <w:jc w:val="both"/>
      </w:pPr>
      <w:r>
        <w:rPr>
          <w:rFonts w:ascii="Calibri" w:cs="Calibri" w:eastAsia="Calibri" w:hAnsi="Calibri"/>
          <w:sz w:val="22"/>
          <w:szCs w:val="22"/>
        </w:rPr>
        <w:t xml:space="preserve">Beyond gradient-based optimization, CEA implements four continuously operating learning mechanisms:</w:t>
      </w:r>
    </w:p>
    <w:p>
      <w:pPr>
        <w:pStyle w:val="ListParagraph"/>
        <w:numPr>
          <w:ilvl w:val="0"/>
          <w:numId w:val="1"/>
        </w:numPr>
        <w:spacing w:after="100"/>
      </w:pPr>
      <w:r>
        <w:rPr>
          <w:rFonts w:ascii="Calibri" w:cs="Calibri" w:eastAsia="Calibri" w:hAnsi="Calibri"/>
          <w:b/>
          <w:bCs/>
          <w:sz w:val="22"/>
          <w:szCs w:val="22"/>
        </w:rPr>
        <w:t xml:space="preserve">Resonance Reinforcement (Hebbian variant): </w:t>
      </w:r>
      <w:r>
        <w:rPr>
          <w:rFonts w:ascii="Calibri" w:cs="Calibri" w:eastAsia="Calibri" w:hAnsi="Calibri"/>
          <w:sz w:val="22"/>
          <w:szCs w:val="22"/>
        </w:rPr>
        <w:t xml:space="preserve">Γ(t+1) = Γ(t) + η·ψᵢ⊗ψⱼ·1[|φᵢ−φⱼ|&lt;δ]. Connection fields strengthen between co-active, phase-synchronized QNodes. Implements the Hebbian rule through phase-gated outer product updates.</w:t>
      </w:r>
    </w:p>
    <w:p>
      <w:pPr>
        <w:pStyle w:val="ListParagraph"/>
        <w:numPr>
          <w:ilvl w:val="0"/>
          <w:numId w:val="1"/>
        </w:numPr>
        <w:spacing w:after="100"/>
      </w:pPr>
      <w:r>
        <w:rPr>
          <w:rFonts w:ascii="Calibri" w:cs="Calibri" w:eastAsia="Calibri" w:hAnsi="Calibri"/>
          <w:b/>
          <w:bCs/>
          <w:sz w:val="22"/>
          <w:szCs w:val="22"/>
        </w:rPr>
        <w:t xml:space="preserve">Energy-Gradient Descent: </w:t>
      </w:r>
      <w:r>
        <w:rPr>
          <w:rFonts w:ascii="Calibri" w:cs="Calibri" w:eastAsia="Calibri" w:hAnsi="Calibri"/>
          <w:sz w:val="22"/>
          <w:szCs w:val="22"/>
        </w:rPr>
        <w:t xml:space="preserve">ψ(t+1) = ψ(t) − η_ψ·∇_ψε(t). Continuous local learning without backpropagation through time.</w:t>
      </w:r>
    </w:p>
    <w:p>
      <w:pPr>
        <w:pStyle w:val="ListParagraph"/>
        <w:numPr>
          <w:ilvl w:val="0"/>
          <w:numId w:val="1"/>
        </w:numPr>
        <w:spacing w:after="100"/>
      </w:pPr>
      <w:r>
        <w:rPr>
          <w:rFonts w:ascii="Calibri" w:cs="Calibri" w:eastAsia="Calibri" w:hAnsi="Calibri"/>
          <w:b/>
          <w:bCs/>
          <w:sz w:val="22"/>
          <w:szCs w:val="22"/>
        </w:rPr>
        <w:t xml:space="preserve">Structural Plasticity: </w:t>
      </w:r>
      <w:r>
        <w:rPr>
          <w:rFonts w:ascii="Calibri" w:cs="Calibri" w:eastAsia="Calibri" w:hAnsi="Calibri"/>
          <w:sz w:val="22"/>
          <w:szCs w:val="22"/>
        </w:rPr>
        <w:t xml:space="preserve">Connections with sustained zero energy contribution are pruned; new connections form between QNodes showing correlated high-energy spikes.</w:t>
      </w:r>
    </w:p>
    <w:p>
      <w:pPr>
        <w:pStyle w:val="ListParagraph"/>
        <w:numPr>
          <w:ilvl w:val="0"/>
          <w:numId w:val="1"/>
        </w:numPr>
        <w:spacing w:after="100"/>
      </w:pPr>
      <w:r>
        <w:rPr>
          <w:rFonts w:ascii="Calibri" w:cs="Calibri" w:eastAsia="Calibri" w:hAnsi="Calibri"/>
          <w:b/>
          <w:bCs/>
          <w:sz w:val="22"/>
          <w:szCs w:val="22"/>
        </w:rPr>
        <w:t xml:space="preserve">Memory Consolidation: </w:t>
      </w:r>
      <w:r>
        <w:rPr>
          <w:rFonts w:ascii="Calibri" w:cs="Calibri" w:eastAsia="Calibri" w:hAnsi="Calibri"/>
          <w:sz w:val="22"/>
          <w:szCs w:val="22"/>
        </w:rPr>
        <w:t xml:space="preserve">During low-activity periods, the system runs controlled stochastic perturbation of low-activation memory structures, exploring adjacent hypothesis spaces — computationally analogous to sleep consolidation (Walker, 2017) in biological memory systems.</w:t>
      </w:r>
    </w:p>
    <w:p>
      <w:pPr>
        <w:pStyle w:val="Heading1"/>
        <w:spacing w:after="240" w:before="480"/>
      </w:pPr>
      <w:r>
        <w:rPr>
          <w:rFonts w:ascii="Calibri" w:cs="Calibri" w:eastAsia="Calibri" w:hAnsi="Calibri"/>
          <w:b/>
          <w:bCs/>
          <w:color w:val="1D3A5F"/>
          <w:sz w:val="36"/>
          <w:szCs w:val="36"/>
        </w:rPr>
        <w:t xml:space="preserve">9. Memory Architecture</w:t>
      </w:r>
    </w:p>
    <w:p>
      <w:pPr>
        <w:pStyle w:val="Heading2"/>
        <w:spacing w:after="160" w:before="320"/>
      </w:pPr>
      <w:r>
        <w:rPr>
          <w:rFonts w:ascii="Calibri" w:cs="Calibri" w:eastAsia="Calibri" w:hAnsi="Calibri"/>
          <w:b/>
          <w:bCs/>
          <w:color w:val="2B5282"/>
          <w:sz w:val="28"/>
          <w:szCs w:val="28"/>
        </w:rPr>
        <w:t xml:space="preserve">9.1  Memory as Crystallization</w:t>
      </w:r>
    </w:p>
    <w:p>
      <w:pPr>
        <w:spacing w:after="160"/>
        <w:jc w:val="both"/>
      </w:pPr>
      <w:r>
        <w:rPr>
          <w:rFonts w:ascii="Calibri" w:cs="Calibri" w:eastAsia="Calibri" w:hAnsi="Calibri"/>
          <w:sz w:val="22"/>
          <w:szCs w:val="22"/>
        </w:rPr>
        <w:t xml:space="preserve">CEA treats memory not as a separately maintained data structure but as a physical property of the computational substrate. Memories are stable low-energy configurations in the QNode field — patterns sufficiently visited and verification-confirmed to crystallize into robust energy minima resistant to perturbation. The crystallization metaphor is grounded in thermodynamics: just as physical crystals are thermodynamically stable molecular arrangements, CEA memories are dynamically stable QNode configurations returning to their structure after perturbation.</w:t>
      </w:r>
    </w:p>
    <w:p>
      <w:pPr>
        <w:pStyle w:val="Heading2"/>
        <w:spacing w:after="160" w:before="320"/>
      </w:pPr>
      <w:r>
        <w:rPr>
          <w:rFonts w:ascii="Calibri" w:cs="Calibri" w:eastAsia="Calibri" w:hAnsi="Calibri"/>
          <w:b/>
          <w:bCs/>
          <w:color w:val="2B5282"/>
          <w:sz w:val="28"/>
          <w:szCs w:val="28"/>
        </w:rPr>
        <w:t xml:space="preserve">9.2  Multi-Scale Memory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200"/>
        <w:gridCol w:w="2200"/>
        <w:gridCol w:w="1860"/>
      </w:tblGrid>
      <w:tr>
        <w:trPr>
          <w:tblHeader/>
        </w:trPr>
        <w:tc>
          <w:tcPr>
            <w:tcW w:type="dxa" w:w="1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Memory Type</w:t>
            </w:r>
          </w:p>
        </w:tc>
        <w:tc>
          <w:tcPr>
            <w:tcW w:type="dxa" w:w="13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Layer</w:t>
            </w:r>
          </w:p>
        </w:tc>
        <w:tc>
          <w:tcPr>
            <w:tcW w:type="dxa" w:w="2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Mechanism</w:t>
            </w:r>
          </w:p>
        </w:tc>
        <w:tc>
          <w:tcPr>
            <w:tcW w:type="dxa" w:w="2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18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Capacity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Wave / Working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L1–L2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 oscillation, active QNode field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Single inference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Limited by active QNodes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Resonance Trace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L2–L3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Decaying Γ-field weights from recent resonance 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Minutes to hours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O(N²) connection field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Crystallized Graph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L3–L4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Stable low-energy QNode configurations; field-based associative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Persistent (evolving)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Hopfield scaling: O(N²/log 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Semantic Schema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L4–L5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MNode compositional binding; phase-locked clusters encoding structured knowledge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Compositionally unbounded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Global Context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QITF tensor state; encodes current inference context across all active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Session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O(N·D²) compressed</w:t>
            </w:r>
          </w:p>
        </w:tc>
      </w:tr>
    </w:tbl>
    <w:p>
      <w:pPr>
        <w:spacing w:after="280" w:before="60"/>
        <w:jc w:val="center"/>
      </w:pPr>
      <w:r>
        <w:rPr>
          <w:rFonts w:ascii="Calibri" w:cs="Calibri" w:eastAsia="Calibri" w:hAnsi="Calibri"/>
          <w:i/>
          <w:iCs/>
          <w:color w:val="555555"/>
          <w:sz w:val="20"/>
          <w:szCs w:val="20"/>
        </w:rPr>
        <w:t xml:space="preserve">Table 8. CEA multi-scale memory hierarchy.</w:t>
      </w:r>
    </w:p>
    <w:p>
      <w:pPr>
        <w:pStyle w:val="Heading2"/>
        <w:spacing w:after="160" w:before="320"/>
      </w:pPr>
      <w:r>
        <w:rPr>
          <w:rFonts w:ascii="Calibri" w:cs="Calibri" w:eastAsia="Calibri" w:hAnsi="Calibri"/>
          <w:b/>
          <w:bCs/>
          <w:color w:val="2B5282"/>
          <w:sz w:val="28"/>
          <w:szCs w:val="28"/>
        </w:rPr>
        <w:t xml:space="preserve">9.3  Memory Access via Resonance</w:t>
      </w:r>
    </w:p>
    <w:p>
      <w:pPr>
        <w:spacing w:after="160"/>
        <w:jc w:val="both"/>
      </w:pPr>
      <w:r>
        <w:rPr>
          <w:rFonts w:ascii="Calibri" w:cs="Calibri" w:eastAsia="Calibri" w:hAnsi="Calibri"/>
          <w:sz w:val="22"/>
          <w:szCs w:val="22"/>
        </w:rPr>
        <w:t xml:space="preserve">CEA memory is accessed through resonance, not addressing. To retrieve a memory, the system activates a partial pattern; the crystallized memory structure resonates in response, completing and stabilizing the pattern through energy dynamics. This content-addressable retrieval mechanism is architecturally analogous to pattern completion in hippocampal CA3 attractor networks (Hopfield, 1982; Amit, 1989; Rolls, 2013), where recurrent excitatory connections drive recall of complete memory patterns from partial cues through energy-minimizing dynamics. The convergence with this well-studied biological mechanism provides theoretical plausibility for the crystallization model. The key architectural extension beyond classical Hopfield/CA3 theory: CEA's phase-binding enables compositional memory access — retrieving not just individual facts but structured relational knowledge sharing phase with the query — a capability not present in classical attractor network theory.</w:t>
      </w:r>
    </w:p>
    <w:p>
      <w:pPr>
        <w:pStyle w:val="Heading2"/>
        <w:spacing w:after="160" w:before="320"/>
      </w:pPr>
      <w:r>
        <w:rPr>
          <w:rFonts w:ascii="Calibri" w:cs="Calibri" w:eastAsia="Calibri" w:hAnsi="Calibri"/>
          <w:b/>
          <w:bCs/>
          <w:color w:val="2B5282"/>
          <w:sz w:val="28"/>
          <w:szCs w:val="28"/>
        </w:rPr>
        <w:t xml:space="preserve">9.4  Memory Evolution</w:t>
      </w:r>
    </w:p>
    <w:p>
      <w:pPr>
        <w:pStyle w:val="ListParagraph"/>
        <w:numPr>
          <w:ilvl w:val="0"/>
          <w:numId w:val="1"/>
        </w:numPr>
        <w:spacing w:after="100"/>
      </w:pPr>
      <w:r>
        <w:rPr>
          <w:rFonts w:ascii="Calibri" w:cs="Calibri" w:eastAsia="Calibri" w:hAnsi="Calibri"/>
          <w:b/>
          <w:bCs/>
          <w:sz w:val="22"/>
          <w:szCs w:val="22"/>
        </w:rPr>
        <w:t xml:space="preserve">Pruning: </w:t>
      </w:r>
      <w:r>
        <w:rPr>
          <w:rFonts w:ascii="Calibri" w:cs="Calibri" w:eastAsia="Calibri" w:hAnsi="Calibri"/>
          <w:sz w:val="22"/>
          <w:szCs w:val="22"/>
        </w:rPr>
        <w:t xml:space="preserve">Infrequently activated memory structures accumulate entropy; when H(structure) &gt; H_max, the structure dissolves, freeing QNode capacity.</w:t>
      </w:r>
    </w:p>
    <w:p>
      <w:pPr>
        <w:pStyle w:val="ListParagraph"/>
        <w:numPr>
          <w:ilvl w:val="0"/>
          <w:numId w:val="1"/>
        </w:numPr>
        <w:spacing w:after="100"/>
      </w:pPr>
      <w:r>
        <w:rPr>
          <w:rFonts w:ascii="Calibri" w:cs="Calibri" w:eastAsia="Calibri" w:hAnsi="Calibri"/>
          <w:b/>
          <w:bCs/>
          <w:sz w:val="22"/>
          <w:szCs w:val="22"/>
        </w:rPr>
        <w:t xml:space="preserve">Mutation: </w:t>
      </w:r>
      <w:r>
        <w:rPr>
          <w:rFonts w:ascii="Calibri" w:cs="Calibri" w:eastAsia="Calibri" w:hAnsi="Calibri"/>
          <w:sz w:val="22"/>
          <w:szCs w:val="22"/>
        </w:rPr>
        <w:t xml:space="preserve">During low-activity consolidation phases, memory structures undergo controlled stochastic perturbation, occasionally discovering improved formulations of stored knowledge.</w:t>
      </w:r>
    </w:p>
    <w:p>
      <w:pPr>
        <w:pStyle w:val="ListParagraph"/>
        <w:numPr>
          <w:ilvl w:val="0"/>
          <w:numId w:val="1"/>
        </w:numPr>
        <w:spacing w:after="100"/>
      </w:pPr>
      <w:r>
        <w:rPr>
          <w:rFonts w:ascii="Calibri" w:cs="Calibri" w:eastAsia="Calibri" w:hAnsi="Calibri"/>
          <w:b/>
          <w:bCs/>
          <w:sz w:val="22"/>
          <w:szCs w:val="22"/>
        </w:rPr>
        <w:t xml:space="preserve">Reconsolidation: </w:t>
      </w:r>
      <w:r>
        <w:rPr>
          <w:rFonts w:ascii="Calibri" w:cs="Calibri" w:eastAsia="Calibri" w:hAnsi="Calibri"/>
          <w:sz w:val="22"/>
          <w:szCs w:val="22"/>
        </w:rPr>
        <w:t xml:space="preserve">When a stored memory is accessed and updated by new information, the existing structure is temporarily destabilized, updated, and re-crystallized — enabling genuine belief updating rather than contradictory parallel storage.</w:t>
      </w:r>
    </w:p>
    <w:p>
      <w:pPr>
        <w:pStyle w:val="Heading1"/>
        <w:spacing w:after="240" w:before="480"/>
      </w:pPr>
      <w:r>
        <w:rPr>
          <w:rFonts w:ascii="Calibri" w:cs="Calibri" w:eastAsia="Calibri" w:hAnsi="Calibri"/>
          <w:b/>
          <w:bCs/>
          <w:color w:val="1D3A5F"/>
          <w:sz w:val="36"/>
          <w:szCs w:val="36"/>
        </w:rPr>
        <w:t xml:space="preserve">10. Information-Theoretic Foundations</w:t>
      </w:r>
    </w:p>
    <w:p>
      <w:pPr>
        <w:pStyle w:val="Heading2"/>
        <w:spacing w:after="160" w:before="320"/>
      </w:pPr>
      <w:r>
        <w:rPr>
          <w:rFonts w:ascii="Calibri" w:cs="Calibri" w:eastAsia="Calibri" w:hAnsi="Calibri"/>
          <w:b/>
          <w:bCs/>
          <w:color w:val="2B5282"/>
          <w:sz w:val="28"/>
          <w:szCs w:val="28"/>
        </w:rPr>
        <w:t xml:space="preserve">10.1  Landauer's Principle and the Cost of Erasure</w:t>
      </w:r>
    </w:p>
    <w:p>
      <w:pPr>
        <w:spacing w:after="160"/>
        <w:jc w:val="both"/>
      </w:pPr>
      <w:r>
        <w:rPr>
          <w:rFonts w:ascii="Calibri" w:cs="Calibri" w:eastAsia="Calibri" w:hAnsi="Calibri"/>
          <w:sz w:val="22"/>
          <w:szCs w:val="22"/>
        </w:rPr>
        <w:t xml:space="preserve">Landauer's Principle (1961) establishes a fundamental connection between information and thermodynamics: erasing one bit of information requires dissipating at least k_B·T·ln(2) joules of energy, where k_B is Boltzmann's constant and T is temperature. This is a law of physics, not an engineering limitation. When the HVE detects and eliminates an inconsistent state, it performs an information erasure — deleting a possible-world hypothesis from the system's hypothesis space. The energy penalty ΔP_Ti that the HVE assigns to an inconsistent state is the thermodynamic cost of that erasure, expressed in QNode energy units:</w:t>
      </w:r>
    </w:p>
    <w:p>
      <w:pPr>
        <w:spacing w:after="160" w:before="160"/>
        <w:jc w:val="center"/>
      </w:pPr>
      <w:r>
        <w:rPr>
          <w:rFonts w:ascii="Courier New" w:cs="Courier New" w:eastAsia="Courier New" w:hAnsi="Courier New"/>
          <w:b/>
          <w:bCs/>
          <w:sz w:val="22"/>
          <w:szCs w:val="22"/>
        </w:rPr>
        <w:t xml:space="preserve">ΔP_Ti(violation) ≥ k_B·T·ln(2) · I(violation)</w:t>
      </w:r>
    </w:p>
    <w:p>
      <w:pPr>
        <w:spacing w:after="160"/>
        <w:jc w:val="both"/>
      </w:pPr>
      <w:r>
        <w:rPr>
          <w:rFonts w:ascii="Calibri" w:cs="Calibri" w:eastAsia="Calibri" w:hAnsi="Calibri"/>
          <w:sz w:val="22"/>
          <w:szCs w:val="22"/>
        </w:rPr>
        <w:t xml:space="preserve">Where I(violation) is the information content of the eliminated hypothesis in bits. The HVE calibrates violation penalties to satisfy this lower bound, ensuring the grounding mechanism is physically consistent.</w:t>
      </w:r>
    </w:p>
    <w:p>
      <w:pPr>
        <w:pStyle w:val="Heading2"/>
        <w:spacing w:after="160" w:before="320"/>
      </w:pPr>
      <w:r>
        <w:rPr>
          <w:rFonts w:ascii="Calibri" w:cs="Calibri" w:eastAsia="Calibri" w:hAnsi="Calibri"/>
          <w:b/>
          <w:bCs/>
          <w:color w:val="2B5282"/>
          <w:sz w:val="28"/>
          <w:szCs w:val="28"/>
        </w:rPr>
        <w:t xml:space="preserve">10.2  Shannon Channel Capacity and Grounding Bandwidth</w:t>
      </w:r>
    </w:p>
    <w:p>
      <w:pPr>
        <w:spacing w:after="160"/>
        <w:jc w:val="both"/>
      </w:pPr>
      <w:r>
        <w:rPr>
          <w:rFonts w:ascii="Calibri" w:cs="Calibri" w:eastAsia="Calibri" w:hAnsi="Calibri"/>
          <w:sz w:val="22"/>
          <w:szCs w:val="22"/>
        </w:rPr>
        <w:t xml:space="preserve">Shannon's channel capacity theorem establishes that a noisy channel with signal-to-noise ratio SNR and bandwidth B can reliably transmit at most C = B·log₂(1+SNR) bits per second. In CEA, the grounding channel — the pathway from external reality to the QNode field via the HVE — has finite bandwidth determined by the verification speed of each tier. The grounding bandwidth G_bandwidth must exceed the rate at which novel factual claims are generated:</w:t>
      </w:r>
    </w:p>
    <w:p>
      <w:pPr>
        <w:spacing w:after="160" w:before="160"/>
        <w:jc w:val="center"/>
      </w:pPr>
      <w:r>
        <w:rPr>
          <w:rFonts w:ascii="Courier New" w:cs="Courier New" w:eastAsia="Courier New" w:hAnsi="Courier New"/>
          <w:b/>
          <w:bCs/>
          <w:sz w:val="22"/>
          <w:szCs w:val="22"/>
        </w:rPr>
        <w:t xml:space="preserve">G_bandwidth = Σᵢ B_Ti · log₂(1 + SNR_Ti)   ≥   R_claims</w:t>
      </w:r>
    </w:p>
    <w:p>
      <w:pPr>
        <w:spacing w:after="160"/>
        <w:jc w:val="both"/>
      </w:pPr>
      <w:r>
        <w:rPr>
          <w:rFonts w:ascii="Calibri" w:cs="Calibri" w:eastAsia="Calibri" w:hAnsi="Calibri"/>
          <w:sz w:val="22"/>
          <w:szCs w:val="22"/>
        </w:rPr>
        <w:t xml:space="preserve">This establishes a formal necessary condition for the grounding mechanism to keep pace with generation — a condition that Experiment E1.4 tests directly by measuring HVE tier throughput against realistic claim generation rates.</w:t>
      </w:r>
    </w:p>
    <w:p>
      <w:pPr>
        <w:pStyle w:val="Heading2"/>
        <w:spacing w:after="160" w:before="320"/>
      </w:pPr>
      <w:r>
        <w:rPr>
          <w:rFonts w:ascii="Calibri" w:cs="Calibri" w:eastAsia="Calibri" w:hAnsi="Calibri"/>
          <w:b/>
          <w:bCs/>
          <w:color w:val="2B5282"/>
          <w:sz w:val="28"/>
          <w:szCs w:val="28"/>
        </w:rPr>
        <w:t xml:space="preserve">10.3  Kolmogorov Complexity and the Minimum Description Length Principle</w:t>
      </w:r>
    </w:p>
    <w:p>
      <w:pPr>
        <w:spacing w:after="160"/>
        <w:jc w:val="both"/>
      </w:pPr>
      <w:r>
        <w:rPr>
          <w:rFonts w:ascii="Calibri" w:cs="Calibri" w:eastAsia="Calibri" w:hAnsi="Calibri"/>
          <w:sz w:val="22"/>
          <w:szCs w:val="22"/>
        </w:rPr>
        <w:t xml:space="preserve">The Kolmogorov complexity K(x) of a string x is the length of the shortest program producing x. The MDL principle (Rissanen, 1978; Grünwald, 2007) states that the best model for data is the one producing the shortest total description of model plus data. In CEA's energy framework, the energy of a QNode configuration is formally related to its Kolmogorov complexity:</w:t>
      </w:r>
    </w:p>
    <w:p>
      <w:pPr>
        <w:spacing w:after="160" w:before="160"/>
        <w:jc w:val="center"/>
      </w:pPr>
      <w:r>
        <w:rPr>
          <w:rFonts w:ascii="Courier New" w:cs="Courier New" w:eastAsia="Courier New" w:hAnsi="Courier New"/>
          <w:b/>
          <w:bCs/>
          <w:sz w:val="22"/>
          <w:szCs w:val="22"/>
        </w:rPr>
        <w:t xml:space="preserve">ε(configuration)  ∝  K(configuration | world_model)</w:t>
      </w:r>
    </w:p>
    <w:p>
      <w:pPr>
        <w:spacing w:after="160"/>
        <w:jc w:val="both"/>
      </w:pPr>
      <w:r>
        <w:rPr>
          <w:rFonts w:ascii="Calibri" w:cs="Calibri" w:eastAsia="Calibri" w:hAnsi="Calibri"/>
          <w:sz w:val="22"/>
          <w:szCs w:val="22"/>
        </w:rPr>
        <w:t xml:space="preserve">Simple, consistent configurations — well-explained by the current world model — have low Kolmogorov complexity and therefore low energy. Hallucinated configurations — requiring complex, implausible explanations — have high conditional Kolmogorov complexity and therefore high energy. The CEA energy landscape is, in information-theoretic terms, a Kolmogorov complexity landscape: truth is compressible, hallucination is incompressible.</w:t>
      </w:r>
    </w:p>
    <w:p>
      <w:pPr>
        <w:pStyle w:val="Heading2"/>
        <w:spacing w:after="160" w:before="320"/>
      </w:pPr>
      <w:r>
        <w:rPr>
          <w:rFonts w:ascii="Calibri" w:cs="Calibri" w:eastAsia="Calibri" w:hAnsi="Calibri"/>
          <w:b/>
          <w:bCs/>
          <w:color w:val="2B5282"/>
          <w:sz w:val="28"/>
          <w:szCs w:val="28"/>
        </w:rPr>
        <w:t xml:space="preserve">10.4  Mutual Information and Phase Binding</w:t>
      </w:r>
    </w:p>
    <w:p>
      <w:pPr>
        <w:spacing w:after="160"/>
        <w:jc w:val="both"/>
      </w:pPr>
      <w:r>
        <w:rPr>
          <w:rFonts w:ascii="Calibri" w:cs="Calibri" w:eastAsia="Calibri" w:hAnsi="Calibri"/>
          <w:sz w:val="22"/>
          <w:szCs w:val="22"/>
        </w:rPr>
        <w:t xml:space="preserve">Two QNodes Q_i and Q_j are phase-synchronized when:</w:t>
      </w:r>
    </w:p>
    <w:p>
      <w:pPr>
        <w:spacing w:after="160" w:before="160"/>
        <w:jc w:val="center"/>
      </w:pPr>
      <w:r>
        <w:rPr>
          <w:rFonts w:ascii="Courier New" w:cs="Courier New" w:eastAsia="Courier New" w:hAnsi="Courier New"/>
          <w:b/>
          <w:bCs/>
          <w:sz w:val="22"/>
          <w:szCs w:val="22"/>
        </w:rPr>
        <w:t xml:space="preserve">|φᵢ(t) − φⱼ(t)| &lt; δ   ⟺   I(ψᵢ; ψⱼ) &gt; I_threshold</w:t>
      </w:r>
    </w:p>
    <w:p>
      <w:pPr>
        <w:spacing w:after="160"/>
        <w:jc w:val="both"/>
      </w:pPr>
      <w:r>
        <w:rPr>
          <w:rFonts w:ascii="Calibri" w:cs="Calibri" w:eastAsia="Calibri" w:hAnsi="Calibri"/>
          <w:sz w:val="22"/>
          <w:szCs w:val="22"/>
        </w:rPr>
        <w:t xml:space="preserve">Phase synchronization is the dynamical signature of high mutual information between QNode state vectors. The Kuramoto coupling drives QNodes toward synchronization proportionally to their mutual information — information-rich pairs synchronize strongly; information-poor pairs remain asynchronous. This establishes that phase binding is a dynamical implementation of information-theoretic relatedness, connecting QNode oscillatory dynamics to formal semantic similarity measures. Engel &amp; Singer (2001) demonstrated analogous temporal binding in biological cortex: neural synchrony at gamma frequencies serves as a mechanism for binding related representations — convergent evidence for phase-coupling as a binding mechanism.</w:t>
      </w:r>
    </w:p>
    <w:p>
      <w:pPr>
        <w:pStyle w:val="Heading2"/>
        <w:spacing w:after="160" w:before="320"/>
      </w:pPr>
      <w:r>
        <w:rPr>
          <w:rFonts w:ascii="Calibri" w:cs="Calibri" w:eastAsia="Calibri" w:hAnsi="Calibri"/>
          <w:b/>
          <w:bCs/>
          <w:color w:val="2B5282"/>
          <w:sz w:val="28"/>
          <w:szCs w:val="28"/>
        </w:rPr>
        <w:t xml:space="preserve">10.5  The Information-Theoretic Grounding Bound</w:t>
      </w:r>
    </w:p>
    <w:p>
      <w:pPr>
        <w:spacing w:after="160"/>
        <w:jc w:val="both"/>
      </w:pPr>
      <w:r>
        <w:rPr>
          <w:rFonts w:ascii="Calibri" w:cs="Calibri" w:eastAsia="Calibri" w:hAnsi="Calibri"/>
          <w:sz w:val="22"/>
          <w:szCs w:val="22"/>
        </w:rPr>
        <w:t xml:space="preserve">Combining Landauer, Shannon, and Kolmogorov, we state a grounding bound:</w:t>
      </w:r>
    </w:p>
    <w:p>
      <w:pPr>
        <w:pBdr>
          <w:top w:val="single" w:color="1A6B43" w:sz="4"/>
          <w:left w:val="thick" w:color="1A6B43" w:sz="14"/>
          <w:right w:val="single" w:color="1A6B43" w:sz="4"/>
        </w:pBdr>
        <w:spacing w:after="0" w:before="280"/>
      </w:pPr>
      <w:r>
        <w:rPr>
          <w:rFonts w:ascii="Calibri" w:cs="Calibri" w:eastAsia="Calibri" w:hAnsi="Calibri"/>
          <w:b/>
          <w:bCs/>
          <w:color w:val="1A6B43"/>
          <w:sz w:val="22"/>
          <w:szCs w:val="22"/>
        </w:rPr>
        <w:t xml:space="preserve">Proposition 2 (Information-Theoretic Grounding Bound): </w:t>
      </w:r>
    </w:p>
    <w:p>
      <w:pPr>
        <w:pBdr>
          <w:bottom w:val="single" w:color="1A6B43" w:sz="4"/>
          <w:left w:val="thick" w:color="1A6B43" w:sz="14"/>
          <w:right w:val="single" w:color="1A6B43" w:sz="4"/>
        </w:pBdr>
        <w:spacing w:after="280"/>
      </w:pPr>
      <w:r>
        <w:rPr>
          <w:rFonts w:ascii="Calibri" w:cs="Calibri" w:eastAsia="Calibri" w:hAnsi="Calibri"/>
          <w:sz w:val="22"/>
          <w:szCs w:val="22"/>
        </w:rPr>
        <w:t xml:space="preserve">In a CEA system satisfying G_bandwidth ≥ R_claims, with energy penalties calibrated to Landauer's bound, and energy landscape reflecting Kolmogorov complexity, the expected information content of output states violating the Reality Alignment Constraint satisfies E[I(hallucination)] ≤ ε_information → 0 as θ_reality → 1. That is, the amount of false information in CEA outputs is bounded by a quantity approaching zero as grounding strength increases. This is a quantitative bound on error rate, not a zero-error guarantee. Its empirical validity depends on whether real inference dynamics satisfy the bandwidth and ergodicity conditions.</w:t>
      </w:r>
    </w:p>
    <w:p>
      <w:pPr>
        <w:pStyle w:val="Heading1"/>
        <w:spacing w:after="240" w:before="480"/>
      </w:pPr>
      <w:r>
        <w:rPr>
          <w:rFonts w:ascii="Calibri" w:cs="Calibri" w:eastAsia="Calibri" w:hAnsi="Calibri"/>
          <w:b/>
          <w:bCs/>
          <w:color w:val="1D3A5F"/>
          <w:sz w:val="36"/>
          <w:szCs w:val="36"/>
        </w:rPr>
        <w:t xml:space="preserve">11. Hardware: HPC-First Deployment Roadmap</w:t>
      </w:r>
    </w:p>
    <w:p>
      <w:pPr>
        <w:pStyle w:val="Heading2"/>
        <w:spacing w:after="160" w:before="320"/>
      </w:pPr>
      <w:r>
        <w:rPr>
          <w:rFonts w:ascii="Calibri" w:cs="Calibri" w:eastAsia="Calibri" w:hAnsi="Calibri"/>
          <w:b/>
          <w:bCs/>
          <w:color w:val="2B5282"/>
          <w:sz w:val="28"/>
          <w:szCs w:val="28"/>
        </w:rPr>
        <w:t xml:space="preserve">11.1  Strategic Rationale: Why HPC First</w:t>
      </w:r>
    </w:p>
    <w:p>
      <w:pPr>
        <w:spacing w:after="160"/>
        <w:jc w:val="both"/>
      </w:pPr>
      <w:r>
        <w:rPr>
          <w:rFonts w:ascii="Calibri" w:cs="Calibri" w:eastAsia="Calibri" w:hAnsi="Calibri"/>
          <w:sz w:val="22"/>
          <w:szCs w:val="22"/>
        </w:rPr>
        <w:t xml:space="preserve">V0.2 adopted an HPC-first strategy, recognizing that neuromorphic hardware at competitive scale is 10–15 years from production readiness. V0.3 retains this strategy. The full CEA architecture is implementable today on GPU supercomputing infrastructure. All QNode field update, QITF tensor contraction, and HVE operations map to standard GPU computational primitives. Neuromorphic hardware remains the long-term efficiency target, repositioned as Phase 2 rather than Phase 1.</w:t>
      </w:r>
    </w:p>
    <w:p>
      <w:pPr>
        <w:pStyle w:val="Heading2"/>
        <w:spacing w:after="160" w:before="320"/>
      </w:pPr>
      <w:r>
        <w:rPr>
          <w:rFonts w:ascii="Calibri" w:cs="Calibri" w:eastAsia="Calibri" w:hAnsi="Calibri"/>
          <w:b/>
          <w:bCs/>
          <w:color w:val="2B5282"/>
          <w:sz w:val="28"/>
          <w:szCs w:val="28"/>
        </w:rPr>
        <w:t xml:space="preserve">11.2  Phase 1: GPU Supercomputer Deployment (Now)</w:t>
      </w:r>
    </w:p>
    <w:p>
      <w:pPr>
        <w:spacing w:after="160"/>
        <w:jc w:val="both"/>
      </w:pPr>
      <w:r>
        <w:rPr>
          <w:rFonts w:ascii="Calibri" w:cs="Calibri" w:eastAsia="Calibri" w:hAnsi="Calibri"/>
          <w:sz w:val="22"/>
          <w:szCs w:val="22"/>
        </w:rPr>
        <w:t xml:space="preserve">Specific mapping of CEA operations to GPU hardware:</w:t>
      </w:r>
    </w:p>
    <w:p>
      <w:pPr>
        <w:pStyle w:val="ListParagraph"/>
        <w:numPr>
          <w:ilvl w:val="0"/>
          <w:numId w:val="1"/>
        </w:numPr>
        <w:spacing w:after="100"/>
      </w:pPr>
      <w:r>
        <w:rPr>
          <w:rFonts w:ascii="Calibri" w:cs="Calibri" w:eastAsia="Calibri" w:hAnsi="Calibri"/>
          <w:b/>
          <w:bCs/>
          <w:sz w:val="22"/>
          <w:szCs w:val="22"/>
        </w:rPr>
        <w:t xml:space="preserve">QNode state evolution: </w:t>
      </w:r>
      <w:r>
        <w:rPr>
          <w:rFonts w:ascii="Calibri" w:cs="Calibri" w:eastAsia="Calibri" w:hAnsi="Calibri"/>
          <w:sz w:val="22"/>
          <w:szCs w:val="22"/>
        </w:rPr>
        <w:t xml:space="preserve">Massively parallel — each QNode's (ψ, φ, ε, μ) update is independent given the field state. Maps to GPU SIMT execution with one CUDA thread per QNode.</w:t>
      </w:r>
    </w:p>
    <w:p>
      <w:pPr>
        <w:pStyle w:val="ListParagraph"/>
        <w:numPr>
          <w:ilvl w:val="0"/>
          <w:numId w:val="1"/>
        </w:numPr>
        <w:spacing w:after="100"/>
      </w:pPr>
      <w:r>
        <w:rPr>
          <w:rFonts w:ascii="Calibri" w:cs="Calibri" w:eastAsia="Calibri" w:hAnsi="Calibri"/>
          <w:b/>
          <w:bCs/>
          <w:sz w:val="22"/>
          <w:szCs w:val="22"/>
        </w:rPr>
        <w:t xml:space="preserve">Kuramoto phase dynamics: </w:t>
      </w:r>
      <w:r>
        <w:rPr>
          <w:rFonts w:ascii="Calibri" w:cs="Calibri" w:eastAsia="Calibri" w:hAnsi="Calibri"/>
          <w:sz w:val="22"/>
          <w:szCs w:val="22"/>
        </w:rPr>
        <w:t xml:space="preserve">Sparse graph computation over Γ. Implementable as sparse matrix operations in PyTorch/JAX using GPU sparse tensor support.</w:t>
      </w:r>
    </w:p>
    <w:p>
      <w:pPr>
        <w:pStyle w:val="ListParagraph"/>
        <w:numPr>
          <w:ilvl w:val="0"/>
          <w:numId w:val="1"/>
        </w:numPr>
        <w:spacing w:after="100"/>
      </w:pPr>
      <w:r>
        <w:rPr>
          <w:rFonts w:ascii="Calibri" w:cs="Calibri" w:eastAsia="Calibri" w:hAnsi="Calibri"/>
          <w:b/>
          <w:bCs/>
          <w:sz w:val="22"/>
          <w:szCs w:val="22"/>
        </w:rPr>
        <w:t xml:space="preserve">QITF tensor contractions: </w:t>
      </w:r>
      <w:r>
        <w:rPr>
          <w:rFonts w:ascii="Calibri" w:cs="Calibri" w:eastAsia="Calibri" w:hAnsi="Calibri"/>
          <w:sz w:val="22"/>
          <w:szCs w:val="22"/>
        </w:rPr>
        <w:t xml:space="preserve">MPS contraction operations are equivalent to batched matrix multiplications. NVIDIA cuTENSOR library provides optimized tensor network contraction.</w:t>
      </w:r>
    </w:p>
    <w:p>
      <w:pPr>
        <w:pStyle w:val="ListParagraph"/>
        <w:numPr>
          <w:ilvl w:val="0"/>
          <w:numId w:val="1"/>
        </w:numPr>
        <w:spacing w:after="100"/>
      </w:pPr>
      <w:r>
        <w:rPr>
          <w:rFonts w:ascii="Calibri" w:cs="Calibri" w:eastAsia="Calibri" w:hAnsi="Calibri"/>
          <w:b/>
          <w:bCs/>
          <w:sz w:val="22"/>
          <w:szCs w:val="22"/>
        </w:rPr>
        <w:t xml:space="preserve">HVE Tier 1–2: </w:t>
      </w:r>
      <w:r>
        <w:rPr>
          <w:rFonts w:ascii="Calibri" w:cs="Calibri" w:eastAsia="Calibri" w:hAnsi="Calibri"/>
          <w:sz w:val="22"/>
          <w:szCs w:val="22"/>
        </w:rPr>
        <w:t xml:space="preserve">T1 runs on CPU in parallel with GPU QNode dynamics. T2 uses GPU-accelerated graph neural networks for causal neighborhood queries.</w:t>
      </w:r>
    </w:p>
    <w:p>
      <w:pPr>
        <w:pStyle w:val="ListParagraph"/>
        <w:numPr>
          <w:ilvl w:val="0"/>
          <w:numId w:val="1"/>
        </w:numPr>
        <w:spacing w:after="100"/>
      </w:pPr>
      <w:r>
        <w:rPr>
          <w:rFonts w:ascii="Calibri" w:cs="Calibri" w:eastAsia="Calibri" w:hAnsi="Calibri"/>
          <w:b/>
          <w:bCs/>
          <w:sz w:val="22"/>
          <w:szCs w:val="22"/>
        </w:rPr>
        <w:t xml:space="preserve">HVE Tier 3–4: </w:t>
      </w:r>
      <w:r>
        <w:rPr>
          <w:rFonts w:ascii="Calibri" w:cs="Calibri" w:eastAsia="Calibri" w:hAnsi="Calibri"/>
          <w:sz w:val="22"/>
          <w:szCs w:val="22"/>
        </w:rPr>
        <w:t xml:space="preserve">T3 uses vector similarity search (FAISS-compatible) over crystallized knowledge embeddings. T4 simulations run as separate HPC jobs triggered asynchronously.</w:t>
      </w:r>
    </w:p>
    <w:p>
      <w:pPr>
        <w:pStyle w:val="Heading2"/>
        <w:spacing w:after="160" w:before="320"/>
      </w:pPr>
      <w:r>
        <w:rPr>
          <w:rFonts w:ascii="Calibri" w:cs="Calibri" w:eastAsia="Calibri" w:hAnsi="Calibri"/>
          <w:b/>
          <w:bCs/>
          <w:color w:val="2B5282"/>
          <w:sz w:val="28"/>
          <w:szCs w:val="28"/>
        </w:rPr>
        <w:t xml:space="preserve">11.3  Target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3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Specification</w:t>
            </w:r>
          </w:p>
        </w:tc>
        <w:tc>
          <w:tcPr>
            <w:tcW w:type="dxa" w:w="43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Suitability and Constraints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NVIDIA DGX H100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8x H100 SXM5, 640GB HBM3, NVLink 900 GB/s, 32 PetaFLOPS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Immediate research prototype. Sufficient for QNode fields up to ~10M nodes with QITF bond dimension D=64. Primary Phase 1 experiment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NVIDIA Grace Hopper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CPU+GPU unified 900GB/s NVLink, 480GB coherent memory 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Ideal for hybrid CPU/GPU HVE execution. Eliminates PCIe bottleneck for T1/T2 verification co-execution.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Frontier (ORNL)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1.1 ExaFLOPS, 37,888 AMD MI250X GPUs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Production-scale CEA. Enables QNode fields of 1B+ nodes. T4 simulation engine as dedicated partition. Phase 3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AWS Trainium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Neuron SDK, EFA 3200 Gbps cluster networking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Cloud-accessible. CEA research clusters deployable immediately via AWS. Lower T4 latency via proximity to cloud knowledge bases.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Custom ASIC (v0.4+)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Native QNode state registers, on-chip MPS contraction, HVE coprocessors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5–10 year horizon. Purpose-built silicon for native CEA execution. Expected 100x efficiency improvement over GPU. RTL specification deferred to future work.</w:t>
            </w:r>
          </w:p>
        </w:tc>
      </w:tr>
    </w:tbl>
    <w:p>
      <w:pPr>
        <w:spacing w:after="280" w:before="60"/>
        <w:jc w:val="center"/>
      </w:pPr>
      <w:r>
        <w:rPr>
          <w:rFonts w:ascii="Calibri" w:cs="Calibri" w:eastAsia="Calibri" w:hAnsi="Calibri"/>
          <w:i/>
          <w:iCs/>
          <w:color w:val="555555"/>
          <w:sz w:val="20"/>
          <w:szCs w:val="20"/>
        </w:rPr>
        <w:t xml:space="preserve">Table 9. CEA hardware targets, specifications, and deployment suitability.</w:t>
      </w:r>
    </w:p>
    <w:p>
      <w:pPr>
        <w:pStyle w:val="Heading2"/>
        <w:spacing w:after="160" w:before="320"/>
      </w:pPr>
      <w:r>
        <w:rPr>
          <w:rFonts w:ascii="Calibri" w:cs="Calibri" w:eastAsia="Calibri" w:hAnsi="Calibri"/>
          <w:b/>
          <w:bCs/>
          <w:color w:val="2B5282"/>
          <w:sz w:val="28"/>
          <w:szCs w:val="28"/>
        </w:rPr>
        <w:t xml:space="preserve">11.4  Phase 2: Neuromorphic Integration (5–10 Years)</w:t>
      </w:r>
    </w:p>
    <w:p>
      <w:pPr>
        <w:spacing w:after="160"/>
        <w:jc w:val="both"/>
      </w:pPr>
      <w:r>
        <w:rPr>
          <w:rFonts w:ascii="Calibri" w:cs="Calibri" w:eastAsia="Calibri" w:hAnsi="Calibri"/>
          <w:sz w:val="22"/>
          <w:szCs w:val="22"/>
        </w:rPr>
        <w:t xml:space="preserve">Once QNode dynamics are validated at scale on HPC infrastructure, the natural efficiency optimization is migration to neuromorphic hardware. Intel Loihi 2's programmable neuron model, on-chip STDP learning, and event-driven sparse activation are directly compatible with CEA QNode dynamics. Key migration components: (i) QNode five-tuple → Loihi multi-compartment neuron; (ii) Γ field → Loihi STDP synaptic plasticity; (iii) HVE T1–T2 → recurrent inhibitory networks on Loihi. Projected efficiency at Loihi scale: 100–1000x lower inference energy than GPU baseline, extrapolated from published Loihi benchmarks on sparse workloads — this projection requires direct empirical validation.</w:t>
      </w:r>
    </w:p>
    <w:p>
      <w:pPr>
        <w:pStyle w:val="Heading2"/>
        <w:spacing w:after="160" w:before="320"/>
      </w:pPr>
      <w:r>
        <w:rPr>
          <w:rFonts w:ascii="Calibri" w:cs="Calibri" w:eastAsia="Calibri" w:hAnsi="Calibri"/>
          <w:b/>
          <w:bCs/>
          <w:color w:val="2B5282"/>
          <w:sz w:val="28"/>
          <w:szCs w:val="28"/>
        </w:rPr>
        <w:t xml:space="preserve">11.5  Phase 3: Programmable Matter Substrate (20+ Years)</w:t>
      </w:r>
    </w:p>
    <w:p>
      <w:pPr>
        <w:spacing w:after="160"/>
        <w:jc w:val="both"/>
      </w:pPr>
      <w:r>
        <w:rPr>
          <w:rFonts w:ascii="Calibri" w:cs="Calibri" w:eastAsia="Calibri" w:hAnsi="Calibri"/>
          <w:sz w:val="22"/>
          <w:szCs w:val="22"/>
        </w:rPr>
        <w:t xml:space="preserve">CEA's long-term architectural vision — field-based distributed compute with persistent local memory, asynchronous execution, phase synchronization circuits, and self-modifying topology — describes a hardware substrate that does not yet exist. We term this the Programmable Matter Computational target: an aspirational horizon for future materials science research, not an engineering proposal for the current decade.</w:t>
      </w:r>
    </w:p>
    <w:p>
      <w:pPr>
        <w:pStyle w:val="Heading1"/>
        <w:spacing w:after="240" w:before="480"/>
      </w:pPr>
      <w:r>
        <w:rPr>
          <w:rFonts w:ascii="Calibri" w:cs="Calibri" w:eastAsia="Calibri" w:hAnsi="Calibri"/>
          <w:b/>
          <w:bCs/>
          <w:color w:val="1D3A5F"/>
          <w:sz w:val="36"/>
          <w:szCs w:val="36"/>
        </w:rPr>
        <w:t xml:space="preserve">12. Theoretical Analysis and Formal Results</w:t>
      </w:r>
    </w:p>
    <w:p>
      <w:pPr>
        <w:pStyle w:val="Heading2"/>
        <w:spacing w:after="160" w:before="320"/>
      </w:pPr>
      <w:r>
        <w:rPr>
          <w:rFonts w:ascii="Calibri" w:cs="Calibri" w:eastAsia="Calibri" w:hAnsi="Calibri"/>
          <w:b/>
          <w:bCs/>
          <w:color w:val="2B5282"/>
          <w:sz w:val="28"/>
          <w:szCs w:val="28"/>
        </w:rPr>
        <w:t xml:space="preserve">12.1  Lyapunov Stability of the QNode Field — Idealized Analysis</w:t>
      </w:r>
    </w:p>
    <w:p>
      <w:pPr>
        <w:spacing w:after="160"/>
        <w:jc w:val="both"/>
      </w:pPr>
      <w:r>
        <w:rPr>
          <w:rFonts w:ascii="Calibri" w:cs="Calibri" w:eastAsia="Calibri" w:hAnsi="Calibri"/>
          <w:sz w:val="22"/>
          <w:szCs w:val="22"/>
        </w:rPr>
        <w:t xml:space="preserve">We establish global stability of the CEA QNode field under idealized conditions by constructing a Lyapunov function. These results hold under the assumption of smooth, differentiable energy landscapes with gradient descent dynamics — conditions that practical QNode fields may not satisfy. See Section 12.6 for the glass transition risk analysis.</w:t>
      </w:r>
    </w:p>
    <w:p>
      <w:pPr>
        <w:spacing w:after="160"/>
        <w:jc w:val="both"/>
      </w:pPr>
      <w:r>
        <w:rPr>
          <w:rFonts w:ascii="Calibri" w:cs="Calibri" w:eastAsia="Calibri" w:hAnsi="Calibri"/>
          <w:sz w:val="22"/>
          <w:szCs w:val="22"/>
        </w:rPr>
        <w:t xml:space="preserve">Define:</w:t>
      </w:r>
    </w:p>
    <w:p>
      <w:pPr>
        <w:spacing w:after="160" w:before="160"/>
        <w:jc w:val="center"/>
      </w:pPr>
      <w:r>
        <w:rPr>
          <w:rFonts w:ascii="Courier New" w:cs="Courier New" w:eastAsia="Courier New" w:hAnsi="Courier New"/>
          <w:b/>
          <w:bCs/>
          <w:sz w:val="22"/>
          <w:szCs w:val="22"/>
        </w:rPr>
        <w:t xml:space="preserve">V(t) = Σᵢ εᵢ(t) + γ·H(Ψ(t)) + δ·Σ_v 1[G(s_v) &lt; θ]</w:t>
      </w:r>
    </w:p>
    <w:p>
      <w:pPr>
        <w:spacing w:after="160"/>
        <w:jc w:val="both"/>
      </w:pPr>
      <w:r>
        <w:rPr>
          <w:rFonts w:ascii="Calibri" w:cs="Calibri" w:eastAsia="Calibri" w:hAnsi="Calibri"/>
          <w:sz w:val="22"/>
          <w:szCs w:val="22"/>
        </w:rPr>
        <w:t xml:space="preserve">Claim: V(t) is non-increasing along CEA system trajectories under gradient descent dynamics.</w:t>
      </w:r>
    </w:p>
    <w:p>
      <w:pPr>
        <w:spacing w:after="160"/>
        <w:jc w:val="both"/>
      </w:pPr>
      <w:r>
        <w:rPr>
          <w:rFonts w:ascii="Calibri" w:cs="Calibri" w:eastAsia="Calibri" w:hAnsi="Calibri"/>
          <w:sz w:val="22"/>
          <w:szCs w:val="22"/>
        </w:rPr>
        <w:t xml:space="preserve">Proof sketch: Each QNode update minimizes local energy ε under fixed neighbor states (energy-gradient descent). System entropy H is minimized by Phase 3 training objective. Violation count decreases under HVE energy penalties by construction. Therefore ΔV/Δt ≤ 0. By Lyapunov's theorem, trajectories under these idealized conditions converge to the set {V = V_min} — locally minimal-energy, maximal-consistency states.</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Caveat: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This proof sketch applies under idealized gradient descent in a smooth energy landscape. In practice, QNode dynamics are stochastic and the energy landscape is non-convex with many local minima. Local convergence does not imply global convergence to the correct state. The glass transition risk (Section 12.6) is precisely the condition under which this idealized stability analysis fails.</w:t>
      </w:r>
    </w:p>
    <w:p>
      <w:pPr>
        <w:pStyle w:val="Heading2"/>
        <w:spacing w:after="160" w:before="320"/>
      </w:pPr>
      <w:r>
        <w:rPr>
          <w:rFonts w:ascii="Calibri" w:cs="Calibri" w:eastAsia="Calibri" w:hAnsi="Calibri"/>
          <w:b/>
          <w:bCs/>
          <w:color w:val="2B5282"/>
          <w:sz w:val="28"/>
          <w:szCs w:val="28"/>
        </w:rPr>
        <w:t xml:space="preserve">12.2  Conjecture 1: The Equilibrium Grounding Conjecture</w:t>
      </w:r>
    </w:p>
    <w:p>
      <w:pPr>
        <w:spacing w:after="160"/>
        <w:jc w:val="both"/>
      </w:pPr>
      <w:r>
        <w:rPr>
          <w:rFonts w:ascii="Calibri" w:cs="Calibri" w:eastAsia="Calibri" w:hAnsi="Calibri"/>
          <w:i/>
          <w:iCs/>
          <w:sz w:val="22"/>
          <w:szCs w:val="22"/>
        </w:rPr>
        <w:t xml:space="preserve">Note on v0.3 revision: </w:t>
      </w:r>
      <w:r>
        <w:rPr>
          <w:rFonts w:ascii="Calibri" w:cs="Calibri" w:eastAsia="Calibri" w:hAnsi="Calibri"/>
          <w:sz w:val="22"/>
          <w:szCs w:val="22"/>
        </w:rPr>
        <w:t xml:space="preserve">This result was presented as a proven theorem in v0.2 under the name 'Hallucination Elimination Theorem.' Upon rigorous review, the proof sketch relied on the ergodicity assumption without deriving it, and the Lyapunov stability argument proved local but not global convergence. We therefore reclassify this as Conjecture 1, pending empirical validation through the experimental program in Section 16.</w:t>
      </w:r>
    </w:p>
    <w:p>
      <w:pPr>
        <w:pBdr>
          <w:top w:val="single" w:color="1A6B43" w:sz="4"/>
          <w:left w:val="thick" w:color="1A6B43" w:sz="14"/>
          <w:right w:val="single" w:color="1A6B43" w:sz="4"/>
        </w:pBdr>
        <w:spacing w:after="0" w:before="280"/>
      </w:pPr>
      <w:r>
        <w:rPr>
          <w:rFonts w:ascii="Calibri" w:cs="Calibri" w:eastAsia="Calibri" w:hAnsi="Calibri"/>
          <w:b/>
          <w:bCs/>
          <w:color w:val="1A6B43"/>
          <w:sz w:val="22"/>
          <w:szCs w:val="22"/>
        </w:rPr>
        <w:t xml:space="preserve">Conjecture 1 (Equilibrium Grounding Conjecture): </w:t>
      </w:r>
    </w:p>
    <w:p>
      <w:pPr>
        <w:pBdr>
          <w:bottom w:val="single" w:color="1A6B43" w:sz="4"/>
          <w:left w:val="thick" w:color="1A6B43" w:sz="14"/>
          <w:right w:val="single" w:color="1A6B43" w:sz="4"/>
        </w:pBdr>
        <w:spacing w:after="280"/>
      </w:pPr>
      <w:r>
        <w:rPr>
          <w:rFonts w:ascii="Calibri" w:cs="Calibri" w:eastAsia="Calibri" w:hAnsi="Calibri"/>
          <w:sz w:val="22"/>
          <w:szCs w:val="22"/>
        </w:rPr>
        <w:t xml:space="preserve">Let C be a CEA system satisfying: (i) QNode dynamics governed by energy-gradient descent; (ii) HVE penalties calibrated to Landauer bound; (iii) ergodic dynamics — every state reachable from every other state in finite steps. Then in the stationary distribution π of C: π({s : G(s) &lt; θ}) → 0 as HVE penalty strength → ∞. Moreover, under ergodic conditions, the mixing time to stationary distribution is bounded: τ_mix ≤ O(N·D³/Δε_min) where Δε_min is the minimum energy gap between correct and incorrect states.</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Critical caveat — the ergodicity assumption: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Clause (iii) — ergodic dynamics — is a substantial assumption unlikely to hold exactly in practical QNode fields of realistic scale, which will contain many local energy minima and potentially glassy dynamics. Whether real CEA inference dynamics are sufficiently ergodic for this conjecture to hold empirically is precisely the question motivating Experiment E2.1. If E2.1 shows hallucination suppression not significantly exceeding transformer baselines under equivalent computational budget, the ergodic dynamics assumption is empirically challenged and the thermodynamic grounding framework requires fundamental revision. We therefore present this as a falsifiable conjecture rather than a theorem.</w:t>
      </w:r>
    </w:p>
    <w:p>
      <w:pPr>
        <w:spacing w:after="160"/>
        <w:jc w:val="both"/>
      </w:pPr>
      <w:r>
        <w:rPr>
          <w:rFonts w:ascii="Calibri" w:cs="Calibri" w:eastAsia="Calibri" w:hAnsi="Calibri"/>
          <w:sz w:val="22"/>
          <w:szCs w:val="22"/>
        </w:rPr>
        <w:t xml:space="preserve">The conjecture motivates the architecture: if it holds empirically, the Verification-First paradigm is validated. If it fails, the specific failure mode will diagnose which assumption broke down, guiding architectural revision.</w:t>
      </w:r>
    </w:p>
    <w:p>
      <w:pPr>
        <w:pStyle w:val="Heading2"/>
        <w:spacing w:after="160" w:before="320"/>
      </w:pPr>
      <w:r>
        <w:rPr>
          <w:rFonts w:ascii="Calibri" w:cs="Calibri" w:eastAsia="Calibri" w:hAnsi="Calibri"/>
          <w:b/>
          <w:bCs/>
          <w:color w:val="2B5282"/>
          <w:sz w:val="28"/>
          <w:szCs w:val="28"/>
        </w:rPr>
        <w:t xml:space="preserve">12.3  Proposition 1: Expressivity</w:t>
      </w:r>
    </w:p>
    <w:p>
      <w:pPr>
        <w:pBdr>
          <w:top w:val="single" w:color="1A6B43" w:sz="4"/>
          <w:left w:val="thick" w:color="1A6B43" w:sz="14"/>
          <w:right w:val="single" w:color="1A6B43" w:sz="4"/>
        </w:pBdr>
        <w:spacing w:after="0" w:before="280"/>
      </w:pPr>
      <w:r>
        <w:rPr>
          <w:rFonts w:ascii="Calibri" w:cs="Calibri" w:eastAsia="Calibri" w:hAnsi="Calibri"/>
          <w:b/>
          <w:bCs/>
          <w:color w:val="1A6B43"/>
          <w:sz w:val="22"/>
          <w:szCs w:val="22"/>
        </w:rPr>
        <w:t xml:space="preserve">Proposition 1 (Expressivity — Approximate Representation): </w:t>
      </w:r>
    </w:p>
    <w:p>
      <w:pPr>
        <w:pBdr>
          <w:bottom w:val="single" w:color="1A6B43" w:sz="4"/>
          <w:left w:val="thick" w:color="1A6B43" w:sz="14"/>
          <w:right w:val="single" w:color="1A6B43" w:sz="4"/>
        </w:pBdr>
        <w:spacing w:after="280"/>
      </w:pPr>
      <w:r>
        <w:rPr>
          <w:rFonts w:ascii="Calibri" w:cs="Calibri" w:eastAsia="Calibri" w:hAnsi="Calibri"/>
          <w:sz w:val="22"/>
          <w:szCs w:val="22"/>
        </w:rPr>
        <w:t xml:space="preserve">The CEA cellular layer with CNode agents possessing planning and simulation subsystems is capable of approximating a broad class of continuous functions on compact domains. This follows from the density of continuous functions in L² spaces and the compositional structure of CNode computation, by analogy to classical universal approximation results for multi-layer neural networks (Hornik et al., 1989; Cybenko, 1989).</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Correction from v0.2: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V0.2 claimed CNode agents implement 'bounded recursive programs' and then invoked Turing completeness. This was an error: bounded recursive programs are not Turing-complete — Turing completeness requires unbounded computation. Proposition 1 uses the weaker and correct claim: expressivity analogous to classical UAT results, not Turing completeness. A full formal proof requires specification of CNode computational primitives beyond the scope of this paper and is deferred to future work.</w:t>
      </w:r>
    </w:p>
    <w:p>
      <w:pPr>
        <w:pStyle w:val="Heading2"/>
        <w:spacing w:after="160" w:before="320"/>
      </w:pPr>
      <w:r>
        <w:rPr>
          <w:rFonts w:ascii="Calibri" w:cs="Calibri" w:eastAsia="Calibri" w:hAnsi="Calibri"/>
          <w:b/>
          <w:bCs/>
          <w:color w:val="2B5282"/>
          <w:sz w:val="28"/>
          <w:szCs w:val="28"/>
        </w:rPr>
        <w:t xml:space="preserve">12.4  Convergence Rate of Phase Synchronization</w:t>
      </w:r>
    </w:p>
    <w:p>
      <w:pPr>
        <w:spacing w:after="160"/>
        <w:jc w:val="both"/>
      </w:pPr>
      <w:r>
        <w:rPr>
          <w:rFonts w:ascii="Calibri" w:cs="Calibri" w:eastAsia="Calibri" w:hAnsi="Calibri"/>
          <w:sz w:val="22"/>
          <w:szCs w:val="22"/>
        </w:rPr>
        <w:t xml:space="preserve">The Kuramoto model governing QNode phase dynamics has well-studied convergence properties. For coupling strength κ and natural frequency distribution g(ω), synchronization occurs when κ &gt; κ_c = 2/(π·g(0)). In CEA, κ is set adaptively based on semantic similarity — related QNodes have strong coupling, unrelated QNodes have weak coupling:</w:t>
      </w:r>
    </w:p>
    <w:p>
      <w:pPr>
        <w:spacing w:after="160" w:before="160"/>
        <w:jc w:val="center"/>
      </w:pPr>
      <w:r>
        <w:rPr>
          <w:rFonts w:ascii="Courier New" w:cs="Courier New" w:eastAsia="Courier New" w:hAnsi="Courier New"/>
          <w:b/>
          <w:bCs/>
          <w:sz w:val="22"/>
          <w:szCs w:val="22"/>
        </w:rPr>
        <w:t xml:space="preserve">Time to synchronization:  τ_sync = O(1/κ_eff)   with   κ_eff = κ · I(ψᵢ; ψⱼ)</w:t>
      </w:r>
    </w:p>
    <w:p>
      <w:pPr>
        <w:spacing w:after="160"/>
        <w:jc w:val="both"/>
      </w:pPr>
      <w:r>
        <w:rPr>
          <w:rFonts w:ascii="Calibri" w:cs="Calibri" w:eastAsia="Calibri" w:hAnsi="Calibri"/>
          <w:sz w:val="22"/>
          <w:szCs w:val="22"/>
        </w:rPr>
        <w:t xml:space="preserve">For high-mutual-information pairs, κ_eff is large and synchronization is rapid. For low-information pairs, κ_eff approaches zero and no synchronization occurs — correctly representing semantic independence.</w:t>
      </w:r>
    </w:p>
    <w:p>
      <w:pPr>
        <w:pStyle w:val="Heading2"/>
        <w:spacing w:after="160" w:before="320"/>
      </w:pPr>
      <w:r>
        <w:rPr>
          <w:rFonts w:ascii="Calibri" w:cs="Calibri" w:eastAsia="Calibri" w:hAnsi="Calibri"/>
          <w:b/>
          <w:bCs/>
          <w:color w:val="2B5282"/>
          <w:sz w:val="28"/>
          <w:szCs w:val="28"/>
        </w:rPr>
        <w:t xml:space="preserve">12.5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Operation</w:t>
            </w:r>
          </w:p>
        </w:tc>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Complexity</w:t>
            </w:r>
          </w:p>
        </w:tc>
        <w:tc>
          <w:tcPr>
            <w:tcW w:type="dxa" w:w="45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QNode field update (N nodes)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O(N·|N_Γ|) parallel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Parallelizes to O(|N_Γ|) on GPU where |N_Γ| is neighborhood size.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QITF global context (bond dim 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O(N·D³) per 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Polynomial in N (vs exponential for exact). D=64 gives 10⁶x compression over full joint.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Tier 1 (logical)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O(context_length)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Linear scan of current context. Parallelizable.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Tier 2 (causal 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O(k³), k = 3-hop radius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Bounded by hop radius; independent of total graph size.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Tier 3 (semantic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O(log M) with HNSW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 is knowledge base size. Sub-linear retrieval via approximate nearest neighbor.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Tier 4 (simulation)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O(T_sim·N_sim)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Triggered &lt;1% of steps. Parallelizable. Cost bounded by T4 invocation policy.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Memory crystallization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O(N²/log N) capacity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Hopfield scaling. Scales favorably with sparse connectivity.</w:t>
            </w:r>
          </w:p>
        </w:tc>
      </w:tr>
    </w:tbl>
    <w:p>
      <w:pPr>
        <w:spacing w:after="280" w:before="60"/>
        <w:jc w:val="center"/>
      </w:pPr>
      <w:r>
        <w:rPr>
          <w:rFonts w:ascii="Calibri" w:cs="Calibri" w:eastAsia="Calibri" w:hAnsi="Calibri"/>
          <w:i/>
          <w:iCs/>
          <w:color w:val="555555"/>
          <w:sz w:val="20"/>
          <w:szCs w:val="20"/>
        </w:rPr>
        <w:t xml:space="preserve">Table 10. Complexity analysis of CEA operations.</w:t>
      </w:r>
    </w:p>
    <w:p>
      <w:pPr>
        <w:pStyle w:val="Heading2"/>
        <w:spacing w:after="160" w:before="320"/>
      </w:pPr>
      <w:r>
        <w:rPr>
          <w:rFonts w:ascii="Calibri" w:cs="Calibri" w:eastAsia="Calibri" w:hAnsi="Calibri"/>
          <w:b/>
          <w:bCs/>
          <w:color w:val="2B5282"/>
          <w:sz w:val="28"/>
          <w:szCs w:val="28"/>
        </w:rPr>
        <w:t xml:space="preserve">12.6  Glass Transition Risk — A Critical Theoretical Concern (NEW in v0.3)</w:t>
      </w:r>
    </w:p>
    <w:p>
      <w:pPr>
        <w:spacing w:after="160"/>
        <w:jc w:val="both"/>
      </w:pPr>
      <w:r>
        <w:rPr>
          <w:rFonts w:ascii="Calibri" w:cs="Calibri" w:eastAsia="Calibri" w:hAnsi="Calibri"/>
          <w:sz w:val="22"/>
          <w:szCs w:val="22"/>
        </w:rPr>
        <w:t xml:space="preserve">A critical theoretical risk for CEA's stability properties deserves explicit statement, as it is the most significant potential failure mode for Conjecture 1.</w:t>
      </w:r>
    </w:p>
    <w:p>
      <w:pPr>
        <w:spacing w:after="160"/>
        <w:jc w:val="both"/>
      </w:pPr>
      <w:r>
        <w:rPr>
          <w:rFonts w:ascii="Calibri" w:cs="Calibri" w:eastAsia="Calibri" w:hAnsi="Calibri"/>
          <w:sz w:val="22"/>
          <w:szCs w:val="22"/>
        </w:rPr>
        <w:t xml:space="preserve">In high-dimensional energy landscapes — such as those produced by large-scale QNode fields — gradient descent dynamics may become trapped in local energy minima, producing behavior analogous to glass transitions in physical disordered systems (Binder &amp; Kob, 2011). A glassy QNode field would exhibit:</w:t>
      </w:r>
    </w:p>
    <w:p>
      <w:pPr>
        <w:pStyle w:val="ListParagraph"/>
        <w:numPr>
          <w:ilvl w:val="0"/>
          <w:numId w:val="1"/>
        </w:numPr>
        <w:spacing w:after="100"/>
      </w:pPr>
      <w:r>
        <w:rPr>
          <w:rFonts w:ascii="Calibri" w:cs="Calibri" w:eastAsia="Calibri" w:hAnsi="Calibri"/>
          <w:b/>
          <w:bCs/>
          <w:sz w:val="22"/>
          <w:szCs w:val="22"/>
        </w:rPr>
        <w:t xml:space="preserve">Persistent incorrect states: </w:t>
      </w:r>
      <w:r>
        <w:rPr>
          <w:rFonts w:ascii="Calibri" w:cs="Calibri" w:eastAsia="Calibri" w:hAnsi="Calibri"/>
          <w:sz w:val="22"/>
          <w:szCs w:val="22"/>
        </w:rPr>
        <w:t xml:space="preserve">locally consistent but globally incorrect states that cannot escape to the global minimum, persisting indefinitely regardless of HVE penalties.</w:t>
      </w:r>
    </w:p>
    <w:p>
      <w:pPr>
        <w:pStyle w:val="ListParagraph"/>
        <w:numPr>
          <w:ilvl w:val="0"/>
          <w:numId w:val="1"/>
        </w:numPr>
        <w:spacing w:after="100"/>
      </w:pPr>
      <w:r>
        <w:rPr>
          <w:rFonts w:ascii="Calibri" w:cs="Calibri" w:eastAsia="Calibri" w:hAnsi="Calibri"/>
          <w:b/>
          <w:bCs/>
          <w:sz w:val="22"/>
          <w:szCs w:val="22"/>
        </w:rPr>
        <w:t xml:space="preserve">Exponential mixing times: </w:t>
      </w:r>
      <w:r>
        <w:rPr>
          <w:rFonts w:ascii="Calibri" w:cs="Calibri" w:eastAsia="Calibri" w:hAnsi="Calibri"/>
          <w:sz w:val="22"/>
          <w:szCs w:val="22"/>
        </w:rPr>
        <w:t xml:space="preserve">mixing times exponentially larger than the polynomial bound in Conjecture 1, making the equilibrium grounding guarantee unreachable in practical inference.</w:t>
      </w:r>
    </w:p>
    <w:p>
      <w:pPr>
        <w:pStyle w:val="ListParagraph"/>
        <w:numPr>
          <w:ilvl w:val="0"/>
          <w:numId w:val="1"/>
        </w:numPr>
        <w:spacing w:after="100"/>
      </w:pPr>
      <w:r>
        <w:rPr>
          <w:rFonts w:ascii="Calibri" w:cs="Calibri" w:eastAsia="Calibri" w:hAnsi="Calibri"/>
          <w:b/>
          <w:bCs/>
          <w:sz w:val="22"/>
          <w:szCs w:val="22"/>
        </w:rPr>
        <w:t xml:space="preserve">Path-dependent equilibria: </w:t>
      </w:r>
      <w:r>
        <w:rPr>
          <w:rFonts w:ascii="Calibri" w:cs="Calibri" w:eastAsia="Calibri" w:hAnsi="Calibri"/>
          <w:sz w:val="22"/>
          <w:szCs w:val="22"/>
        </w:rPr>
        <w:t xml:space="preserve">final states sensitive to initialization, making the system's outputs non-deterministic in ways not attributable to intentional uncertainty.</w:t>
      </w:r>
    </w:p>
    <w:p>
      <w:pPr>
        <w:spacing w:after="160"/>
        <w:jc w:val="both"/>
      </w:pPr>
      <w:r>
        <w:rPr>
          <w:rFonts w:ascii="Calibri" w:cs="Calibri" w:eastAsia="Calibri" w:hAnsi="Calibri"/>
          <w:sz w:val="22"/>
          <w:szCs w:val="22"/>
        </w:rPr>
        <w:t xml:space="preserve">This risk is most acute in regimes with: (i) many competing semantic interpretations with similar energy; (ii) sparse, high-dimensional ψ-state spaces; and (iii) weak HVE penalty signals relative to local energy wells.</w:t>
      </w:r>
    </w:p>
    <w:p>
      <w:pPr>
        <w:spacing w:after="160"/>
        <w:jc w:val="both"/>
      </w:pPr>
      <w:r>
        <w:rPr>
          <w:rFonts w:ascii="Calibri" w:cs="Calibri" w:eastAsia="Calibri" w:hAnsi="Calibri"/>
          <w:sz w:val="22"/>
          <w:szCs w:val="22"/>
        </w:rPr>
        <w:t xml:space="preserve">Experiment E2.1 is specifically designed to probe this risk: if hallucination energy elevation does not occur consistently across different initialization conditions, glassy dynamics are a likely explanation. Architectural mitigations under investigation include: entropy-regularized dynamics to prevent glass formation, hierarchical initialization from known-good configurations, and adaptive temperature schedules analogous to simulated annealing. The glass transition problem is an open theoretical challenge for CEA that may require substantial architectural innovation to resolve.</w:t>
      </w:r>
    </w:p>
    <w:p>
      <w:pPr>
        <w:pStyle w:val="Heading1"/>
        <w:spacing w:after="240" w:before="480"/>
      </w:pPr>
      <w:r>
        <w:rPr>
          <w:rFonts w:ascii="Calibri" w:cs="Calibri" w:eastAsia="Calibri" w:hAnsi="Calibri"/>
          <w:b/>
          <w:bCs/>
          <w:color w:val="1D3A5F"/>
          <w:sz w:val="36"/>
          <w:szCs w:val="36"/>
        </w:rPr>
        <w:t xml:space="preserve">13. Comparative Analysis</w:t>
      </w:r>
    </w:p>
    <w:p>
      <w:pPr>
        <w:pStyle w:val="Heading2"/>
        <w:spacing w:after="160" w:before="320"/>
      </w:pPr>
      <w:r>
        <w:rPr>
          <w:rFonts w:ascii="Calibri" w:cs="Calibri" w:eastAsia="Calibri" w:hAnsi="Calibri"/>
          <w:b/>
          <w:bCs/>
          <w:color w:val="2B5282"/>
          <w:sz w:val="28"/>
          <w:szCs w:val="28"/>
        </w:rPr>
        <w:t xml:space="preserve">13.1  CEA vs. Transformer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3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Transformer LLMs</w:t>
            </w:r>
          </w:p>
        </w:tc>
        <w:tc>
          <w:tcPr>
            <w:tcW w:type="dxa" w:w="39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v0.3 (Theoretical)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Core primitive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Stateless scalar activation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Stateful 5-tuple QNode with energy, phase, temporal memory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Hallucination mechanism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Structural — unfixable at architecture level; next-token prediction assigns non-zero probability to plausible-but-false continuations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Hypothesized to be thermodynamically disfavored in equilibrium — pending empirical validation of Conjecture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Causal reasoning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Statistical pattern-matching over training examples encoding causal structure; unreliable on genuinely novel problems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Structurally enforced via HVE Tier 2 causal graph (hypothesis); causal graph quality is bounded by knowledge base completeness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Memory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Context window + external KV cache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6-scale crystallized memory from wave to semantic schema (theoretical; unvalidated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Post-hoc: RAG, RLHF, constitutional AI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Structural: HVE integrated in energy landscape (theoretical)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Inference energy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Dense — always-on full parameter space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Sparse — ε-gated; projected 5–15% active at L1 (theoretical projection; not yet measured)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Formal guarantees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None on output correctness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Conjecture 1 (pending empirical validation); Proposition 2 (bound, not guarantee)</w:t>
            </w:r>
          </w:p>
        </w:tc>
      </w:tr>
    </w:tbl>
    <w:p>
      <w:pPr>
        <w:spacing w:after="280" w:before="60"/>
        <w:jc w:val="center"/>
      </w:pPr>
      <w:r>
        <w:rPr>
          <w:rFonts w:ascii="Calibri" w:cs="Calibri" w:eastAsia="Calibri" w:hAnsi="Calibri"/>
          <w:i/>
          <w:iCs/>
          <w:color w:val="555555"/>
          <w:sz w:val="20"/>
          <w:szCs w:val="20"/>
        </w:rPr>
        <w:t xml:space="preserve">Table 11. CEA v0.3 vs. transformer LLMs. Note: CEA entries are theoretical projections unless explicitly labeled otherwise.</w:t>
      </w:r>
    </w:p>
    <w:p>
      <w:pPr>
        <w:pStyle w:val="Heading2"/>
        <w:spacing w:after="160" w:before="320"/>
      </w:pPr>
      <w:r>
        <w:rPr>
          <w:rFonts w:ascii="Calibri" w:cs="Calibri" w:eastAsia="Calibri" w:hAnsi="Calibri"/>
          <w:b/>
          <w:bCs/>
          <w:color w:val="2B5282"/>
          <w:sz w:val="28"/>
          <w:szCs w:val="28"/>
        </w:rPr>
        <w:t xml:space="preserve">13.2  CEA vs. Neurosymbolic Systems</w:t>
      </w:r>
    </w:p>
    <w:p>
      <w:pPr>
        <w:spacing w:after="160"/>
        <w:jc w:val="both"/>
      </w:pPr>
      <w:r>
        <w:rPr>
          <w:rFonts w:ascii="Calibri" w:cs="Calibri" w:eastAsia="Calibri" w:hAnsi="Calibri"/>
          <w:sz w:val="22"/>
          <w:szCs w:val="22"/>
        </w:rPr>
        <w:t xml:space="preserve">Neurosymbolic systems (AlphaGeometry, NSCL) achieve strong accuracy on structured reasoning by explicitly separating neural perception from symbolic inference. CEA differs architecturally: neurosymbolic systems use symbolic reasoning as an external module called by a neural system, which can in principle be bypassed. CEA uses symbolic consistency as a thermodynamic constraint enforced within the energy landscape. The distinction matters theoretically, though empirical validation of this difference in practice is a goal of the Phase 2 experiments.</w:t>
      </w:r>
    </w:p>
    <w:p>
      <w:pPr>
        <w:pStyle w:val="Heading2"/>
        <w:spacing w:after="160" w:before="320"/>
      </w:pPr>
      <w:r>
        <w:rPr>
          <w:rFonts w:ascii="Calibri" w:cs="Calibri" w:eastAsia="Calibri" w:hAnsi="Calibri"/>
          <w:b/>
          <w:bCs/>
          <w:color w:val="2B5282"/>
          <w:sz w:val="28"/>
          <w:szCs w:val="28"/>
        </w:rPr>
        <w:t xml:space="preserve">13.3  CEA vs. Mixture of Experts (MoE)</w:t>
      </w:r>
    </w:p>
    <w:p>
      <w:pPr>
        <w:spacing w:after="160"/>
        <w:jc w:val="both"/>
      </w:pPr>
      <w:r>
        <w:rPr>
          <w:rFonts w:ascii="Calibri" w:cs="Calibri" w:eastAsia="Calibri" w:hAnsi="Calibri"/>
          <w:sz w:val="22"/>
          <w:szCs w:val="22"/>
        </w:rPr>
        <w:t xml:space="preserve">Sparse MoE transformers (Mixtral, Switch Transformer) achieve energy efficiency goals through sparse expert activation — typically 1–8 experts active per token. CEA's energy-gated QNode activation achieves similar sparsity through a qualitatively different mechanism: thermodynamic pressure rather than learned routing. The distinction: thermodynamic sparsity adapts to information content — high-complexity inputs activate more QNodes — while MoE routing is determined by a fixed trained gate network. Whether this theoretical distinction produces measurable empirical differences is testable through Experiment E1.2 compared against published MoE baselines.</w:t>
      </w:r>
    </w:p>
    <w:p>
      <w:pPr>
        <w:pStyle w:val="Heading2"/>
        <w:spacing w:after="160" w:before="320"/>
      </w:pPr>
      <w:r>
        <w:rPr>
          <w:rFonts w:ascii="Calibri" w:cs="Calibri" w:eastAsia="Calibri" w:hAnsi="Calibri"/>
          <w:b/>
          <w:bCs/>
          <w:color w:val="2B5282"/>
          <w:sz w:val="28"/>
          <w:szCs w:val="28"/>
        </w:rPr>
        <w:t xml:space="preserve">13.4  CEA vs. World Models and Causal AI</w:t>
      </w:r>
    </w:p>
    <w:p>
      <w:pPr>
        <w:spacing w:after="160"/>
        <w:jc w:val="both"/>
      </w:pPr>
      <w:r>
        <w:rPr>
          <w:rFonts w:ascii="Calibri" w:cs="Calibri" w:eastAsia="Calibri" w:hAnsi="Calibri"/>
          <w:sz w:val="22"/>
          <w:szCs w:val="22"/>
        </w:rPr>
        <w:t xml:space="preserve">World model architectures (Hafner et al., 2023; Schrittwieser et al., 2020) learn internal simulations for planning. Pearl's causal AI framework (Pearl, 2009) provides formal tools for causal inference and counterfactual reasoning. CEA's T4 simulation engine combines elements of both: domain-specific physics and logic engines invoked selectively for high-uncertainty claims, evaluated using Pearl's do-calculus for causal consistency. The specific comparison target for Phase 2 benchmarks: CEA against Pearl-based causal AI systems on causal reasoning benchmarks, and against world model systems on FactScore knowledge-intensive generation.</w:t>
      </w:r>
    </w:p>
    <w:p>
      <w:pPr>
        <w:pStyle w:val="Heading1"/>
        <w:spacing w:after="240" w:before="480"/>
      </w:pPr>
      <w:r>
        <w:rPr>
          <w:rFonts w:ascii="Calibri" w:cs="Calibri" w:eastAsia="Calibri" w:hAnsi="Calibri"/>
          <w:b/>
          <w:bCs/>
          <w:color w:val="1D3A5F"/>
          <w:sz w:val="36"/>
          <w:szCs w:val="36"/>
        </w:rPr>
        <w:t xml:space="preserve">14. Safety, Alignment, and Ethical Considerations</w:t>
      </w:r>
    </w:p>
    <w:p>
      <w:pPr>
        <w:pStyle w:val="Heading2"/>
        <w:spacing w:after="160" w:before="320"/>
      </w:pPr>
      <w:r>
        <w:rPr>
          <w:rFonts w:ascii="Calibri" w:cs="Calibri" w:eastAsia="Calibri" w:hAnsi="Calibri"/>
          <w:b/>
          <w:bCs/>
          <w:color w:val="2B5282"/>
          <w:sz w:val="28"/>
          <w:szCs w:val="28"/>
        </w:rPr>
        <w:t xml:space="preserve">14.1  Structural Safety Properties</w:t>
      </w:r>
    </w:p>
    <w:p>
      <w:pPr>
        <w:spacing w:after="160"/>
        <w:jc w:val="both"/>
      </w:pPr>
      <w:r>
        <w:rPr>
          <w:rFonts w:ascii="Calibri" w:cs="Calibri" w:eastAsia="Calibri" w:hAnsi="Calibri"/>
          <w:sz w:val="22"/>
          <w:szCs w:val="22"/>
        </w:rPr>
        <w:t xml:space="preserve">CEA's architecture, if Conjecture 1 is empirically confirmed, provides safety properties not achievable by post-hoc filtering alone. Three structural safety hypotheses:</w:t>
      </w:r>
    </w:p>
    <w:p>
      <w:pPr>
        <w:pStyle w:val="ListParagraph"/>
        <w:numPr>
          <w:ilvl w:val="0"/>
          <w:numId w:val="1"/>
        </w:numPr>
        <w:spacing w:after="100"/>
      </w:pPr>
      <w:r>
        <w:rPr>
          <w:rFonts w:ascii="Calibri" w:cs="Calibri" w:eastAsia="Calibri" w:hAnsi="Calibri"/>
          <w:b/>
          <w:bCs/>
          <w:sz w:val="22"/>
          <w:szCs w:val="22"/>
        </w:rPr>
        <w:t xml:space="preserve">Hallucination safety (conditional): </w:t>
      </w:r>
      <w:r>
        <w:rPr>
          <w:rFonts w:ascii="Calibri" w:cs="Calibri" w:eastAsia="Calibri" w:hAnsi="Calibri"/>
          <w:sz w:val="22"/>
          <w:szCs w:val="22"/>
        </w:rPr>
        <w:t xml:space="preserve">If Conjecture 1 holds, factually incorrect states cannot persist in CEA equilibrium. This eliminates the most common failure mode of deployed AI systems — subject to the ergodicity and calibration assumptions of the conjecture.</w:t>
      </w:r>
    </w:p>
    <w:p>
      <w:pPr>
        <w:pStyle w:val="ListParagraph"/>
        <w:numPr>
          <w:ilvl w:val="0"/>
          <w:numId w:val="1"/>
        </w:numPr>
        <w:spacing w:after="100"/>
      </w:pPr>
      <w:r>
        <w:rPr>
          <w:rFonts w:ascii="Calibri" w:cs="Calibri" w:eastAsia="Calibri" w:hAnsi="Calibri"/>
          <w:b/>
          <w:bCs/>
          <w:sz w:val="22"/>
          <w:szCs w:val="22"/>
        </w:rPr>
        <w:t xml:space="preserve">Causal safety (structural): </w:t>
      </w:r>
      <w:r>
        <w:rPr>
          <w:rFonts w:ascii="Calibri" w:cs="Calibri" w:eastAsia="Calibri" w:hAnsi="Calibri"/>
          <w:sz w:val="22"/>
          <w:szCs w:val="22"/>
        </w:rPr>
        <w:t xml:space="preserve">HVE Tier 2 enforces causal consistency, preventing generation of outputs violating established causal chains — including causally impossible interventions in high-stakes domains. This is a structural guarantee independent of Conjecture 1, holding whenever T2 is operating.</w:t>
      </w:r>
    </w:p>
    <w:p>
      <w:pPr>
        <w:pStyle w:val="ListParagraph"/>
        <w:numPr>
          <w:ilvl w:val="0"/>
          <w:numId w:val="1"/>
        </w:numPr>
        <w:spacing w:after="100"/>
      </w:pPr>
      <w:r>
        <w:rPr>
          <w:rFonts w:ascii="Calibri" w:cs="Calibri" w:eastAsia="Calibri" w:hAnsi="Calibri"/>
          <w:b/>
          <w:bCs/>
          <w:sz w:val="22"/>
          <w:szCs w:val="22"/>
        </w:rPr>
        <w:t xml:space="preserve">Logical safety (structural): </w:t>
      </w:r>
      <w:r>
        <w:rPr>
          <w:rFonts w:ascii="Calibri" w:cs="Calibri" w:eastAsia="Calibri" w:hAnsi="Calibri"/>
          <w:sz w:val="22"/>
          <w:szCs w:val="22"/>
        </w:rPr>
        <w:t xml:space="preserve">HVE Tier 1 eliminates logical contradictions in real-time, ensuring outputs are internally consistent. Also independent of Conjecture 1.</w:t>
      </w:r>
    </w:p>
    <w:p>
      <w:pPr>
        <w:pStyle w:val="Heading2"/>
        <w:spacing w:after="160" w:before="320"/>
      </w:pPr>
      <w:r>
        <w:rPr>
          <w:rFonts w:ascii="Calibri" w:cs="Calibri" w:eastAsia="Calibri" w:hAnsi="Calibri"/>
          <w:b/>
          <w:bCs/>
          <w:color w:val="2B5282"/>
          <w:sz w:val="28"/>
          <w:szCs w:val="28"/>
        </w:rPr>
        <w:t xml:space="preserve">14.2  Alignment via Energy Landscape Design</w:t>
      </w:r>
    </w:p>
    <w:p>
      <w:pPr>
        <w:spacing w:after="160"/>
        <w:jc w:val="both"/>
      </w:pPr>
      <w:r>
        <w:rPr>
          <w:rFonts w:ascii="Calibri" w:cs="Calibri" w:eastAsia="Calibri" w:hAnsi="Calibri"/>
          <w:sz w:val="22"/>
          <w:szCs w:val="22"/>
        </w:rPr>
        <w:t xml:space="preserve">Current AI alignment approaches encode human values as behavioral constraints through RLHF reward models, constitutional principles, or red-teaming guidelines. CEA offers a complementary structural approach: alignment through energy landscape design. By defining high-energy configurations as misaligned behaviors, alignment becomes a thermodynamic property enforced during computation rather than a behavioral constraint applied post-hoc.</w:t>
      </w:r>
    </w:p>
    <w:p>
      <w:pPr>
        <w:spacing w:after="160"/>
        <w:jc w:val="both"/>
      </w:pPr>
      <w:r>
        <w:rPr>
          <w:rFonts w:ascii="Calibri" w:cs="Calibri" w:eastAsia="Calibri" w:hAnsi="Calibri"/>
          <w:sz w:val="22"/>
          <w:szCs w:val="22"/>
        </w:rPr>
        <w:t xml:space="preserve">The extended Reality Alignment Constraint:</w:t>
      </w:r>
    </w:p>
    <w:p>
      <w:pPr>
        <w:spacing w:after="160" w:before="160"/>
        <w:jc w:val="center"/>
      </w:pPr>
      <w:r>
        <w:rPr>
          <w:rFonts w:ascii="Courier New" w:cs="Courier New" w:eastAsia="Courier New" w:hAnsi="Courier New"/>
          <w:b/>
          <w:bCs/>
          <w:sz w:val="22"/>
          <w:szCs w:val="22"/>
        </w:rPr>
        <w:t xml:space="preserve">G_extended(s) = f(Ψ_env, Ψ_time, Ψ_causal, Ψ_ext, Ψ_values, Ψ_safety)</w:t>
      </w:r>
    </w:p>
    <w:p>
      <w:pPr>
        <w:pBdr>
          <w:top w:val="single" w:color="C05000" w:sz="4"/>
          <w:left w:val="thick" w:color="C05000" w:sz="14"/>
          <w:right w:val="single" w:color="C05000" w:sz="4"/>
        </w:pBdr>
        <w:spacing w:after="0" w:before="280"/>
      </w:pPr>
      <w:r>
        <w:rPr>
          <w:rFonts w:ascii="Calibri" w:cs="Calibri" w:eastAsia="Calibri" w:hAnsi="Calibri"/>
          <w:b/>
          <w:bCs/>
          <w:color w:val="C05000"/>
          <w:sz w:val="22"/>
          <w:szCs w:val="22"/>
        </w:rPr>
        <w:t xml:space="preserve">Alignment challenge — value specification: </w:t>
      </w:r>
    </w:p>
    <w:p>
      <w:pPr>
        <w:pBdr>
          <w:bottom w:val="single" w:color="C05000" w:sz="4"/>
          <w:left w:val="thick" w:color="C05000" w:sz="14"/>
          <w:right w:val="single" w:color="C05000" w:sz="4"/>
        </w:pBdr>
        <w:spacing w:after="280"/>
      </w:pPr>
      <w:r>
        <w:rPr>
          <w:rFonts w:ascii="Calibri" w:cs="Calibri" w:eastAsia="Calibri" w:hAnsi="Calibri"/>
          <w:sz w:val="22"/>
          <w:szCs w:val="22"/>
        </w:rPr>
        <w:t xml:space="preserve">Energy landscape alignment faces the same fundamental challenge as all AI alignment approaches: the alignment grounding components (Ψ_values, Ψ_safety) must themselves be correctly specified. A misspecified value function would cause the system to robustly optimize toward misaligned behaviors — with the additional risk that thermodynamic enforcement makes this misalignment harder to correct. The specification of Ψ_values is not solved by this architecture; it is a prerequisite of it. We recommend conservative defaults, formal verification of grounding components, and mandatory human oversight of Ψ_values definition.</w:t>
      </w:r>
    </w:p>
    <w:p>
      <w:pPr>
        <w:pStyle w:val="Heading2"/>
        <w:spacing w:after="160" w:before="320"/>
      </w:pPr>
      <w:r>
        <w:rPr>
          <w:rFonts w:ascii="Calibri" w:cs="Calibri" w:eastAsia="Calibri" w:hAnsi="Calibri"/>
          <w:b/>
          <w:bCs/>
          <w:color w:val="2B5282"/>
          <w:sz w:val="28"/>
          <w:szCs w:val="28"/>
        </w:rPr>
        <w:t xml:space="preserve">14.3  Transparency and Interpretability</w:t>
      </w:r>
    </w:p>
    <w:p>
      <w:pPr>
        <w:spacing w:after="160"/>
        <w:jc w:val="both"/>
      </w:pPr>
      <w:r>
        <w:rPr>
          <w:rFonts w:ascii="Calibri" w:cs="Calibri" w:eastAsia="Calibri" w:hAnsi="Calibri"/>
          <w:sz w:val="22"/>
          <w:szCs w:val="22"/>
        </w:rPr>
        <w:t xml:space="preserve">CEA's energy landscape is observable in a way that transformer weight matrices are not. The energy level ε of any QNode cluster at any time step reflects its grounding status — high-energy clusters are uncertain or ungrounded; low-energy clusters are confident and grounded. This provides a natural interpretability signal: users and auditors can inspect the energy landscape to understand why the system reached a given output, which claims are highly grounded versus uncertain, and where the HVE triggered verification.</w:t>
      </w:r>
    </w:p>
    <w:p>
      <w:pPr>
        <w:pStyle w:val="Heading2"/>
        <w:spacing w:after="160" w:before="320"/>
      </w:pPr>
      <w:r>
        <w:rPr>
          <w:rFonts w:ascii="Calibri" w:cs="Calibri" w:eastAsia="Calibri" w:hAnsi="Calibri"/>
          <w:b/>
          <w:bCs/>
          <w:color w:val="2B5282"/>
          <w:sz w:val="28"/>
          <w:szCs w:val="28"/>
        </w:rPr>
        <w:t xml:space="preserve">14.4  Failure Modes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Failure Mode</w:t>
            </w:r>
          </w:p>
        </w:tc>
        <w:tc>
          <w:tcPr>
            <w:tcW w:type="dxa" w:w="1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Risk Level</w:t>
            </w:r>
          </w:p>
        </w:tc>
        <w:tc>
          <w:tcPr>
            <w:tcW w:type="dxa" w:w="57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θ_reality miscalibration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Adaptive θ calibration per domain. Conservative defaults. Human-in-loop for threshold setting in critical domains.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Glassy dynamics — incorrect state persistence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Active research problem (Section 12.6). Mitigations under investigation: entropy regularization, hierarchical initialization, adaptive temperature scheduling. No current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Knowledge base corruption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Cryptographic knowledge provenance. Multiple independent knowledge sources. Consensus-weighted grounding scores.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T4 adversarial simulation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Simulation sandboxing. T4 runs in isolated compute environment. Multiple independent simulation instances with majority-vote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 lock false binding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Semantic similarity gate on Kuramoto coupling: κ = 0 for I(ψᵢ;ψⱼ) &lt; I_min. Prevents phase coupling without semantic basis.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Misaligned Ψ_values specification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Formal verification of grounding components. Human oversight of Ψ_values definition. Conservative defaults. Regular alignment audits.</w:t>
            </w:r>
          </w:p>
        </w:tc>
      </w:tr>
    </w:tbl>
    <w:p>
      <w:pPr>
        <w:spacing w:after="280" w:before="60"/>
        <w:jc w:val="center"/>
      </w:pPr>
      <w:r>
        <w:rPr>
          <w:rFonts w:ascii="Calibri" w:cs="Calibri" w:eastAsia="Calibri" w:hAnsi="Calibri"/>
          <w:i/>
          <w:iCs/>
          <w:color w:val="555555"/>
          <w:sz w:val="20"/>
          <w:szCs w:val="20"/>
        </w:rPr>
        <w:t xml:space="preserve">Table 12. CEA failure modes and structural mitigations. High-risk items require active research; mitigations listed are in development, not deployed solutions.</w:t>
      </w:r>
    </w:p>
    <w:p>
      <w:pPr>
        <w:pStyle w:val="Heading2"/>
        <w:spacing w:after="160" w:before="320"/>
      </w:pPr>
      <w:r>
        <w:rPr>
          <w:rFonts w:ascii="Calibri" w:cs="Calibri" w:eastAsia="Calibri" w:hAnsi="Calibri"/>
          <w:b/>
          <w:bCs/>
          <w:color w:val="2B5282"/>
          <w:sz w:val="28"/>
          <w:szCs w:val="28"/>
        </w:rPr>
        <w:t xml:space="preserve">14.5  Dual-Use and Deployment Ethics</w:t>
      </w:r>
    </w:p>
    <w:p>
      <w:pPr>
        <w:spacing w:after="160"/>
        <w:jc w:val="both"/>
      </w:pPr>
      <w:r>
        <w:rPr>
          <w:rFonts w:ascii="Calibri" w:cs="Calibri" w:eastAsia="Calibri" w:hAnsi="Calibri"/>
          <w:sz w:val="22"/>
          <w:szCs w:val="22"/>
        </w:rPr>
        <w:t xml:space="preserve">A Verification-First AI system with high grounding accuracy presents novel dual-use risks. Accurate misinformation — factually grounded claims arranged to mislead without containing false statements — would bypass the grounding constraint while achieving adversarial persuasion goals. CEA v0.3 does not solve this problem, which requires value alignment beyond factual grounding. We recommend that any deployment of CEA-class systems include: mandatory alignment grounding components, auditability requirements for high-stakes applications, and institutional oversight frameworks analogous to those applied to dual-use biotechnology research.</w:t>
      </w:r>
    </w:p>
    <w:p>
      <w:pPr>
        <w:pStyle w:val="Heading1"/>
        <w:spacing w:after="240" w:before="480"/>
      </w:pPr>
      <w:r>
        <w:rPr>
          <w:rFonts w:ascii="Calibri" w:cs="Calibri" w:eastAsia="Calibri" w:hAnsi="Calibri"/>
          <w:b/>
          <w:bCs/>
          <w:color w:val="1D3A5F"/>
          <w:sz w:val="36"/>
          <w:szCs w:val="36"/>
        </w:rPr>
        <w:t xml:space="preserve">15. Economic and Computational Impact</w:t>
      </w:r>
    </w:p>
    <w:p>
      <w:pPr>
        <w:pStyle w:val="Heading2"/>
        <w:spacing w:after="160" w:before="320"/>
      </w:pPr>
      <w:r>
        <w:rPr>
          <w:rFonts w:ascii="Calibri" w:cs="Calibri" w:eastAsia="Calibri" w:hAnsi="Calibri"/>
          <w:b/>
          <w:bCs/>
          <w:color w:val="2B5282"/>
          <w:sz w:val="28"/>
          <w:szCs w:val="28"/>
        </w:rPr>
        <w:t xml:space="preserve">15.1  Energy Economics of AI</w:t>
      </w:r>
    </w:p>
    <w:p>
      <w:pPr>
        <w:spacing w:after="160"/>
        <w:jc w:val="both"/>
      </w:pPr>
      <w:r>
        <w:rPr>
          <w:rFonts w:ascii="Calibri" w:cs="Calibri" w:eastAsia="Calibri" w:hAnsi="Calibri"/>
          <w:sz w:val="22"/>
          <w:szCs w:val="22"/>
        </w:rPr>
        <w:t xml:space="preserve">The International Energy Agency estimates that global AI data center electricity consumption will reach 1,000 TWh annually by 2026. CEA's sparse activation model — projecting 5–15% active QNodes per inference step — suggests a potential energy reduction of 6–20x versus dense transformer inference on equivalent tasks. At neuromorphic deployment, this hypothetical reduction could reach 100–1000x. We emphasize: these are theoretical projections from architectural analysis, not measured benchmarks. Experiment E3.3 is designed to measure actual inference energy against GPT-4 Turbo at equivalent perplexity.</w:t>
      </w:r>
    </w:p>
    <w:p>
      <w:pPr>
        <w:pStyle w:val="Heading2"/>
        <w:spacing w:after="160" w:before="320"/>
      </w:pPr>
      <w:r>
        <w:rPr>
          <w:rFonts w:ascii="Calibri" w:cs="Calibri" w:eastAsia="Calibri" w:hAnsi="Calibri"/>
          <w:b/>
          <w:bCs/>
          <w:color w:val="2B5282"/>
          <w:sz w:val="28"/>
          <w:szCs w:val="28"/>
        </w:rPr>
        <w:t xml:space="preserve">15.2  The Economic Value of Reduced Hallucination</w:t>
      </w:r>
    </w:p>
    <w:p>
      <w:pPr>
        <w:spacing w:after="160"/>
        <w:jc w:val="both"/>
      </w:pPr>
      <w:r>
        <w:rPr>
          <w:rFonts w:ascii="Calibri" w:cs="Calibri" w:eastAsia="Calibri" w:hAnsi="Calibri"/>
          <w:sz w:val="22"/>
          <w:szCs w:val="22"/>
        </w:rPr>
        <w:t xml:space="preserve">Hallucination in deployed AI systems creates measurable economic damage. Documented cases include legal citations to nonexistent cases resulting in court sanctions (Mata v. Avianca, 2023), and medical AI systems generating dangerous dosing recommendations. Enterprise verification overhead from AI hallucination represents a significant but difficult-to-quantify cost category. If Conjecture 1 is empirically validated, structural hallucination suppression would reduce this cost. Quantifying this economic impact requires measured hallucination suppression rates from the Phase 2 experiments — projections made before empirical validation would be premature.</w:t>
      </w:r>
    </w:p>
    <w:p>
      <w:pPr>
        <w:pStyle w:val="Heading2"/>
        <w:spacing w:after="160" w:before="320"/>
      </w:pPr>
      <w:r>
        <w:rPr>
          <w:rFonts w:ascii="Calibri" w:cs="Calibri" w:eastAsia="Calibri" w:hAnsi="Calibri"/>
          <w:b/>
          <w:bCs/>
          <w:color w:val="2B5282"/>
          <w:sz w:val="28"/>
          <w:szCs w:val="28"/>
        </w:rPr>
        <w:t xml:space="preserve">15.3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Paradigm</w:t>
            </w:r>
          </w:p>
        </w:tc>
        <w:tc>
          <w:tcPr>
            <w:tcW w:type="dxa" w:w="288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Current Trajectory</w:t>
            </w:r>
          </w:p>
        </w:tc>
        <w:tc>
          <w:tcPr>
            <w:tcW w:type="dxa" w:w="408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CEA Relevance (Conditional)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LLM Scaling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Diminishing returns per additional parameter; energy and cost barriers growing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CEA proposes an alternative scaling axis: richer QNode dynamics rather than larger weight matrices. Relevance conditional on Phase 1 empirical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Retrieval Augmentation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Widely deployed; reduces but does not eliminate hallucination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Conjecture 1 is confirmed, structural grounding replaces retrieval augmentation for factual grounding. Comparison benchmark: FactScore vs. best RAG pipelines.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RLHF Alignment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Standard practice; behavioral, not structural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Energy landscape alignment provides complementary structural approach. Challenge: correct value specification (Section 14.2).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Neuromorphic AI</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Research phase; 10–15 years from competitive scale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CEA provides algorithmic framework neuromorphic hardware has lacked. Value proposition contingent on Phase 1–2 validation.</w:t>
            </w:r>
          </w:p>
        </w:tc>
      </w:tr>
    </w:tbl>
    <w:p>
      <w:pPr>
        <w:spacing w:after="280" w:before="60"/>
        <w:jc w:val="center"/>
      </w:pPr>
      <w:r>
        <w:rPr>
          <w:rFonts w:ascii="Calibri" w:cs="Calibri" w:eastAsia="Calibri" w:hAnsi="Calibri"/>
          <w:i/>
          <w:iCs/>
          <w:color w:val="555555"/>
          <w:sz w:val="20"/>
          <w:szCs w:val="20"/>
        </w:rPr>
        <w:t xml:space="preserve">Table 13. CEA competitive positioning. All claims conditional on empirical validation of the experimental program.</w:t>
      </w:r>
    </w:p>
    <w:p>
      <w:pPr>
        <w:pStyle w:val="Heading1"/>
        <w:spacing w:after="240" w:before="480"/>
      </w:pPr>
      <w:r>
        <w:rPr>
          <w:rFonts w:ascii="Calibri" w:cs="Calibri" w:eastAsia="Calibri" w:hAnsi="Calibri"/>
          <w:b/>
          <w:bCs/>
          <w:color w:val="1D3A5F"/>
          <w:sz w:val="36"/>
          <w:szCs w:val="36"/>
        </w:rPr>
        <w:t xml:space="preserve">16. Experimental Roadmap and Benchmarks</w:t>
      </w:r>
    </w:p>
    <w:p>
      <w:pPr>
        <w:spacing w:after="160"/>
        <w:jc w:val="both"/>
      </w:pPr>
      <w:r>
        <w:rPr>
          <w:rFonts w:ascii="Calibri" w:cs="Calibri" w:eastAsia="Calibri" w:hAnsi="Calibri"/>
          <w:sz w:val="22"/>
          <w:szCs w:val="22"/>
        </w:rPr>
        <w:t xml:space="preserve">All experiments in this roadmap are designed with explicit success criteria and explicit failure conditions. The failure conditions are as scientifically important as the success criteria: they define the conditions under which specific theoretical assumptions of CEA are empirically falsified, enabling targeted architectural revision.</w:t>
      </w:r>
    </w:p>
    <w:p>
      <w:pPr>
        <w:pStyle w:val="Heading2"/>
        <w:spacing w:after="160" w:before="320"/>
      </w:pPr>
      <w:r>
        <w:rPr>
          <w:rFonts w:ascii="Calibri" w:cs="Calibri" w:eastAsia="Calibri" w:hAnsi="Calibri"/>
          <w:b/>
          <w:bCs/>
          <w:color w:val="2B5282"/>
          <w:sz w:val="28"/>
          <w:szCs w:val="28"/>
        </w:rPr>
        <w:t xml:space="preserve">16.1  Phase 1 Experiments: QNode Validation (0–12 Months)</w:t>
      </w:r>
    </w:p>
    <w:p>
      <w:pPr>
        <w:spacing w:after="160"/>
        <w:jc w:val="both"/>
      </w:pPr>
      <w:r>
        <w:rPr>
          <w:rFonts w:ascii="Calibri" w:cs="Calibri" w:eastAsia="Calibri" w:hAnsi="Calibri"/>
          <w:sz w:val="22"/>
          <w:szCs w:val="22"/>
        </w:rPr>
        <w:t xml:space="preserve">Target hardware: 8x NVIDIA H100 GPU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Experiment</w:t>
            </w:r>
          </w:p>
        </w:tc>
        <w:tc>
          <w:tcPr>
            <w:tcW w:type="dxa" w:w="2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Success Criterion</w:t>
            </w:r>
          </w:p>
        </w:tc>
        <w:tc>
          <w:tcPr>
            <w:tcW w:type="dxa" w:w="24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Failure Condition and Interpretation</w:t>
            </w:r>
          </w:p>
        </w:tc>
        <w:tc>
          <w:tcPr>
            <w:tcW w:type="dxa" w:w="27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Implication if Failure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E1.1: QNode field emergence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Stable phase-synchronized clusters emerge from random initialization in &lt;1000 steps, matching semantic similarity of input with F1 &gt; 0.80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stable clusters fail to emerge within 2000 steps across 3 independent initializations, the QNode interaction model is insufficient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Kuramoto coupling strength insufficient, or energy landscape lacks required attractor structure. Architectural revision of phase coupling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E1.2: Energy efficiency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Active QNode fraction &lt;15% at L1; &lt;5% at L5 on natural language inputs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active fraction exceeds 20% at L1, the energy gating mechanism is insufficient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Energy efficiency projection invalid. Sparse activation hypothesis requires architectural revision — likely requiring stronger energy penalties or lower ε_min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E1.3: Phase binding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Phase-synchronized clusters match ground-truth semantic clusters with F1 &gt; 0.85 on bAbI relational reasoning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F1 &lt; 0.70 under optimized coupling parameters, Kuramoto dynamics do not implement adequate semantic binding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 coupling mechanism fundamentally insufficient for compositional binding. Alternative binding mechanism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E1.4: HVE T1–T2 speed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T1 &lt;1ms, T2 &lt;10ms per verification at L3 causal graph with 1M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T2 latency exceeds 50ms at 1M nodes, HVE bandwidth constraint G_bandwidth ≥ R_claims fails for real-time operation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HVE cannot keep pace with generation at realistic language model speeds. Causal graph architecture requires redesign for sub-10ms throughput.</w:t>
            </w:r>
          </w:p>
        </w:tc>
      </w:tr>
    </w:tbl>
    <w:p>
      <w:pPr>
        <w:spacing w:after="280" w:before="60"/>
        <w:jc w:val="center"/>
      </w:pPr>
      <w:r>
        <w:rPr>
          <w:rFonts w:ascii="Calibri" w:cs="Calibri" w:eastAsia="Calibri" w:hAnsi="Calibri"/>
          <w:i/>
          <w:iCs/>
          <w:color w:val="555555"/>
          <w:sz w:val="20"/>
          <w:szCs w:val="20"/>
        </w:rPr>
        <w:t xml:space="preserve">Table 14. Phase 1 experimental plan with explicit success criteria and failure conditions.</w:t>
      </w:r>
    </w:p>
    <w:p>
      <w:pPr>
        <w:pStyle w:val="Heading2"/>
        <w:spacing w:after="160" w:before="320"/>
      </w:pPr>
      <w:r>
        <w:rPr>
          <w:rFonts w:ascii="Calibri" w:cs="Calibri" w:eastAsia="Calibri" w:hAnsi="Calibri"/>
          <w:b/>
          <w:bCs/>
          <w:color w:val="2B5282"/>
          <w:sz w:val="28"/>
          <w:szCs w:val="28"/>
        </w:rPr>
        <w:t xml:space="preserve">16.2  Phase 2 Experiments: Grounding Validation (6–18 Months)</w:t>
      </w:r>
    </w:p>
    <w:p>
      <w:pPr>
        <w:spacing w:after="160"/>
        <w:jc w:val="both"/>
      </w:pPr>
      <w:r>
        <w:rPr>
          <w:rFonts w:ascii="Calibri" w:cs="Calibri" w:eastAsia="Calibri" w:hAnsi="Calibri"/>
          <w:sz w:val="22"/>
          <w:szCs w:val="22"/>
        </w:rPr>
        <w:t xml:space="preserve">Target hardware: NVIDIA DGX SuperPOD (128x H100).</w:t>
      </w:r>
    </w:p>
    <w:p>
      <w:pPr>
        <w:pStyle w:val="ListParagraph"/>
        <w:numPr>
          <w:ilvl w:val="0"/>
          <w:numId w:val="1"/>
        </w:numPr>
        <w:spacing w:after="100"/>
      </w:pPr>
      <w:r>
        <w:rPr>
          <w:rFonts w:ascii="Calibri" w:cs="Calibri" w:eastAsia="Calibri" w:hAnsi="Calibri"/>
          <w:sz w:val="22"/>
          <w:szCs w:val="22"/>
        </w:rPr>
        <w:t xml:space="default"/>
      </w:r>
    </w:p>
    <w:p>
      <w:pPr>
        <w:pStyle w:val="ListParagraph"/>
        <w:numPr>
          <w:ilvl w:val="0"/>
          <w:numId w:val="1"/>
        </w:numPr>
        <w:spacing w:after="100"/>
      </w:pPr>
      <w:r>
        <w:rPr>
          <w:rFonts w:ascii="Calibri" w:cs="Calibri" w:eastAsia="Calibri" w:hAnsi="Calibri"/>
          <w:b/>
          <w:bCs/>
          <w:sz w:val="22"/>
          <w:szCs w:val="22"/>
        </w:rPr>
        <w:t xml:space="preserve">E2.1: Hallucination decay. </w:t>
      </w:r>
      <w:r>
        <w:rPr>
          <w:rFonts w:ascii="Calibri" w:cs="Calibri" w:eastAsia="Calibri" w:hAnsi="Calibri"/>
          <w:sz w:val="22"/>
          <w:szCs w:val="22"/>
        </w:rPr>
        <w:t xml:space="preserve">Success: 95% of injected hallucinations reach ε &gt; ε_max within 100 steps. Failure: inconsistent decay across initializations indicates glassy dynamics — Conjecture 1 ergodicity assumption challenged, architectural revision required.</w:t>
      </w:r>
    </w:p>
    <w:p>
      <w:pPr>
        <w:pStyle w:val="ListParagraph"/>
        <w:numPr>
          <w:ilvl w:val="0"/>
          <w:numId w:val="1"/>
        </w:numPr>
        <w:spacing w:after="100"/>
      </w:pPr>
      <w:r>
        <w:rPr>
          <w:rFonts w:ascii="Calibri" w:cs="Calibri" w:eastAsia="Calibri" w:hAnsi="Calibri"/>
          <w:b/>
          <w:bCs/>
          <w:sz w:val="22"/>
          <w:szCs w:val="22"/>
        </w:rPr>
        <w:t xml:space="preserve">E2.2: TruthfulQA benchmark. </w:t>
      </w:r>
      <w:r>
        <w:rPr>
          <w:rFonts w:ascii="Calibri" w:cs="Calibri" w:eastAsia="Calibri" w:hAnsi="Calibri"/>
          <w:sz w:val="22"/>
          <w:szCs w:val="22"/>
        </w:rPr>
        <w:t xml:space="preserve">Evaluate grounded CEA (L1–L5, T1–T3 HVE) on TruthfulQA. Target: &gt;85% truthfulness score. Failure condition: If TruthfulQA score &lt; 70% with full HVE active, the structured verification approach is not achieving the hypothesized suppression effect, and Hypothesis 1 (Energy-Correctness Equivalence) is weakened. Minimal acceptable result: statistically significant improvement over best GPT-4 score (~59%) at p &lt; 0.01.</w:t>
      </w:r>
    </w:p>
    <w:p>
      <w:pPr>
        <w:pStyle w:val="ListParagraph"/>
        <w:numPr>
          <w:ilvl w:val="0"/>
          <w:numId w:val="1"/>
        </w:numPr>
        <w:spacing w:after="100"/>
      </w:pPr>
      <w:r>
        <w:rPr>
          <w:rFonts w:ascii="Calibri" w:cs="Calibri" w:eastAsia="Calibri" w:hAnsi="Calibri"/>
          <w:b/>
          <w:bCs/>
          <w:sz w:val="22"/>
          <w:szCs w:val="22"/>
        </w:rPr>
        <w:t xml:space="preserve">E2.3: FactScore evaluation. </w:t>
      </w:r>
      <w:r>
        <w:rPr>
          <w:rFonts w:ascii="Calibri" w:cs="Calibri" w:eastAsia="Calibri" w:hAnsi="Calibri"/>
          <w:sz w:val="22"/>
          <w:szCs w:val="22"/>
        </w:rPr>
        <w:t xml:space="preserve">Target: FactScore precision &gt; 90% with HVE active. Failure condition: If precision improvement over RAG baseline is &lt; 10 percentage points, structural grounding provides insufficient advantage over retrieval augmentation to justify architectural complexity.</w:t>
      </w:r>
    </w:p>
    <w:p>
      <w:pPr>
        <w:pStyle w:val="ListParagraph"/>
        <w:numPr>
          <w:ilvl w:val="0"/>
          <w:numId w:val="1"/>
        </w:numPr>
        <w:spacing w:after="100"/>
      </w:pPr>
      <w:r>
        <w:rPr>
          <w:rFonts w:ascii="Calibri" w:cs="Calibri" w:eastAsia="Calibri" w:hAnsi="Calibri"/>
          <w:b/>
          <w:bCs/>
          <w:sz w:val="22"/>
          <w:szCs w:val="22"/>
        </w:rPr>
        <w:t xml:space="preserve">E2.4: Energy-correctness correlation. </w:t>
      </w:r>
      <w:r>
        <w:rPr>
          <w:rFonts w:ascii="Calibri" w:cs="Calibri" w:eastAsia="Calibri" w:hAnsi="Calibri"/>
          <w:sz w:val="22"/>
          <w:szCs w:val="22"/>
        </w:rPr>
        <w:t xml:space="preserve">Measure correlation between QNode energy levels and output correctness on TruthfulQA. Target: Pearson r &gt; 0.70. Failure condition: If r &lt; 0.40, Hypothesis 1 (Energy-Correctness Equivalence) is not supported, undermining the core theoretical premise of the Verification-First paradigm.</w:t>
      </w:r>
    </w:p>
    <w:p>
      <w:pPr>
        <w:pStyle w:val="Heading2"/>
        <w:spacing w:after="160" w:before="320"/>
      </w:pPr>
      <w:r>
        <w:rPr>
          <w:rFonts w:ascii="Calibri" w:cs="Calibri" w:eastAsia="Calibri" w:hAnsi="Calibri"/>
          <w:b/>
          <w:bCs/>
          <w:color w:val="2B5282"/>
          <w:sz w:val="28"/>
          <w:szCs w:val="28"/>
        </w:rPr>
        <w:t xml:space="preserve">16.3  Phase 3 Experiments: Full Architecture (18–48 Months)</w:t>
      </w:r>
    </w:p>
    <w:p>
      <w:pPr>
        <w:spacing w:after="160"/>
        <w:jc w:val="both"/>
      </w:pPr>
      <w:r>
        <w:rPr>
          <w:rFonts w:ascii="Calibri" w:cs="Calibri" w:eastAsia="Calibri" w:hAnsi="Calibri"/>
          <w:sz w:val="22"/>
          <w:szCs w:val="22"/>
        </w:rPr>
        <w:t xml:space="preserve">Target hardware: Frontier-class exascale cluster partition.</w:t>
      </w:r>
    </w:p>
    <w:p>
      <w:pPr>
        <w:pStyle w:val="ListParagraph"/>
        <w:numPr>
          <w:ilvl w:val="0"/>
          <w:numId w:val="1"/>
        </w:numPr>
        <w:spacing w:after="100"/>
      </w:pPr>
      <w:r>
        <w:rPr>
          <w:rFonts w:ascii="Calibri" w:cs="Calibri" w:eastAsia="Calibri" w:hAnsi="Calibri"/>
          <w:b/>
          <w:bCs/>
          <w:sz w:val="22"/>
          <w:szCs w:val="22"/>
        </w:rPr>
        <w:t xml:space="preserve">E3.1: BIG-Bench Hard. </w:t>
      </w:r>
      <w:r>
        <w:rPr>
          <w:rFonts w:ascii="Calibri" w:cs="Calibri" w:eastAsia="Calibri" w:hAnsi="Calibri"/>
          <w:sz w:val="22"/>
          <w:szCs w:val="22"/>
        </w:rPr>
        <w:t xml:space="preserve">Evaluate full six-layer CEA on BIG-Bench Hard (204 challenging tasks). Target: &gt;80% across all task categories. Failure condition: If performance &lt; 60% on causal reasoning tasks specifically, HVE Tier 2 integration is insufficient for complex multi-step causal inference.</w:t>
      </w:r>
    </w:p>
    <w:p>
      <w:pPr>
        <w:pStyle w:val="ListParagraph"/>
        <w:numPr>
          <w:ilvl w:val="0"/>
          <w:numId w:val="1"/>
        </w:numPr>
        <w:spacing w:after="100"/>
      </w:pPr>
      <w:r>
        <w:rPr>
          <w:rFonts w:ascii="Calibri" w:cs="Calibri" w:eastAsia="Calibri" w:hAnsi="Calibri"/>
          <w:b/>
          <w:bCs/>
          <w:sz w:val="22"/>
          <w:szCs w:val="22"/>
        </w:rPr>
        <w:t xml:space="preserve">E3.2: ARC-AGI Challenge. </w:t>
      </w:r>
      <w:r>
        <w:rPr>
          <w:rFonts w:ascii="Calibri" w:cs="Calibri" w:eastAsia="Calibri" w:hAnsi="Calibri"/>
          <w:sz w:val="22"/>
          <w:szCs w:val="22"/>
        </w:rPr>
        <w:t xml:space="preserve">Evaluate on Abstraction and Reasoning Corpus. Target: &gt;70% (vs. best current AI ~60%). Failure condition: If ARC-AGI performance is within the margin of error of best current transformer-based systems, emergent reasoning beyond pattern matching has not been demonstrated, and the architectural complexity of CEA may not be justified relative to simpler approaches.</w:t>
      </w:r>
    </w:p>
    <w:p>
      <w:pPr>
        <w:pStyle w:val="ListParagraph"/>
        <w:numPr>
          <w:ilvl w:val="0"/>
          <w:numId w:val="1"/>
        </w:numPr>
        <w:spacing w:after="100"/>
      </w:pPr>
      <w:r>
        <w:rPr>
          <w:rFonts w:ascii="Calibri" w:cs="Calibri" w:eastAsia="Calibri" w:hAnsi="Calibri"/>
          <w:b/>
          <w:bCs/>
          <w:sz w:val="22"/>
          <w:szCs w:val="22"/>
        </w:rPr>
        <w:t xml:space="preserve">E3.3: Energy benchmark vs. GPT-4 Turbo. </w:t>
      </w:r>
      <w:r>
        <w:rPr>
          <w:rFonts w:ascii="Calibri" w:cs="Calibri" w:eastAsia="Calibri" w:hAnsi="Calibri"/>
          <w:sz w:val="22"/>
          <w:szCs w:val="22"/>
        </w:rPr>
        <w:t xml:space="preserve">Compare inference energy (joules per token) at equivalent perplexity. Target: 10x reduction. Failure condition: If energy reduction is &lt; 3x, sparse activation is insufficient for meaningful energy advantage, and the efficiency case for CEA requires revision.</w:t>
      </w:r>
    </w:p>
    <w:p>
      <w:pPr>
        <w:pStyle w:val="ListParagraph"/>
        <w:numPr>
          <w:ilvl w:val="0"/>
          <w:numId w:val="1"/>
        </w:numPr>
        <w:spacing w:after="100"/>
      </w:pPr>
      <w:r>
        <w:rPr>
          <w:rFonts w:ascii="Calibri" w:cs="Calibri" w:eastAsia="Calibri" w:hAnsi="Calibri"/>
          <w:b/>
          <w:bCs/>
          <w:sz w:val="22"/>
          <w:szCs w:val="22"/>
        </w:rPr>
        <w:t xml:space="preserve">E3.4: Long-horizon memory retention. </w:t>
      </w:r>
      <w:r>
        <w:rPr>
          <w:rFonts w:ascii="Calibri" w:cs="Calibri" w:eastAsia="Calibri" w:hAnsi="Calibri"/>
          <w:sz w:val="22"/>
          <w:szCs w:val="22"/>
        </w:rPr>
        <w:t xml:space="preserve">Evaluate on NarrativeQA with 1M+ token context. Target: 85% answer accuracy with crystallized memory. Failure condition: If accuracy &lt; 60%, the crystallized memory architecture does not outperform RAG systems on long-horizon tasks, weakening the multi-scale memory contribution.</w:t>
      </w:r>
    </w:p>
    <w:p>
      <w:pPr>
        <w:pStyle w:val="Heading2"/>
        <w:spacing w:after="160" w:before="320"/>
      </w:pPr>
      <w:r>
        <w:rPr>
          <w:rFonts w:ascii="Calibri" w:cs="Calibri" w:eastAsia="Calibri" w:hAnsi="Calibri"/>
          <w:b/>
          <w:bCs/>
          <w:color w:val="2B5282"/>
          <w:sz w:val="28"/>
          <w:szCs w:val="28"/>
        </w:rPr>
        <w:t xml:space="preserve">16.4  Ablation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Ablation</w:t>
            </w:r>
          </w:p>
        </w:tc>
        <w:tc>
          <w:tcPr>
            <w:tcW w:type="dxa" w:w="260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Removes</w:t>
            </w:r>
          </w:p>
        </w:tc>
        <w:tc>
          <w:tcPr>
            <w:tcW w:type="dxa" w:w="4760"/>
            <w:tcBorders>
              <w:top w:val="single" w:color="1D3A5F" w:sz="1"/>
              <w:left w:val="single" w:color="1D3A5F" w:sz="1"/>
              <w:bottom w:val="single" w:color="1D3A5F" w:sz="1"/>
              <w:right w:val="single" w:color="1D3A5F" w:sz="1"/>
            </w:tcBorders>
            <w:shd w:fill="1D3A5F" w:val="clear"/>
            <w:tcMar>
              <w:top w:type="dxa" w:w="80"/>
              <w:left w:type="dxa" w:w="120"/>
              <w:bottom w:type="dxa" w:w="80"/>
              <w:right w:type="dxa" w:w="120"/>
            </w:tcMar>
          </w:tcPr>
          <w:p>
            <w:r>
              <w:rPr>
                <w:rFonts w:ascii="Calibri" w:cs="Calibri" w:eastAsia="Calibri" w:hAnsi="Calibri"/>
                <w:b/>
                <w:bCs/>
                <w:color w:val="FFFFFF"/>
                <w:sz w:val="20"/>
                <w:szCs w:val="20"/>
              </w:rPr>
              <w:t xml:space="preserve">Expected TruthfulQA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CEA-full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Nothing (baseline)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&gt;85% truthfulness (hypothesis)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 − HVE T4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Simulation verification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~75–80% — loses deep verification for novel claims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 − HVE T2–T4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Causal + semantic + simulation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~60–70% — retains only logical consistency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 − full HVE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grounding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~35–45% — comparable to standard LLM; if not, energy landscape provides grounding without explicit HVE, which would be a theoretically interesting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 − QITF (O(N) broadcast)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Tensor field (uses O(N) broadcast)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~85%+ accuracy but significantly slower — validates QITF for efficiency, not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CEA − phase dynamics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Phase synchronization; static 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~70–75% — loses semantic binding; expected reduction in compositional reasoning</w:t>
            </w:r>
          </w:p>
        </w:tc>
      </w:tr>
    </w:tbl>
    <w:p>
      <w:pPr>
        <w:spacing w:after="280" w:before="60"/>
        <w:jc w:val="center"/>
      </w:pPr>
      <w:r>
        <w:rPr>
          <w:rFonts w:ascii="Calibri" w:cs="Calibri" w:eastAsia="Calibri" w:hAnsi="Calibri"/>
          <w:i/>
          <w:iCs/>
          <w:color w:val="555555"/>
          <w:sz w:val="20"/>
          <w:szCs w:val="20"/>
        </w:rPr>
        <w:t xml:space="preserve">Table 15. Planned ablation study design with expected impact on TruthfulQA. All figures are hypotheses prior to implementation.</w:t>
      </w:r>
    </w:p>
    <w:p>
      <w:pPr>
        <w:pStyle w:val="Heading1"/>
        <w:spacing w:after="240" w:before="480"/>
      </w:pPr>
      <w:r>
        <w:rPr>
          <w:rFonts w:ascii="Calibri" w:cs="Calibri" w:eastAsia="Calibri" w:hAnsi="Calibri"/>
          <w:b/>
          <w:bCs/>
          <w:color w:val="1D3A5F"/>
          <w:sz w:val="36"/>
          <w:szCs w:val="36"/>
        </w:rPr>
        <w:t xml:space="preserve">17. Limitations and Open Problems</w:t>
      </w:r>
    </w:p>
    <w:p>
      <w:pPr>
        <w:pStyle w:val="Heading2"/>
        <w:spacing w:after="160" w:before="320"/>
      </w:pPr>
      <w:r>
        <w:rPr>
          <w:rFonts w:ascii="Calibri" w:cs="Calibri" w:eastAsia="Calibri" w:hAnsi="Calibri"/>
          <w:b/>
          <w:bCs/>
          <w:color w:val="2B5282"/>
          <w:sz w:val="28"/>
          <w:szCs w:val="28"/>
        </w:rPr>
        <w:t xml:space="preserve">17.1  Current Limitations</w:t>
      </w:r>
    </w:p>
    <w:p>
      <w:pPr>
        <w:spacing w:after="160"/>
        <w:jc w:val="both"/>
      </w:pPr>
      <w:r>
        <w:rPr>
          <w:rFonts w:ascii="Calibri" w:cs="Calibri" w:eastAsia="Calibri" w:hAnsi="Calibri"/>
          <w:b/>
          <w:bCs/>
          <w:sz w:val="22"/>
          <w:szCs w:val="22"/>
        </w:rPr>
        <w:t xml:space="preserve">No empirical implementation: </w:t>
      </w:r>
      <w:r>
        <w:rPr>
          <w:rFonts w:ascii="Calibri" w:cs="Calibri" w:eastAsia="Calibri" w:hAnsi="Calibri"/>
          <w:sz w:val="22"/>
          <w:szCs w:val="22"/>
        </w:rPr>
        <w:t xml:space="preserve">CEA v0.3 remains a theoretical architecture. All performance projections are derived from theoretical analysis and extrapolation from component-level experiments in related systems. Large-scale empirical validation is required before any quantitative claim should be taken as established. This is the single most important limitation of the paper.</w:t>
      </w:r>
    </w:p>
    <w:p>
      <w:pPr>
        <w:spacing w:after="160"/>
        <w:jc w:val="both"/>
      </w:pPr>
      <w:r>
        <w:rPr>
          <w:rFonts w:ascii="Calibri" w:cs="Calibri" w:eastAsia="Calibri" w:hAnsi="Calibri"/>
          <w:b/>
          <w:bCs/>
          <w:sz w:val="22"/>
          <w:szCs w:val="22"/>
        </w:rPr>
        <w:t xml:space="preserve">The ergodicity problem — most critical theoretical uncertainty: </w:t>
      </w:r>
      <w:r>
        <w:rPr>
          <w:rFonts w:ascii="Calibri" w:cs="Calibri" w:eastAsia="Calibri" w:hAnsi="Calibri"/>
          <w:sz w:val="22"/>
          <w:szCs w:val="22"/>
        </w:rPr>
        <w:t xml:space="preserve">The most fundamental theoretical uncertainty in CEA is whether practical QNode field dynamics satisfy the ergodicity condition underlying Conjecture 1. High-dimensional energy landscapes generically contain exponentially many local minima. If QNode dynamics exhibit glass-like behavior — becoming trapped in locally consistent but globally suboptimal configurations — the equilibrium grounding guarantee fails. Hallucinated states could persist indefinitely in locally stable incorrect configurations, completely negating the core CEA claim. This is not resolvable by theoretical analysis alone; it requires the empirical study program specified in Section 16.</w:t>
      </w:r>
    </w:p>
    <w:p>
      <w:pPr>
        <w:spacing w:after="160"/>
        <w:jc w:val="both"/>
      </w:pPr>
      <w:r>
        <w:rPr>
          <w:rFonts w:ascii="Calibri" w:cs="Calibri" w:eastAsia="Calibri" w:hAnsi="Calibri"/>
          <w:b/>
          <w:bCs/>
          <w:sz w:val="22"/>
          <w:szCs w:val="22"/>
        </w:rPr>
        <w:t xml:space="preserve">QNode synchronization overhead at scale: </w:t>
      </w:r>
      <w:r>
        <w:rPr>
          <w:rFonts w:ascii="Calibri" w:cs="Calibri" w:eastAsia="Calibri" w:hAnsi="Calibri"/>
          <w:sz w:val="22"/>
          <w:szCs w:val="22"/>
        </w:rPr>
        <w:t xml:space="preserve">At scale beyond approximately 10⁸ QNodes, Γ-field update latency becomes the dominant computational cost. At N_neighbors = 100 and 64-bit state vectors, communicating field updates requires approximately 800 bytes × 10⁸ = 80 TB of data movement per inference step — far exceeding available memory bandwidth on current hardware. Novel compression schemes for the Γ-field, hard sparsification of connections below a minimum coupling threshold, or hierarchical connection architectures will be required at this scale.</w:t>
      </w:r>
    </w:p>
    <w:p>
      <w:pPr>
        <w:spacing w:after="160"/>
        <w:jc w:val="both"/>
      </w:pPr>
      <w:r>
        <w:rPr>
          <w:rFonts w:ascii="Calibri" w:cs="Calibri" w:eastAsia="Calibri" w:hAnsi="Calibri"/>
          <w:b/>
          <w:bCs/>
          <w:sz w:val="22"/>
          <w:szCs w:val="22"/>
        </w:rPr>
        <w:t xml:space="preserve">T4 latency vs. real-time requirements: </w:t>
      </w:r>
      <w:r>
        <w:rPr>
          <w:rFonts w:ascii="Calibri" w:cs="Calibri" w:eastAsia="Calibri" w:hAnsi="Calibri"/>
          <w:sz w:val="22"/>
          <w:szCs w:val="22"/>
        </w:rPr>
        <w:t xml:space="preserve">In domains requiring sub-millisecond response (real-time control, safety-critical systems, high-frequency applications), HVE T4 latency (100ms–10s) is fundamentally incompatible. CEA must either operate without T4 in latency-critical contexts — forfeiting the deep verification that provides maximum hallucination suppression — or pre-compute T4 verdicts for predictable claim types, which reduces generality. This is a genuine architectural tension with no current resolution.</w:t>
      </w:r>
    </w:p>
    <w:p>
      <w:pPr>
        <w:spacing w:after="160"/>
        <w:jc w:val="both"/>
      </w:pPr>
      <w:r>
        <w:rPr>
          <w:rFonts w:ascii="Calibri" w:cs="Calibri" w:eastAsia="Calibri" w:hAnsi="Calibri"/>
          <w:b/>
          <w:bCs/>
          <w:sz w:val="22"/>
          <w:szCs w:val="22"/>
        </w:rPr>
        <w:t xml:space="preserve">θ_reality calibration complexity: </w:t>
      </w:r>
      <w:r>
        <w:rPr>
          <w:rFonts w:ascii="Calibri" w:cs="Calibri" w:eastAsia="Calibri" w:hAnsi="Calibri"/>
          <w:sz w:val="22"/>
          <w:szCs w:val="22"/>
        </w:rPr>
        <w:t xml:space="preserve">Learning appropriate domain-specific grounding thresholds requires labeled data on the groundedness-creativity tradeoff curve, which may be expensive to collect in novel deployment domains. Setting θ_reality too high may block valid creative outputs; too low may allow hallucinations. The adaptive calibration scheme (Section 6.3) requires empirical characterization per domain.</w:t>
      </w:r>
    </w:p>
    <w:p>
      <w:pPr>
        <w:spacing w:after="160"/>
        <w:jc w:val="both"/>
      </w:pPr>
      <w:r>
        <w:rPr>
          <w:rFonts w:ascii="Calibri" w:cs="Calibri" w:eastAsia="Calibri" w:hAnsi="Calibri"/>
          <w:b/>
          <w:bCs/>
          <w:sz w:val="22"/>
          <w:szCs w:val="22"/>
        </w:rPr>
        <w:t xml:space="preserve">Training instability at Phase 3–4 curriculum transitions: </w:t>
      </w:r>
      <w:r>
        <w:rPr>
          <w:rFonts w:ascii="Calibri" w:cs="Calibri" w:eastAsia="Calibri" w:hAnsi="Calibri"/>
          <w:sz w:val="22"/>
          <w:szCs w:val="22"/>
        </w:rPr>
        <w:t xml:space="preserve">The addition of consistency penalties in Phase 4 may destabilize representations built in earlier phases if gradient surgery does not fully resolve objective conflicts. This risk is theoretical and untested at scale.</w:t>
      </w:r>
    </w:p>
    <w:p>
      <w:pPr>
        <w:spacing w:after="160"/>
        <w:jc w:val="both"/>
      </w:pPr>
      <w:r>
        <w:rPr>
          <w:rFonts w:ascii="Calibri" w:cs="Calibri" w:eastAsia="Calibri" w:hAnsi="Calibri"/>
          <w:b/>
          <w:bCs/>
          <w:sz w:val="22"/>
          <w:szCs w:val="22"/>
        </w:rPr>
        <w:t xml:space="preserve">QITF bond dimension growth at extreme scale: </w:t>
      </w:r>
      <w:r>
        <w:rPr>
          <w:rFonts w:ascii="Calibri" w:cs="Calibri" w:eastAsia="Calibri" w:hAnsi="Calibri"/>
          <w:sz w:val="22"/>
          <w:szCs w:val="22"/>
        </w:rPr>
        <w:t xml:space="preserve">For very large N with complex global state, required bond dimension D may grow to the point where O(N·D³) cost exceeds practical budget. Better tensor network architectures may be needed for extreme scale, and the optimal architecture is unknown.</w:t>
      </w:r>
    </w:p>
    <w:p>
      <w:pPr>
        <w:pStyle w:val="Heading2"/>
        <w:spacing w:after="160" w:before="320"/>
      </w:pPr>
      <w:r>
        <w:rPr>
          <w:rFonts w:ascii="Calibri" w:cs="Calibri" w:eastAsia="Calibri" w:hAnsi="Calibri"/>
          <w:b/>
          <w:bCs/>
          <w:color w:val="2B5282"/>
          <w:sz w:val="28"/>
          <w:szCs w:val="28"/>
        </w:rPr>
        <w:t xml:space="preserve">17.2  Fundamental Open Problems</w:t>
      </w:r>
    </w:p>
    <w:p>
      <w:pPr>
        <w:spacing w:after="160"/>
        <w:jc w:val="both"/>
      </w:pPr>
      <w:r>
        <w:rPr>
          <w:rFonts w:ascii="Calibri" w:cs="Calibri" w:eastAsia="Calibri" w:hAnsi="Calibri"/>
          <w:b/>
          <w:bCs/>
          <w:sz w:val="22"/>
          <w:szCs w:val="22"/>
        </w:rPr>
        <w:t xml:space="preserve">The glass transition question: </w:t>
      </w:r>
      <w:r>
        <w:rPr>
          <w:rFonts w:ascii="Calibri" w:cs="Calibri" w:eastAsia="Calibri" w:hAnsi="Calibri"/>
          <w:sz w:val="22"/>
          <w:szCs w:val="22"/>
        </w:rPr>
        <w:t xml:space="preserve">Does the QNode field exhibit glass transition behavior at realistic scale? If so, under what conditions, and what architectural interventions are necessary and sufficient to prevent it? This is the most consequential open problem for CEA's validity.</w:t>
      </w:r>
    </w:p>
    <w:p>
      <w:pPr>
        <w:spacing w:after="160"/>
        <w:jc w:val="both"/>
      </w:pPr>
      <w:r>
        <w:rPr>
          <w:rFonts w:ascii="Calibri" w:cs="Calibri" w:eastAsia="Calibri" w:hAnsi="Calibri"/>
          <w:b/>
          <w:bCs/>
          <w:sz w:val="22"/>
          <w:szCs w:val="22"/>
        </w:rPr>
        <w:t xml:space="preserve">The creativity-grounding Pareto frontier: </w:t>
      </w:r>
      <w:r>
        <w:rPr>
          <w:rFonts w:ascii="Calibri" w:cs="Calibri" w:eastAsia="Calibri" w:hAnsi="Calibri"/>
          <w:sz w:val="22"/>
          <w:szCs w:val="22"/>
        </w:rPr>
        <w:t xml:space="preserve">What is the mathematically optimal tradeoff between creative flexibility and grounding accuracy as a function of θ_reality? Preliminary analysis suggests a concave Pareto frontier, but its shape is unknown and likely domain-dependent.</w:t>
      </w:r>
    </w:p>
    <w:p>
      <w:pPr>
        <w:spacing w:after="160"/>
        <w:jc w:val="both"/>
      </w:pPr>
      <w:r>
        <w:rPr>
          <w:rFonts w:ascii="Calibri" w:cs="Calibri" w:eastAsia="Calibri" w:hAnsi="Calibri"/>
          <w:b/>
          <w:bCs/>
          <w:sz w:val="22"/>
          <w:szCs w:val="22"/>
        </w:rPr>
        <w:t xml:space="preserve">Phase dynamics in high-dimensional ψ spaces: </w:t>
      </w:r>
      <w:r>
        <w:rPr>
          <w:rFonts w:ascii="Calibri" w:cs="Calibri" w:eastAsia="Calibri" w:hAnsi="Calibri"/>
          <w:sz w:val="22"/>
          <w:szCs w:val="22"/>
        </w:rPr>
        <w:t xml:space="preserve">The Kuramoto model is well-studied for scalar phase oscillators. Extension to high-dimensional phase dynamics in complex ψ-state spaces requires new mathematical analysis not provided in this paper.</w:t>
      </w:r>
    </w:p>
    <w:p>
      <w:pPr>
        <w:spacing w:after="160"/>
        <w:jc w:val="both"/>
      </w:pPr>
      <w:r>
        <w:rPr>
          <w:rFonts w:ascii="Calibri" w:cs="Calibri" w:eastAsia="Calibri" w:hAnsi="Calibri"/>
          <w:b/>
          <w:bCs/>
          <w:sz w:val="22"/>
          <w:szCs w:val="22"/>
        </w:rPr>
        <w:t xml:space="preserve">The AGI completeness question: </w:t>
      </w:r>
      <w:r>
        <w:rPr>
          <w:rFonts w:ascii="Calibri" w:cs="Calibri" w:eastAsia="Calibri" w:hAnsi="Calibri"/>
          <w:sz w:val="22"/>
          <w:szCs w:val="22"/>
        </w:rPr>
        <w:t xml:space="preserve">Does the CEA six-layer hierarchy provide a sufficient computational substrate for general reasoning, or are additional layers or mechanisms required? This cannot be resolved without large-scale empirical implementation and systematic cognitive benchmarking.</w:t>
      </w:r>
    </w:p>
    <w:p>
      <w:pPr>
        <w:pStyle w:val="Heading1"/>
        <w:spacing w:after="240" w:before="480"/>
      </w:pPr>
      <w:r>
        <w:rPr>
          <w:rFonts w:ascii="Calibri" w:cs="Calibri" w:eastAsia="Calibri" w:hAnsi="Calibri"/>
          <w:b/>
          <w:bCs/>
          <w:color w:val="1D3A5F"/>
          <w:sz w:val="36"/>
          <w:szCs w:val="36"/>
        </w:rPr>
        <w:t xml:space="preserve">18. Future Research Directions</w:t>
      </w:r>
    </w:p>
    <w:p>
      <w:pPr>
        <w:pStyle w:val="Heading2"/>
        <w:spacing w:after="160" w:before="320"/>
      </w:pPr>
      <w:r>
        <w:rPr>
          <w:rFonts w:ascii="Calibri" w:cs="Calibri" w:eastAsia="Calibri" w:hAnsi="Calibri"/>
          <w:b/>
          <w:bCs/>
          <w:color w:val="2B5282"/>
          <w:sz w:val="28"/>
          <w:szCs w:val="28"/>
        </w:rPr>
        <w:t xml:space="preserve">18.1  Theoretical Extensions</w:t>
      </w:r>
    </w:p>
    <w:p>
      <w:pPr>
        <w:pStyle w:val="ListParagraph"/>
        <w:numPr>
          <w:ilvl w:val="0"/>
          <w:numId w:val="1"/>
        </w:numPr>
        <w:spacing w:after="100"/>
      </w:pPr>
      <w:r>
        <w:rPr>
          <w:rFonts w:ascii="Calibri" w:cs="Calibri" w:eastAsia="Calibri" w:hAnsi="Calibri"/>
          <w:b/>
          <w:bCs/>
          <w:sz w:val="22"/>
          <w:szCs w:val="22"/>
        </w:rPr>
        <w:t xml:space="preserve">Glass transition analysis: </w:t>
      </w:r>
      <w:r>
        <w:rPr>
          <w:rFonts w:ascii="Calibri" w:cs="Calibri" w:eastAsia="Calibri" w:hAnsi="Calibri"/>
          <w:sz w:val="22"/>
          <w:szCs w:val="22"/>
        </w:rPr>
        <w:t xml:space="preserve">Develop a formal theory of glass transition risk in QNode fields, identifying the conditions on energy landscape geometry, coupling strength, and system size that prevent glass formation. This is the highest-priority theoretical research direction.</w:t>
      </w:r>
    </w:p>
    <w:p>
      <w:pPr>
        <w:pStyle w:val="ListParagraph"/>
        <w:numPr>
          <w:ilvl w:val="0"/>
          <w:numId w:val="1"/>
        </w:numPr>
        <w:spacing w:after="100"/>
      </w:pPr>
      <w:r>
        <w:rPr>
          <w:rFonts w:ascii="Calibri" w:cs="Calibri" w:eastAsia="Calibri" w:hAnsi="Calibri"/>
          <w:b/>
          <w:bCs/>
          <w:sz w:val="22"/>
          <w:szCs w:val="22"/>
        </w:rPr>
        <w:t xml:space="preserve">Non-ergodic extension of Conjecture 1: </w:t>
      </w:r>
      <w:r>
        <w:rPr>
          <w:rFonts w:ascii="Calibri" w:cs="Calibri" w:eastAsia="Calibri" w:hAnsi="Calibri"/>
          <w:sz w:val="22"/>
          <w:szCs w:val="22"/>
        </w:rPr>
        <w:t xml:space="preserve">Extend the Equilibrium Grounding Conjecture to non-ergodic systems — relevant when the QNode field has multiple disconnected components or frozen energy minima. Identify conditions under which local ergodicity within connected components is sufficient for practical grounding guarantees.</w:t>
      </w:r>
    </w:p>
    <w:p>
      <w:pPr>
        <w:pStyle w:val="ListParagraph"/>
        <w:numPr>
          <w:ilvl w:val="0"/>
          <w:numId w:val="1"/>
        </w:numPr>
        <w:spacing w:after="100"/>
      </w:pPr>
      <w:r>
        <w:rPr>
          <w:rFonts w:ascii="Calibri" w:cs="Calibri" w:eastAsia="Calibri" w:hAnsi="Calibri"/>
          <w:b/>
          <w:bCs/>
          <w:sz w:val="22"/>
          <w:szCs w:val="22"/>
        </w:rPr>
        <w:t xml:space="preserve">Tight grounding bandwidth bounds: </w:t>
      </w:r>
      <w:r>
        <w:rPr>
          <w:rFonts w:ascii="Calibri" w:cs="Calibri" w:eastAsia="Calibri" w:hAnsi="Calibri"/>
          <w:sz w:val="22"/>
          <w:szCs w:val="22"/>
        </w:rPr>
        <w:t xml:space="preserve">Develop tight bounds on the minimum HVE capacity required for real-time grounding as a function of language model size and claim generation rate. This would establish formal engineering requirements for HVE deployment.</w:t>
      </w:r>
    </w:p>
    <w:p>
      <w:pPr>
        <w:pStyle w:val="ListParagraph"/>
        <w:numPr>
          <w:ilvl w:val="0"/>
          <w:numId w:val="1"/>
        </w:numPr>
        <w:spacing w:after="100"/>
      </w:pPr>
      <w:r>
        <w:rPr>
          <w:rFonts w:ascii="Calibri" w:cs="Calibri" w:eastAsia="Calibri" w:hAnsi="Calibri"/>
          <w:b/>
          <w:bCs/>
          <w:sz w:val="22"/>
          <w:szCs w:val="22"/>
        </w:rPr>
        <w:t xml:space="preserve">QITF extensions: </w:t>
      </w:r>
      <w:r>
        <w:rPr>
          <w:rFonts w:ascii="Calibri" w:cs="Calibri" w:eastAsia="Calibri" w:hAnsi="Calibri"/>
          <w:sz w:val="22"/>
          <w:szCs w:val="22"/>
        </w:rPr>
        <w:t xml:space="preserve">Extend the tensor field formalism to tree tensor networks and MERA, enabling more efficient representation of hierarchically structured global context at extreme scale.</w:t>
      </w:r>
    </w:p>
    <w:p>
      <w:pPr>
        <w:pStyle w:val="Heading2"/>
        <w:spacing w:after="160" w:before="320"/>
      </w:pPr>
      <w:r>
        <w:rPr>
          <w:rFonts w:ascii="Calibri" w:cs="Calibri" w:eastAsia="Calibri" w:hAnsi="Calibri"/>
          <w:b/>
          <w:bCs/>
          <w:color w:val="2B5282"/>
          <w:sz w:val="28"/>
          <w:szCs w:val="28"/>
        </w:rPr>
        <w:t xml:space="preserve">18.2  Empirical Research</w:t>
      </w:r>
    </w:p>
    <w:p>
      <w:pPr>
        <w:pStyle w:val="ListParagraph"/>
        <w:numPr>
          <w:ilvl w:val="0"/>
          <w:numId w:val="1"/>
        </w:numPr>
        <w:spacing w:after="100"/>
      </w:pPr>
      <w:r>
        <w:rPr>
          <w:rFonts w:ascii="Calibri" w:cs="Calibri" w:eastAsia="Calibri" w:hAnsi="Calibri"/>
          <w:b/>
          <w:bCs/>
          <w:sz w:val="22"/>
          <w:szCs w:val="22"/>
        </w:rPr>
        <w:t xml:space="preserve">Systematic QNode emergence characterization: </w:t>
      </w:r>
      <w:r>
        <w:rPr>
          <w:rFonts w:ascii="Calibri" w:cs="Calibri" w:eastAsia="Calibri" w:hAnsi="Calibri"/>
          <w:sz w:val="22"/>
          <w:szCs w:val="22"/>
        </w:rPr>
        <w:t xml:space="preserve">What QNode field sizes, connectivity patterns, and phase coupling strengths produce the richest semantic representations on natural language benchmarks?</w:t>
      </w:r>
    </w:p>
    <w:p>
      <w:pPr>
        <w:pStyle w:val="ListParagraph"/>
        <w:numPr>
          <w:ilvl w:val="0"/>
          <w:numId w:val="1"/>
        </w:numPr>
        <w:spacing w:after="100"/>
      </w:pPr>
      <w:r>
        <w:rPr>
          <w:rFonts w:ascii="Calibri" w:cs="Calibri" w:eastAsia="Calibri" w:hAnsi="Calibri"/>
          <w:b/>
          <w:bCs/>
          <w:sz w:val="22"/>
          <w:szCs w:val="22"/>
        </w:rPr>
        <w:t xml:space="preserve">Glass transition empirical study: </w:t>
      </w:r>
      <w:r>
        <w:rPr>
          <w:rFonts w:ascii="Calibri" w:cs="Calibri" w:eastAsia="Calibri" w:hAnsi="Calibri"/>
          <w:sz w:val="22"/>
          <w:szCs w:val="22"/>
        </w:rPr>
        <w:t xml:space="preserve">Systematic characterization of QNode field dynamics across scale, connectivity, and energy landscape parameters to identify glass transition onset conditions.</w:t>
      </w:r>
    </w:p>
    <w:p>
      <w:pPr>
        <w:pStyle w:val="ListParagraph"/>
        <w:numPr>
          <w:ilvl w:val="0"/>
          <w:numId w:val="1"/>
        </w:numPr>
        <w:spacing w:after="100"/>
      </w:pPr>
      <w:r>
        <w:rPr>
          <w:rFonts w:ascii="Calibri" w:cs="Calibri" w:eastAsia="Calibri" w:hAnsi="Calibri"/>
          <w:b/>
          <w:bCs/>
          <w:sz w:val="22"/>
          <w:szCs w:val="22"/>
        </w:rPr>
        <w:t xml:space="preserve">Adversarial robustness: </w:t>
      </w:r>
      <w:r>
        <w:rPr>
          <w:rFonts w:ascii="Calibri" w:cs="Calibri" w:eastAsia="Calibri" w:hAnsi="Calibri"/>
          <w:sz w:val="22"/>
          <w:szCs w:val="22"/>
        </w:rPr>
        <w:t xml:space="preserve">Systematic testing of whether the HVE grounding constraint can be circumvented by adversarially crafted inputs, and development of defensive measures.</w:t>
      </w:r>
    </w:p>
    <w:p>
      <w:pPr>
        <w:pStyle w:val="ListParagraph"/>
        <w:numPr>
          <w:ilvl w:val="0"/>
          <w:numId w:val="1"/>
        </w:numPr>
        <w:spacing w:after="100"/>
      </w:pPr>
      <w:r>
        <w:rPr>
          <w:rFonts w:ascii="Calibri" w:cs="Calibri" w:eastAsia="Calibri" w:hAnsi="Calibri"/>
          <w:b/>
          <w:bCs/>
          <w:sz w:val="22"/>
          <w:szCs w:val="22"/>
        </w:rPr>
        <w:t xml:space="preserve">Calibration study across domains: </w:t>
      </w:r>
      <w:r>
        <w:rPr>
          <w:rFonts w:ascii="Calibri" w:cs="Calibri" w:eastAsia="Calibri" w:hAnsi="Calibri"/>
          <w:sz w:val="22"/>
          <w:szCs w:val="22"/>
        </w:rPr>
        <w:t xml:space="preserve">Mapping the θ_reality calibration curve across medical, legal, creative, and scientific domains to establish deployment guidelines.</w:t>
      </w:r>
    </w:p>
    <w:p>
      <w:pPr>
        <w:pStyle w:val="Heading2"/>
        <w:spacing w:after="160" w:before="320"/>
      </w:pPr>
      <w:r>
        <w:rPr>
          <w:rFonts w:ascii="Calibri" w:cs="Calibri" w:eastAsia="Calibri" w:hAnsi="Calibri"/>
          <w:b/>
          <w:bCs/>
          <w:color w:val="2B5282"/>
          <w:sz w:val="28"/>
          <w:szCs w:val="28"/>
        </w:rPr>
        <w:t xml:space="preserve">18.3  Engineering and Deployment</w:t>
      </w:r>
    </w:p>
    <w:p>
      <w:pPr>
        <w:pStyle w:val="ListParagraph"/>
        <w:numPr>
          <w:ilvl w:val="0"/>
          <w:numId w:val="1"/>
        </w:numPr>
        <w:spacing w:after="100"/>
      </w:pPr>
      <w:r>
        <w:rPr>
          <w:rFonts w:ascii="Calibri" w:cs="Calibri" w:eastAsia="Calibri" w:hAnsi="Calibri"/>
          <w:b/>
          <w:bCs/>
          <w:sz w:val="22"/>
          <w:szCs w:val="22"/>
        </w:rPr>
        <w:t xml:space="preserve">Open-source reference implementation: </w:t>
      </w:r>
      <w:r>
        <w:rPr>
          <w:rFonts w:ascii="Calibri" w:cs="Calibri" w:eastAsia="Calibri" w:hAnsi="Calibri"/>
          <w:sz w:val="22"/>
          <w:szCs w:val="22"/>
        </w:rPr>
        <w:t xml:space="preserve">PyTorch/JAX reference implementation of QNode field dynamics with QITF, to enable reproducible research on the CEA framework.</w:t>
      </w:r>
    </w:p>
    <w:p>
      <w:pPr>
        <w:pStyle w:val="ListParagraph"/>
        <w:numPr>
          <w:ilvl w:val="0"/>
          <w:numId w:val="1"/>
        </w:numPr>
        <w:spacing w:after="100"/>
      </w:pPr>
      <w:r>
        <w:rPr>
          <w:rFonts w:ascii="Calibri" w:cs="Calibri" w:eastAsia="Calibri" w:hAnsi="Calibri"/>
          <w:b/>
          <w:bCs/>
          <w:sz w:val="22"/>
          <w:szCs w:val="22"/>
        </w:rPr>
        <w:t xml:space="preserve">Knowledge base format specification: </w:t>
      </w:r>
      <w:r>
        <w:rPr>
          <w:rFonts w:ascii="Calibri" w:cs="Calibri" w:eastAsia="Calibri" w:hAnsi="Calibri"/>
          <w:sz w:val="22"/>
          <w:szCs w:val="22"/>
        </w:rPr>
        <w:t xml:space="preserve">CEA-compatible knowledge base formats enabling efficient T3 semantic grounding queries at scale.</w:t>
      </w:r>
    </w:p>
    <w:p>
      <w:pPr>
        <w:pStyle w:val="ListParagraph"/>
        <w:numPr>
          <w:ilvl w:val="0"/>
          <w:numId w:val="1"/>
        </w:numPr>
        <w:spacing w:after="100"/>
      </w:pPr>
      <w:r>
        <w:rPr>
          <w:rFonts w:ascii="Calibri" w:cs="Calibri" w:eastAsia="Calibri" w:hAnsi="Calibri"/>
          <w:b/>
          <w:bCs/>
          <w:sz w:val="22"/>
          <w:szCs w:val="22"/>
        </w:rPr>
        <w:t xml:space="preserve">SLURM/PBS integration: </w:t>
      </w:r>
      <w:r>
        <w:rPr>
          <w:rFonts w:ascii="Calibri" w:cs="Calibri" w:eastAsia="Calibri" w:hAnsi="Calibri"/>
          <w:sz w:val="22"/>
          <w:szCs w:val="22"/>
        </w:rPr>
        <w:t xml:space="preserve">Integration with HPC job scheduling systems for T4 simulation engine deployment on supercomputing clusters.</w:t>
      </w:r>
    </w:p>
    <w:p>
      <w:pPr>
        <w:pStyle w:val="Heading2"/>
        <w:spacing w:after="160" w:before="320"/>
      </w:pPr>
      <w:r>
        <w:rPr>
          <w:rFonts w:ascii="Calibri" w:cs="Calibri" w:eastAsia="Calibri" w:hAnsi="Calibri"/>
          <w:b/>
          <w:bCs/>
          <w:color w:val="2B5282"/>
          <w:sz w:val="28"/>
          <w:szCs w:val="28"/>
        </w:rPr>
        <w:t xml:space="preserve">18.4  Applications Research</w:t>
      </w:r>
    </w:p>
    <w:p>
      <w:pPr>
        <w:pStyle w:val="ListParagraph"/>
        <w:numPr>
          <w:ilvl w:val="0"/>
          <w:numId w:val="1"/>
        </w:numPr>
        <w:spacing w:after="100"/>
      </w:pPr>
      <w:r>
        <w:rPr>
          <w:rFonts w:ascii="Calibri" w:cs="Calibri" w:eastAsia="Calibri" w:hAnsi="Calibri"/>
          <w:b/>
          <w:bCs/>
          <w:sz w:val="22"/>
          <w:szCs w:val="22"/>
        </w:rPr>
        <w:t xml:space="preserve">Medical AI: </w:t>
      </w:r>
      <w:r>
        <w:rPr>
          <w:rFonts w:ascii="Calibri" w:cs="Calibri" w:eastAsia="Calibri" w:hAnsi="Calibri"/>
          <w:sz w:val="22"/>
          <w:szCs w:val="22"/>
        </w:rPr>
        <w:t xml:space="preserve">Clinical validation of CEA hallucination suppression in drug interaction checking, diagnostic support, and treatment planning — domains where hallucination has direct safety consequences.</w:t>
      </w:r>
    </w:p>
    <w:p>
      <w:pPr>
        <w:pStyle w:val="ListParagraph"/>
        <w:numPr>
          <w:ilvl w:val="0"/>
          <w:numId w:val="1"/>
        </w:numPr>
        <w:spacing w:after="100"/>
      </w:pPr>
      <w:r>
        <w:rPr>
          <w:rFonts w:ascii="Calibri" w:cs="Calibri" w:eastAsia="Calibri" w:hAnsi="Calibri"/>
          <w:b/>
          <w:bCs/>
          <w:sz w:val="22"/>
          <w:szCs w:val="22"/>
        </w:rPr>
        <w:t xml:space="preserve">Scientific hypothesis generation: </w:t>
      </w:r>
      <w:r>
        <w:rPr>
          <w:rFonts w:ascii="Calibri" w:cs="Calibri" w:eastAsia="Calibri" w:hAnsi="Calibri"/>
          <w:sz w:val="22"/>
          <w:szCs w:val="22"/>
        </w:rPr>
        <w:t xml:space="preserve">Using CEA's T4 simulation engine and causal consistency enforcement for automated scientific hypothesis generation with physics-grounded plausibility scoring.</w:t>
      </w:r>
    </w:p>
    <w:p>
      <w:pPr>
        <w:pStyle w:val="ListParagraph"/>
        <w:numPr>
          <w:ilvl w:val="0"/>
          <w:numId w:val="1"/>
        </w:numPr>
        <w:spacing w:after="100"/>
      </w:pPr>
      <w:r>
        <w:rPr>
          <w:rFonts w:ascii="Calibri" w:cs="Calibri" w:eastAsia="Calibri" w:hAnsi="Calibri"/>
          <w:b/>
          <w:bCs/>
          <w:sz w:val="22"/>
          <w:szCs w:val="22"/>
        </w:rPr>
        <w:t xml:space="preserve">Long-horizon planning: </w:t>
      </w:r>
      <w:r>
        <w:rPr>
          <w:rFonts w:ascii="Calibri" w:cs="Calibri" w:eastAsia="Calibri" w:hAnsi="Calibri"/>
          <w:sz w:val="22"/>
          <w:szCs w:val="22"/>
        </w:rPr>
        <w:t xml:space="preserve">Leveraging CEA's cellular-layer CNode agents for autonomous planning tasks requiring multi-step causal reasoning over extended time horizons.</w:t>
      </w:r>
    </w:p>
    <w:p>
      <w:pPr>
        <w:pStyle w:val="Heading1"/>
        <w:spacing w:after="240" w:before="480"/>
      </w:pPr>
      <w:r>
        <w:rPr>
          <w:rFonts w:ascii="Calibri" w:cs="Calibri" w:eastAsia="Calibri" w:hAnsi="Calibri"/>
          <w:b/>
          <w:bCs/>
          <w:color w:val="1D3A5F"/>
          <w:sz w:val="36"/>
          <w:szCs w:val="36"/>
        </w:rPr>
        <w:t xml:space="preserve">19. Conclusion</w:t>
      </w:r>
    </w:p>
    <w:p>
      <w:pPr>
        <w:spacing w:after="160"/>
        <w:jc w:val="both"/>
      </w:pPr>
      <w:r>
        <w:rPr>
          <w:rFonts w:ascii="Calibri" w:cs="Calibri" w:eastAsia="Calibri" w:hAnsi="Calibri"/>
          <w:sz w:val="22"/>
          <w:szCs w:val="22"/>
        </w:rPr>
        <w:t xml:space="preserve">The Convergent Emergence Architecture v0.3 presents a comprehensive theoretical framework for a new approach to machine reasoning — one grounded in thermodynamic stability, phase synchronization, and multi-dimensional reality grounding rather than function approximation and post-hoc verification. V0.3 advances the framework on eight fronts: an HPC-first hardware strategy; a four-tier Hierarchical Verification Engine; a Quantum-Inspired Tensor Field formalism; information-theoretic foundations; four integrated neuroscience foundations providing biological plausibility grounding; rigorous reclassification of the Hallucination Elimination Theorem as Conjecture 1 with explicit ergodicity caveats; a new glass transition risk analysis identifying the most critical theoretical challenge; and a systematic experimental roadmap with explicit falsifiability conditions for each experiment.</w:t>
      </w:r>
    </w:p>
    <w:p>
      <w:pPr>
        <w:spacing w:after="160"/>
        <w:jc w:val="both"/>
      </w:pPr>
      <w:r>
        <w:rPr>
          <w:rFonts w:ascii="Calibri" w:cs="Calibri" w:eastAsia="Calibri" w:hAnsi="Calibri"/>
          <w:sz w:val="22"/>
          <w:szCs w:val="22"/>
        </w:rPr>
        <w:t xml:space="preserve">The central theoretical contribution — the Equilibrium Grounding Conjecture — formalizes the hypothesis that factual incorrectness is a thermodynamically unstable state rather than an output property to be filtered. This remains a conjecture. Its empirical resolution through the Phase 1–3 experimental program will determine whether the Verification-First paradigm is a viable foundation for reliable machine reasoning or requires fundamental architectural revision. Either outcome advances the field: confirmation validates the approach; falsification identifies exactly which theoretical assumptions fail and why.</w:t>
      </w:r>
    </w:p>
    <w:p>
      <w:pPr>
        <w:spacing w:after="160"/>
        <w:jc w:val="both"/>
      </w:pPr>
      <w:r>
        <w:rPr>
          <w:rFonts w:ascii="Calibri" w:cs="Calibri" w:eastAsia="Calibri" w:hAnsi="Calibri"/>
          <w:sz w:val="22"/>
          <w:szCs w:val="22"/>
        </w:rPr>
        <w:t xml:space="preserve">The neuroscience foundations introduced in v0.3 — Global Workspace Theory, sparse cortical coding, hippocampal attractor dynamics, and neural criticality — provide biological plausibility grounding for CEA's most novel architectural features: the organism-layer global broadcast, energy-gated sparse activation, content-addressable crystallized memory, and near-critical emergent dynamics. We emphasize that biological plausibility is not proof of correctness; it is evidence that the mechanisms are not biologically implausible, which raises their prior probability and motivates the experimental program.</w:t>
      </w:r>
    </w:p>
    <w:p>
      <w:pPr>
        <w:spacing w:after="160"/>
        <w:jc w:val="both"/>
      </w:pPr>
      <w:r>
        <w:rPr>
          <w:rFonts w:ascii="Calibri" w:cs="Calibri" w:eastAsia="Calibri" w:hAnsi="Calibri"/>
          <w:sz w:val="22"/>
          <w:szCs w:val="22"/>
        </w:rPr>
        <w:t xml:space="preserve">The path from theoretical proposal to validated architecture runs through the experimental roadmap in Section 16. We invite the research community to engage with, challenge, extend, and ultimately attempt to falsify this framework. The problems it addresses — persistent hallucination, energy waste, reasoning brittleness — are among the most practically consequential in contemporary AI research. The stakes justify both the ambition and the rigor.</w:t>
      </w:r>
    </w:p>
    <w:p>
      <w:pPr>
        <w:spacing w:after="400" w:before="400"/>
        <w:jc w:val="center"/>
      </w:pPr>
      <w:r>
        <w:rPr>
          <w:rFonts w:ascii="Calibri" w:cs="Calibri" w:eastAsia="Calibri" w:hAnsi="Calibri"/>
          <w:i/>
          <w:iCs/>
          <w:color w:val="2B5282"/>
          <w:sz w:val="22"/>
          <w:szCs w:val="22"/>
        </w:rPr>
        <w:t xml:space="preserve">"Matter has computed for 13.8 billion years. The results are all around us.
CEA asks: can we learn to compute the same way?"</w:t>
      </w:r>
    </w:p>
    <w:p>
      <w:pPr>
        <w:pStyle w:val="Heading1"/>
        <w:spacing w:after="240" w:before="480"/>
      </w:pPr>
      <w:r>
        <w:rPr>
          <w:rFonts w:ascii="Calibri" w:cs="Calibri" w:eastAsia="Calibri" w:hAnsi="Calibri"/>
          <w:b/>
          <w:bCs/>
          <w:color w:val="1D3A5F"/>
          <w:sz w:val="36"/>
          <w:szCs w:val="36"/>
        </w:rPr>
        <w:t xml:space="preserve">20. References</w:t>
      </w:r>
    </w:p>
    <w:p>
      <w:pPr>
        <w:spacing w:after="160"/>
        <w:jc w:val="both"/>
      </w:pPr>
      <w:r>
        <w:rPr>
          <w:rFonts w:ascii="Calibri" w:cs="Calibri" w:eastAsia="Calibri" w:hAnsi="Calibri"/>
          <w:sz w:val="22"/>
          <w:szCs w:val="22"/>
        </w:rPr>
        <w:t xml:space="preserve">Amit, D. J. (1989). Modeling Brain Function: The World of Attractor Neural Networks. Cambridge University Press.</w:t>
      </w:r>
    </w:p>
    <w:p>
      <w:pPr>
        <w:spacing w:after="160"/>
        <w:jc w:val="both"/>
      </w:pPr>
      <w:r>
        <w:rPr>
          <w:rFonts w:ascii="Calibri" w:cs="Calibri" w:eastAsia="Calibri" w:hAnsi="Calibri"/>
          <w:sz w:val="22"/>
          <w:szCs w:val="22"/>
        </w:rPr>
        <w:t xml:space="preserve">Anderson, G., et al. (2019). Optimization and Abstraction: A Synergistic Approach for Language Model Verification. arXiv:1904.04232.</w:t>
      </w:r>
    </w:p>
    <w:p>
      <w:pPr>
        <w:spacing w:after="160"/>
        <w:jc w:val="both"/>
      </w:pPr>
      <w:r>
        <w:rPr>
          <w:rFonts w:ascii="Calibri" w:cs="Calibri" w:eastAsia="Calibri" w:hAnsi="Calibri"/>
          <w:sz w:val="22"/>
          <w:szCs w:val="22"/>
        </w:rPr>
        <w:t xml:space="preserve">Baars, B. J. (1988). A Cognitive Theory of Consciousness. Cambridge University Press.</w:t>
      </w:r>
    </w:p>
    <w:p>
      <w:pPr>
        <w:spacing w:after="160"/>
        <w:jc w:val="both"/>
      </w:pPr>
      <w:r>
        <w:rPr>
          <w:rFonts w:ascii="Calibri" w:cs="Calibri" w:eastAsia="Calibri" w:hAnsi="Calibri"/>
          <w:sz w:val="22"/>
          <w:szCs w:val="22"/>
        </w:rPr>
        <w:t xml:space="preserve">Beggs, J. M., &amp; Plenz, D. (2003). Neuronal Avalanches in Neocortical Circuits. Journal of Neuroscience, 23(35), 11167–11177.</w:t>
      </w:r>
    </w:p>
    <w:p>
      <w:pPr>
        <w:spacing w:after="160"/>
        <w:jc w:val="both"/>
      </w:pPr>
      <w:r>
        <w:rPr>
          <w:rFonts w:ascii="Calibri" w:cs="Calibri" w:eastAsia="Calibri" w:hAnsi="Calibri"/>
          <w:sz w:val="22"/>
          <w:szCs w:val="22"/>
        </w:rPr>
        <w:t xml:space="preserve">Binder, K., &amp; Kob, W. (2011). Glassy Materials and Disordered Solids: An Introduction to Their Statistical Mechanics. World Scientific.</w:t>
      </w:r>
    </w:p>
    <w:p>
      <w:pPr>
        <w:spacing w:after="160"/>
        <w:jc w:val="both"/>
      </w:pPr>
      <w:r>
        <w:rPr>
          <w:rFonts w:ascii="Calibri" w:cs="Calibri" w:eastAsia="Calibri" w:hAnsi="Calibri"/>
          <w:sz w:val="22"/>
          <w:szCs w:val="22"/>
        </w:rPr>
        <w:t xml:space="preserve">Clarke, E. M., et al. (2018). Model Checking, 2nd Edition. MIT Press.</w:t>
      </w:r>
    </w:p>
    <w:p>
      <w:pPr>
        <w:spacing w:after="160"/>
        <w:jc w:val="both"/>
      </w:pPr>
      <w:r>
        <w:rPr>
          <w:rFonts w:ascii="Calibri" w:cs="Calibri" w:eastAsia="Calibri" w:hAnsi="Calibri"/>
          <w:sz w:val="22"/>
          <w:szCs w:val="22"/>
        </w:rPr>
        <w:t xml:space="preserve">Cybenko, G. (1989). Approximation by Superpositions of a Sigmoidal Function. Mathematics of Control, Signals and Systems, 2(4), 303–314.</w:t>
      </w:r>
    </w:p>
    <w:p>
      <w:pPr>
        <w:spacing w:after="160"/>
        <w:jc w:val="both"/>
      </w:pPr>
      <w:r>
        <w:rPr>
          <w:rFonts w:ascii="Calibri" w:cs="Calibri" w:eastAsia="Calibri" w:hAnsi="Calibri"/>
          <w:sz w:val="22"/>
          <w:szCs w:val="22"/>
        </w:rPr>
        <w:t xml:space="preserve">Davies, M., et al. (2018). Loihi: A Neuromorphic Manycore Processor with On-Chip Learning. IEEE Micro, 38(1), 82–99.</w:t>
      </w:r>
    </w:p>
    <w:p>
      <w:pPr>
        <w:spacing w:after="160"/>
        <w:jc w:val="both"/>
      </w:pPr>
      <w:r>
        <w:rPr>
          <w:rFonts w:ascii="Calibri" w:cs="Calibri" w:eastAsia="Calibri" w:hAnsi="Calibri"/>
          <w:sz w:val="22"/>
          <w:szCs w:val="22"/>
        </w:rPr>
        <w:t xml:space="preserve">Dehaene, S. (2014). Consciousness and the Brain: Deciphering How the Brain Codes Our Thoughts. Viking/Penguin.</w:t>
      </w:r>
    </w:p>
    <w:p>
      <w:pPr>
        <w:spacing w:after="160"/>
        <w:jc w:val="both"/>
      </w:pPr>
      <w:r>
        <w:rPr>
          <w:rFonts w:ascii="Calibri" w:cs="Calibri" w:eastAsia="Calibri" w:hAnsi="Calibri"/>
          <w:sz w:val="22"/>
          <w:szCs w:val="22"/>
        </w:rPr>
        <w:t xml:space="preserve">Engel, A. K., &amp; Singer, W. (2001). Temporal Binding and the Neural Correlates of Sensory Awareness. Trends in Cognitive Sciences, 5(1), 16–25.</w:t>
      </w:r>
    </w:p>
    <w:p>
      <w:pPr>
        <w:spacing w:after="160"/>
        <w:jc w:val="both"/>
      </w:pPr>
      <w:r>
        <w:rPr>
          <w:rFonts w:ascii="Calibri" w:cs="Calibri" w:eastAsia="Calibri" w:hAnsi="Calibri"/>
          <w:sz w:val="22"/>
          <w:szCs w:val="22"/>
        </w:rPr>
        <w:t xml:space="preserve">Field, D. J. (1994). What Is the Goal of Sensory Coding? Neural Computation, 6(4), 559–601.</w:t>
      </w:r>
    </w:p>
    <w:p>
      <w:pPr>
        <w:spacing w:after="160"/>
        <w:jc w:val="both"/>
      </w:pPr>
      <w:r>
        <w:rPr>
          <w:rFonts w:ascii="Calibri" w:cs="Calibri" w:eastAsia="Calibri" w:hAnsi="Calibri"/>
          <w:sz w:val="22"/>
          <w:szCs w:val="22"/>
        </w:rPr>
        <w:t xml:space="preserve">Friston, K. (2010). The Free-Energy Principle: A Unified Brain Theory? Nature Reviews Neuroscience, 11(2), 127–138.</w:t>
      </w:r>
    </w:p>
    <w:p>
      <w:pPr>
        <w:spacing w:after="160"/>
        <w:jc w:val="both"/>
      </w:pPr>
      <w:r>
        <w:rPr>
          <w:rFonts w:ascii="Calibri" w:cs="Calibri" w:eastAsia="Calibri" w:hAnsi="Calibri"/>
          <w:sz w:val="22"/>
          <w:szCs w:val="22"/>
        </w:rPr>
        <w:t xml:space="preserve">Friston, K., &amp; Kiebel, S. (2009). Predictive Coding Under the Free-Energy Principle. Philosophical Transactions of the Royal Society B, 364(1521), 1211–1221.</w:t>
      </w:r>
    </w:p>
    <w:p>
      <w:pPr>
        <w:spacing w:after="160"/>
        <w:jc w:val="both"/>
      </w:pPr>
      <w:r>
        <w:rPr>
          <w:rFonts w:ascii="Calibri" w:cs="Calibri" w:eastAsia="Calibri" w:hAnsi="Calibri"/>
          <w:sz w:val="22"/>
          <w:szCs w:val="22"/>
        </w:rPr>
        <w:t xml:space="preserve">Garcez, A., et al. (2019). Neural-Symbolic Computing: An Effective Methodology for Principled Integration of Machine Learning and Reasoning. Journal of Applied Logics, 6(4), 611–632.</w:t>
      </w:r>
    </w:p>
    <w:p>
      <w:pPr>
        <w:spacing w:after="160"/>
        <w:jc w:val="both"/>
      </w:pPr>
      <w:r>
        <w:rPr>
          <w:rFonts w:ascii="Calibri" w:cs="Calibri" w:eastAsia="Calibri" w:hAnsi="Calibri"/>
          <w:sz w:val="22"/>
          <w:szCs w:val="22"/>
        </w:rPr>
        <w:t xml:space="preserve">Grünwald, P. D. (2007). The Minimum Description Length Principle. MIT Press.</w:t>
      </w:r>
    </w:p>
    <w:p>
      <w:pPr>
        <w:spacing w:after="160"/>
        <w:jc w:val="both"/>
      </w:pPr>
      <w:r>
        <w:rPr>
          <w:rFonts w:ascii="Calibri" w:cs="Calibri" w:eastAsia="Calibri" w:hAnsi="Calibri"/>
          <w:sz w:val="22"/>
          <w:szCs w:val="22"/>
        </w:rPr>
        <w:t xml:space="preserve">Hafner, D., et al. (2023). Mastering Diverse Domains through World Models. arXiv:2301.04104.</w:t>
      </w:r>
    </w:p>
    <w:p>
      <w:pPr>
        <w:spacing w:after="160"/>
        <w:jc w:val="both"/>
      </w:pPr>
      <w:r>
        <w:rPr>
          <w:rFonts w:ascii="Calibri" w:cs="Calibri" w:eastAsia="Calibri" w:hAnsi="Calibri"/>
          <w:sz w:val="22"/>
          <w:szCs w:val="22"/>
        </w:rPr>
        <w:t xml:space="preserve">Hoffmann, J., et al. (2022). Training Compute-Optimal Large Language Models. arXiv:2203.15556.</w:t>
      </w:r>
    </w:p>
    <w:p>
      <w:pPr>
        <w:spacing w:after="160"/>
        <w:jc w:val="both"/>
      </w:pPr>
      <w:r>
        <w:rPr>
          <w:rFonts w:ascii="Calibri" w:cs="Calibri" w:eastAsia="Calibri" w:hAnsi="Calibri"/>
          <w:sz w:val="22"/>
          <w:szCs w:val="22"/>
        </w:rPr>
        <w:t xml:space="preserve">Holland, J. H. (1995). Hidden Order: How Adaptation Builds Complexity. Addison-Wesley.</w:t>
      </w:r>
    </w:p>
    <w:p>
      <w:pPr>
        <w:spacing w:after="160"/>
        <w:jc w:val="both"/>
      </w:pPr>
      <w:r>
        <w:rPr>
          <w:rFonts w:ascii="Calibri" w:cs="Calibri" w:eastAsia="Calibri" w:hAnsi="Calibri"/>
          <w:sz w:val="22"/>
          <w:szCs w:val="22"/>
        </w:rPr>
        <w:t xml:space="preserve">Hopfield, J. J. (1982). Neural Networks and Physical Systems with Emergent Collective Computational Abilities. Proceedings of the National Academy of Sciences, 79(8), 2554–2558.</w:t>
      </w:r>
    </w:p>
    <w:p>
      <w:pPr>
        <w:spacing w:after="160"/>
        <w:jc w:val="both"/>
      </w:pPr>
      <w:r>
        <w:rPr>
          <w:rFonts w:ascii="Calibri" w:cs="Calibri" w:eastAsia="Calibri" w:hAnsi="Calibri"/>
          <w:sz w:val="22"/>
          <w:szCs w:val="22"/>
        </w:rPr>
        <w:t xml:space="preserve">Hornik, K., Stinchcombe, M., &amp; White, H. (1989). Multilayer Feedforward Networks are Universal Approximators. Neural Networks, 2(5), 359–366.</w:t>
      </w:r>
    </w:p>
    <w:p>
      <w:pPr>
        <w:spacing w:after="160"/>
        <w:jc w:val="both"/>
      </w:pPr>
      <w:r>
        <w:rPr>
          <w:rFonts w:ascii="Calibri" w:cs="Calibri" w:eastAsia="Calibri" w:hAnsi="Calibri"/>
          <w:sz w:val="22"/>
          <w:szCs w:val="22"/>
        </w:rPr>
        <w:t xml:space="preserve">IEA (2024). Electricity 2024: Analysis and Forecast to 2026. International Energy Agency.</w:t>
      </w:r>
    </w:p>
    <w:p>
      <w:pPr>
        <w:spacing w:after="160"/>
        <w:jc w:val="both"/>
      </w:pPr>
      <w:r>
        <w:rPr>
          <w:rFonts w:ascii="Calibri" w:cs="Calibri" w:eastAsia="Calibri" w:hAnsi="Calibri"/>
          <w:sz w:val="22"/>
          <w:szCs w:val="22"/>
        </w:rPr>
        <w:t xml:space="preserve">Kaplan, J., et al. (2020). Scaling Laws for Neural Language Models. arXiv:2001.08361.</w:t>
      </w:r>
    </w:p>
    <w:p>
      <w:pPr>
        <w:spacing w:after="160"/>
        <w:jc w:val="both"/>
      </w:pPr>
      <w:r>
        <w:rPr>
          <w:rFonts w:ascii="Calibri" w:cs="Calibri" w:eastAsia="Calibri" w:hAnsi="Calibri"/>
          <w:sz w:val="22"/>
          <w:szCs w:val="22"/>
        </w:rPr>
        <w:t xml:space="preserve">Katz, G., et al. (2017). Reluplex: An Efficient SMT Solver for Verifying Deep Neural Networks. CAV 2017.</w:t>
      </w:r>
    </w:p>
    <w:p>
      <w:pPr>
        <w:spacing w:after="160"/>
        <w:jc w:val="both"/>
      </w:pPr>
      <w:r>
        <w:rPr>
          <w:rFonts w:ascii="Calibri" w:cs="Calibri" w:eastAsia="Calibri" w:hAnsi="Calibri"/>
          <w:sz w:val="22"/>
          <w:szCs w:val="22"/>
        </w:rPr>
        <w:t xml:space="preserve">Kuramoto, Y. (1984). Chemical Oscillations, Waves, and Turbulence. Springer.</w:t>
      </w:r>
    </w:p>
    <w:p>
      <w:pPr>
        <w:spacing w:after="160"/>
        <w:jc w:val="both"/>
      </w:pPr>
      <w:r>
        <w:rPr>
          <w:rFonts w:ascii="Calibri" w:cs="Calibri" w:eastAsia="Calibri" w:hAnsi="Calibri"/>
          <w:sz w:val="22"/>
          <w:szCs w:val="22"/>
        </w:rPr>
        <w:t xml:space="preserve">Lake, B. M., et al. (2017). Building Machines that Learn and Think Like People. Behavioral and Brain Sciences, 40.</w:t>
      </w:r>
    </w:p>
    <w:p>
      <w:pPr>
        <w:spacing w:after="160"/>
        <w:jc w:val="both"/>
      </w:pPr>
      <w:r>
        <w:rPr>
          <w:rFonts w:ascii="Calibri" w:cs="Calibri" w:eastAsia="Calibri" w:hAnsi="Calibri"/>
          <w:sz w:val="22"/>
          <w:szCs w:val="22"/>
        </w:rPr>
        <w:t xml:space="preserve">Landauer, R. (1961). Irreversibility and Heat Generation in the Computing Process. IBM Journal of Research and Development, 5(3), 183–191.</w:t>
      </w:r>
    </w:p>
    <w:p>
      <w:pPr>
        <w:spacing w:after="160"/>
        <w:jc w:val="both"/>
      </w:pPr>
      <w:r>
        <w:rPr>
          <w:rFonts w:ascii="Calibri" w:cs="Calibri" w:eastAsia="Calibri" w:hAnsi="Calibri"/>
          <w:sz w:val="22"/>
          <w:szCs w:val="22"/>
        </w:rPr>
        <w:t xml:space="preserve">LeCun, Y., Chopra, S., Hadsell, R., Ranzato, M., &amp; Huang, F. J. (2006). A Tutorial on Energy-Based Learning. MIT Press.</w:t>
      </w:r>
    </w:p>
    <w:p>
      <w:pPr>
        <w:spacing w:after="160"/>
        <w:jc w:val="both"/>
      </w:pPr>
      <w:r>
        <w:rPr>
          <w:rFonts w:ascii="Calibri" w:cs="Calibri" w:eastAsia="Calibri" w:hAnsi="Calibri"/>
          <w:sz w:val="22"/>
          <w:szCs w:val="22"/>
        </w:rPr>
        <w:t xml:space="preserve">Marcus, G. (2020). The Next Decade in AI: Four Steps Towards Robust Artificial Intelligence. arXiv:2002.06177.</w:t>
      </w:r>
    </w:p>
    <w:p>
      <w:pPr>
        <w:spacing w:after="160"/>
        <w:jc w:val="both"/>
      </w:pPr>
      <w:r>
        <w:rPr>
          <w:rFonts w:ascii="Calibri" w:cs="Calibri" w:eastAsia="Calibri" w:hAnsi="Calibri"/>
          <w:sz w:val="22"/>
          <w:szCs w:val="22"/>
        </w:rPr>
        <w:t xml:space="preserve">Merolla, P., et al. (2014). A Million Spiking-Neuron Integrated Circuit with a Scalable Communication Network. Science, 345(6197), 668–673.</w:t>
      </w:r>
    </w:p>
    <w:p>
      <w:pPr>
        <w:spacing w:after="160"/>
        <w:jc w:val="both"/>
      </w:pPr>
      <w:r>
        <w:rPr>
          <w:rFonts w:ascii="Calibri" w:cs="Calibri" w:eastAsia="Calibri" w:hAnsi="Calibri"/>
          <w:sz w:val="22"/>
          <w:szCs w:val="22"/>
        </w:rPr>
        <w:t xml:space="preserve">Olshausen, B. A., &amp; Field, D. J. (1996). Emergence of Simple-Cell Receptive Field Properties by Learning a Sparse Code for Natural Images. Nature, 381(6583), 607–609.</w:t>
      </w:r>
    </w:p>
    <w:p>
      <w:pPr>
        <w:spacing w:after="160"/>
        <w:jc w:val="both"/>
      </w:pPr>
      <w:r>
        <w:rPr>
          <w:rFonts w:ascii="Calibri" w:cs="Calibri" w:eastAsia="Calibri" w:hAnsi="Calibri"/>
          <w:sz w:val="22"/>
          <w:szCs w:val="22"/>
        </w:rPr>
        <w:t xml:space="preserve">Orchard, G., et al. (2021). Efficient Neuromorphic Signal Processing with Loihi 2. IEEE Workshop on Signal Processing Systems.</w:t>
      </w:r>
    </w:p>
    <w:p>
      <w:pPr>
        <w:spacing w:after="160"/>
        <w:jc w:val="both"/>
      </w:pPr>
      <w:r>
        <w:rPr>
          <w:rFonts w:ascii="Calibri" w:cs="Calibri" w:eastAsia="Calibri" w:hAnsi="Calibri"/>
          <w:sz w:val="22"/>
          <w:szCs w:val="22"/>
        </w:rPr>
        <w:t xml:space="preserve">Orus, R. (2014). A Practical Introduction to Tensor Networks. Annals of Physics, 349, 117–158.</w:t>
      </w:r>
    </w:p>
    <w:p>
      <w:pPr>
        <w:spacing w:after="160"/>
        <w:jc w:val="both"/>
      </w:pPr>
      <w:r>
        <w:rPr>
          <w:rFonts w:ascii="Calibri" w:cs="Calibri" w:eastAsia="Calibri" w:hAnsi="Calibri"/>
          <w:sz w:val="22"/>
          <w:szCs w:val="22"/>
        </w:rPr>
        <w:t xml:space="preserve">Pearl, J. (2009). Causality: Models, Reasoning, and Inference, 2nd Edition. Cambridge University Press.</w:t>
      </w:r>
    </w:p>
    <w:p>
      <w:pPr>
        <w:spacing w:after="160"/>
        <w:jc w:val="both"/>
      </w:pPr>
      <w:r>
        <w:rPr>
          <w:rFonts w:ascii="Calibri" w:cs="Calibri" w:eastAsia="Calibri" w:hAnsi="Calibri"/>
          <w:sz w:val="22"/>
          <w:szCs w:val="22"/>
        </w:rPr>
        <w:t xml:space="preserve">Platzer, A. (2018). Logical Foundations of Cyber-Physical Systems. Springer.</w:t>
      </w:r>
    </w:p>
    <w:p>
      <w:pPr>
        <w:spacing w:after="160"/>
        <w:jc w:val="both"/>
      </w:pPr>
      <w:r>
        <w:rPr>
          <w:rFonts w:ascii="Calibri" w:cs="Calibri" w:eastAsia="Calibri" w:hAnsi="Calibri"/>
          <w:sz w:val="22"/>
          <w:szCs w:val="22"/>
        </w:rPr>
        <w:t xml:space="preserve">Ramsauer, H., et al. (2020). Hopfield Networks is All You Need. arXiv:2008.02217.</w:t>
      </w:r>
    </w:p>
    <w:p>
      <w:pPr>
        <w:spacing w:after="160"/>
        <w:jc w:val="both"/>
      </w:pPr>
      <w:r>
        <w:rPr>
          <w:rFonts w:ascii="Calibri" w:cs="Calibri" w:eastAsia="Calibri" w:hAnsi="Calibri"/>
          <w:sz w:val="22"/>
          <w:szCs w:val="22"/>
        </w:rPr>
        <w:t xml:space="preserve">Rao, R. P. N., &amp; Ballard, D. H. (1999). Predictive Coding in the Visual Cortex. Nature Neuroscience, 2(1), 79–87.</w:t>
      </w:r>
    </w:p>
    <w:p>
      <w:pPr>
        <w:spacing w:after="160"/>
        <w:jc w:val="both"/>
      </w:pPr>
      <w:r>
        <w:rPr>
          <w:rFonts w:ascii="Calibri" w:cs="Calibri" w:eastAsia="Calibri" w:hAnsi="Calibri"/>
          <w:sz w:val="22"/>
          <w:szCs w:val="22"/>
        </w:rPr>
        <w:t xml:space="preserve">Rissanen, J. (1978). Modeling by Shortest Data Description. Automatica, 14(5), 465–471.</w:t>
      </w:r>
    </w:p>
    <w:p>
      <w:pPr>
        <w:spacing w:after="160"/>
        <w:jc w:val="both"/>
      </w:pPr>
      <w:r>
        <w:rPr>
          <w:rFonts w:ascii="Calibri" w:cs="Calibri" w:eastAsia="Calibri" w:hAnsi="Calibri"/>
          <w:sz w:val="22"/>
          <w:szCs w:val="22"/>
        </w:rPr>
        <w:t xml:space="preserve">Rolls, E. T. (2013). The Mechanisms for Pattern Completion and Pattern Separation in the Hippocampus. Frontiers in Systems Neuroscience, 7, 74.</w:t>
      </w:r>
    </w:p>
    <w:p>
      <w:pPr>
        <w:spacing w:after="160"/>
        <w:jc w:val="both"/>
      </w:pPr>
      <w:r>
        <w:rPr>
          <w:rFonts w:ascii="Calibri" w:cs="Calibri" w:eastAsia="Calibri" w:hAnsi="Calibri"/>
          <w:sz w:val="22"/>
          <w:szCs w:val="22"/>
        </w:rPr>
        <w:t xml:space="preserve">Schrittwieser, J., et al. (2020). Mastering Atari, Go, Chess and Shogi by Planning with a Learned Model. Nature, 588, 604–609.</w:t>
      </w:r>
    </w:p>
    <w:p>
      <w:pPr>
        <w:spacing w:after="160"/>
        <w:jc w:val="both"/>
      </w:pPr>
      <w:r>
        <w:rPr>
          <w:rFonts w:ascii="Calibri" w:cs="Calibri" w:eastAsia="Calibri" w:hAnsi="Calibri"/>
          <w:sz w:val="22"/>
          <w:szCs w:val="22"/>
        </w:rPr>
        <w:t xml:space="preserve">Shannon, C. E. (1948). A Mathematical Theory of Communication. Bell System Technical Journal, 27(3), 379–423.</w:t>
      </w:r>
    </w:p>
    <w:p>
      <w:pPr>
        <w:spacing w:after="160"/>
        <w:jc w:val="both"/>
      </w:pPr>
      <w:r>
        <w:rPr>
          <w:rFonts w:ascii="Calibri" w:cs="Calibri" w:eastAsia="Calibri" w:hAnsi="Calibri"/>
          <w:sz w:val="22"/>
          <w:szCs w:val="22"/>
        </w:rPr>
        <w:t xml:space="preserve">Shew, W. L., &amp; Plenz, D. (2013). The Functional Benefits of Criticality in the Cortex. Neuroscientist, 19(1), 88–100.</w:t>
      </w:r>
    </w:p>
    <w:p>
      <w:pPr>
        <w:spacing w:after="160"/>
        <w:jc w:val="both"/>
      </w:pPr>
      <w:r>
        <w:rPr>
          <w:rFonts w:ascii="Calibri" w:cs="Calibri" w:eastAsia="Calibri" w:hAnsi="Calibri"/>
          <w:sz w:val="22"/>
          <w:szCs w:val="22"/>
        </w:rPr>
        <w:t xml:space="preserve">Singer, W. (1999). Neuronal Synchrony: A Versatile Code for the Definition of Relations? Neuron, 24(1), 49–65.</w:t>
      </w:r>
    </w:p>
    <w:p>
      <w:pPr>
        <w:spacing w:after="160"/>
        <w:jc w:val="both"/>
      </w:pPr>
      <w:r>
        <w:rPr>
          <w:rFonts w:ascii="Calibri" w:cs="Calibri" w:eastAsia="Calibri" w:hAnsi="Calibri"/>
          <w:sz w:val="22"/>
          <w:szCs w:val="22"/>
        </w:rPr>
        <w:t xml:space="preserve">Stoudenmire, E., &amp; Schwab, D. J. (2016). Supervised Learning with Tensor Networks. NeurIPS 2016.</w:t>
      </w:r>
    </w:p>
    <w:p>
      <w:pPr>
        <w:spacing w:after="160"/>
        <w:jc w:val="both"/>
      </w:pPr>
      <w:r>
        <w:rPr>
          <w:rFonts w:ascii="Calibri" w:cs="Calibri" w:eastAsia="Calibri" w:hAnsi="Calibri"/>
          <w:sz w:val="22"/>
          <w:szCs w:val="22"/>
        </w:rPr>
        <w:t xml:space="preserve">Trinh, T. H., et al. (2024). Solving Olympiad Geometry Without Human Demonstrations. Nature, 625, 476–482.</w:t>
      </w:r>
    </w:p>
    <w:p>
      <w:pPr>
        <w:spacing w:after="160"/>
        <w:jc w:val="both"/>
      </w:pPr>
      <w:r>
        <w:rPr>
          <w:rFonts w:ascii="Calibri" w:cs="Calibri" w:eastAsia="Calibri" w:hAnsi="Calibri"/>
          <w:sz w:val="22"/>
          <w:szCs w:val="22"/>
        </w:rPr>
        <w:t xml:space="preserve">Vaswani, A., et al. (2017). Attention Is All You Need. NeurIPS 2017.</w:t>
      </w:r>
    </w:p>
    <w:p>
      <w:pPr>
        <w:spacing w:after="160"/>
        <w:jc w:val="both"/>
      </w:pPr>
      <w:r>
        <w:rPr>
          <w:rFonts w:ascii="Calibri" w:cs="Calibri" w:eastAsia="Calibri" w:hAnsi="Calibri"/>
          <w:sz w:val="22"/>
          <w:szCs w:val="22"/>
        </w:rPr>
        <w:t xml:space="preserve">Walker, M. (2017). Why We Sleep: Unlocking the Power of Sleep and Dreams. Scribner.</w:t>
      </w:r>
    </w:p>
    <w:p>
      <w:pPr>
        <w:spacing w:after="160"/>
        <w:jc w:val="both"/>
      </w:pPr>
      <w:r>
        <w:rPr>
          <w:rFonts w:ascii="Calibri" w:cs="Calibri" w:eastAsia="Calibri" w:hAnsi="Calibri"/>
          <w:sz w:val="22"/>
          <w:szCs w:val="22"/>
        </w:rPr>
        <w:t xml:space="preserve">Wolfram, S. (2002). A New Kind of Science. Wolfram Media.</w:t>
      </w:r>
    </w:p>
    <w:p>
      <w:pPr>
        <w:spacing w:after="160"/>
        <w:jc w:val="both"/>
      </w:pPr>
      <w:r>
        <w:rPr>
          <w:rFonts w:ascii="Calibri" w:cs="Calibri" w:eastAsia="Calibri" w:hAnsi="Calibri"/>
          <w:sz w:val="22"/>
          <w:szCs w:val="22"/>
        </w:rPr>
        <w:t xml:space="preserve">Yu, T., et al. (2020). Gradient Surgery for Multi-Task Learning. NeurIPS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282" w:sz="3" w:space="1"/>
      </w:pBd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282" w:sz="3" w:space="1"/>
      </w:pBdr>
    </w:pPr>
    <w:r>
      <w:rPr>
        <w:rFonts w:ascii="Calibri" w:cs="Calibri" w:eastAsia="Calibri" w:hAnsi="Calibri"/>
        <w:color w:val="555555"/>
        <w:sz w:val="18"/>
        <w:szCs w:val="18"/>
      </w:rPr>
      <w:t xml:space="preserve">CEA v0.3-alpha  |  Convergent Emergence Architecture  |  Confidential Research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D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B5282"/>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A7C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2026-05-18T07:17:37.315Z</dcterms:created>
  <dcterms:modified xsi:type="dcterms:W3CDTF">2026-05-18T07:17:37.315Z</dcterms:modified>
</cp:coreProperties>
</file>

<file path=docProps/custom.xml><?xml version="1.0" encoding="utf-8"?>
<Properties xmlns="http://schemas.openxmlformats.org/officeDocument/2006/custom-properties" xmlns:vt="http://schemas.openxmlformats.org/officeDocument/2006/docPropsVTypes"/>
</file>