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80"/>
      </w:pPr>
      <w:r>
        <w:rPr>
          <w:b/>
          <w:bCs/>
          <w:sz w:val="36"/>
          <w:szCs w:val="36"/>
        </w:rPr>
        <w:t xml:space="preserve">VENDORA Simple English PDF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Selectable text, headings, and paragraphs</w:t>
      </w:r>
    </w:p>
    <w:p>
      <w:pPr>
        <w:pStyle w:val="Heading2"/>
        <w:spacing w:after="180"/>
      </w:pPr>
      <w:r>
        <w:rPr>
          <w:b/>
          <w:bCs/>
          <w:sz w:val="32"/>
          <w:szCs w:val="32"/>
        </w:rPr>
        <w:t xml:space="preserve">Executive Summary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This fixture checks editable text extraction, paragraph order, page size, and clean reading order.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A professional converter should preserve headings, body text, spacing, and document structure.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Numbers: 1250, 45.5%, and 980 should remain machine-readable where relevant.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to Word - simple-english.pdf</dc:title>
  <dc:creator>Vendora PDF Toolkit</dc:creator>
  <dc:description>Editable DOCX generated in the browser from selectable PDF text.</dc:description>
  <cp:lastModifiedBy>Un-named</cp:lastModifiedBy>
  <cp:revision>1</cp:revision>
  <dcterms:created xsi:type="dcterms:W3CDTF">2026-05-24T17:00:52.518Z</dcterms:created>
  <dcterms:modified xsi:type="dcterms:W3CDTF">2026-05-24T17:00:52.518Z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