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Heading2"/><w:spacing w:after="180"/></w:pPr><w:r><w:rPr><w:b/><w:bCs/><w:sz w:val="36"/><w:szCs w:val="36"/></w:rPr><w:t xml:space="preserve">VENDORA Urdu Document</w:t></w:r></w:p><w:p><w:pPr><w:spacing w:after="90"/></w:pPr><w:r><w:rPr><w:b w:val="false"/><w:bCs w:val="false"/><w:sz w:val="20"/><w:szCs w:val="20"/></w:rPr><w:t xml:space="preserve">Global language fixture</w:t></w:r></w:p><w:p><w:pPr><w:spacing w:after="90"/></w:pPr><w:r><w:rPr><w:b w:val="false"/><w:bCs w:val="false"/><w:sz w:val="26"/><w:szCs w:val="26"/></w:rPr><w:t xml:space="preserve"</w:t></w:r></w:p><w:p><w:pPr><w:spacing w:after="90"/></w:pPr><w:r><w:rPr><w:b w:val="false"/><w:bCs w:val="false"/><w:sz w:val="26"/><w:szCs w:val="26"/></w:rPr><w:t xml:space="preserve"</w:t></w:r></w:p><w:p><w:pPr><w:spacing w:after="90"/></w:pPr><w:r><w:rPr><w:b w:val="false"/><w:bCs w:val="false"/><w:sz w:val="26"/><w:szCs w:val="26"/></w:rPr><w:t xml:space="preserve"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urdu.pdf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2026-05-24T17:01:52.929Z</dcterms:created>
  <dcterms:modified xsi:type="dcterms:W3CDTF">2026-05-24T17:01:52.929Z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