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00" w:before="0"/>
        <w:jc w:val="center"/>
      </w:pPr>
      <w:r>
        <w:rPr>
          <w:rFonts w:ascii="Times New Roman" w:hAnsi="Times New Roman" w:cs="Times New Roman"/>
          <w:b/>
          <w:i w:val="0"/>
          <w:color w:val="000000"/>
          <w:sz w:val="24"/>
        </w:rPr>
        <w:t>MIVA OPEN UNIVERSITY</w:t>
      </w:r>
    </w:p>
    <w:p>
      <w:pPr>
        <w:spacing w:line="360" w:lineRule="auto" w:after="200" w:before="0"/>
        <w:jc w:val="center"/>
      </w:pPr>
      <w:r>
        <w:rPr>
          <w:rFonts w:ascii="Times New Roman" w:hAnsi="Times New Roman" w:cs="Times New Roman"/>
          <w:b/>
          <w:i w:val="0"/>
          <w:color w:val="000000"/>
          <w:sz w:val="24"/>
        </w:rPr>
        <w:t>FACULTY OF COMPUTING</w:t>
      </w:r>
    </w:p>
    <w:p>
      <w:pPr>
        <w:spacing w:line="360" w:lineRule="auto" w:after="360" w:before="0"/>
        <w:jc w:val="center"/>
      </w:pPr>
      <w:r>
        <w:rPr>
          <w:rFonts w:ascii="Times New Roman" w:hAnsi="Times New Roman" w:cs="Times New Roman"/>
          <w:b/>
          <w:i w:val="0"/>
          <w:color w:val="000000"/>
          <w:sz w:val="24"/>
        </w:rPr>
        <w:t>DEPARTMENT OF SOFTWARE ENGINEERING</w:t>
      </w:r>
    </w:p>
    <w:p>
      <w:pPr>
        <w:spacing w:line="360" w:lineRule="auto" w:after="360" w:before="0"/>
        <w:jc w:val="center"/>
      </w:pPr>
      <w:r>
        <w:rPr>
          <w:rFonts w:ascii="Times New Roman" w:hAnsi="Times New Roman" w:cs="Times New Roman"/>
          <w:b/>
          <w:i w:val="0"/>
          <w:color w:val="000000"/>
          <w:sz w:val="24"/>
        </w:rPr>
        <w:t>DESIGN AND IMPLEMENTATION OF AN AI-ENHANCED MULTI-TENANT FAMILY FUND MANAGEMENT SYSTEM WITH PREDICTIVE ANALYTICS AND INTELLIGENT REPORTING</w:t>
      </w:r>
    </w:p>
    <w:p>
      <w:pPr>
        <w:spacing w:line="360" w:lineRule="auto" w:after="200" w:before="0"/>
        <w:jc w:val="center"/>
      </w:pPr>
      <w:r>
        <w:rPr>
          <w:rFonts w:ascii="Times New Roman" w:hAnsi="Times New Roman" w:cs="Times New Roman"/>
          <w:b/>
          <w:i w:val="0"/>
          <w:color w:val="000000"/>
          <w:sz w:val="24"/>
        </w:rPr>
        <w:t>BY</w:t>
      </w:r>
    </w:p>
    <w:p>
      <w:pPr>
        <w:spacing w:line="360" w:lineRule="auto" w:after="200" w:before="0"/>
        <w:jc w:val="center"/>
      </w:pPr>
      <w:r>
        <w:rPr>
          <w:rFonts w:ascii="Times New Roman" w:hAnsi="Times New Roman" w:cs="Times New Roman"/>
          <w:b/>
          <w:i w:val="0"/>
          <w:color w:val="000000"/>
          <w:sz w:val="24"/>
        </w:rPr>
        <w:t>AMINU DANLADI HUSSAIN</w:t>
      </w:r>
    </w:p>
    <w:p>
      <w:pPr>
        <w:spacing w:line="360" w:lineRule="auto" w:after="360" w:before="0"/>
        <w:jc w:val="center"/>
      </w:pPr>
      <w:r>
        <w:rPr>
          <w:rFonts w:ascii="Times New Roman" w:hAnsi="Times New Roman" w:cs="Times New Roman"/>
          <w:b/>
          <w:i w:val="0"/>
          <w:color w:val="000000"/>
          <w:sz w:val="24"/>
        </w:rPr>
        <w:t>2024/A/SENG/0156</w:t>
      </w:r>
    </w:p>
    <w:p>
      <w:pPr>
        <w:spacing w:line="360" w:lineRule="auto" w:after="360" w:before="0"/>
        <w:jc w:val="center"/>
      </w:pPr>
      <w:r>
        <w:rPr>
          <w:rFonts w:ascii="Times New Roman" w:hAnsi="Times New Roman" w:cs="Times New Roman"/>
          <w:b/>
          <w:i w:val="0"/>
          <w:color w:val="000000"/>
          <w:sz w:val="24"/>
        </w:rPr>
        <w:t>A PROJECT SUBMITTED TO THE DEPARTMENT OF SOFTWARE ENGINEERING, FACULTY OF COMPUTING, MIVA OPEN UNIVERSITY, IN PARTIAL FULFILMENT OF THE REQUIREMENTS FOR THE AWARD OF THE DEGREE OF BACHELOR OF SCIENCE (B.Sc.) IN SOFTWARE ENGINEERING</w:t>
      </w:r>
    </w:p>
    <w:p>
      <w:pPr>
        <w:spacing w:line="360" w:lineRule="auto" w:after="360" w:before="0"/>
        <w:jc w:val="center"/>
      </w:pPr>
      <w:r>
        <w:rPr>
          <w:rFonts w:ascii="Times New Roman" w:hAnsi="Times New Roman" w:cs="Times New Roman"/>
          <w:b/>
          <w:i w:val="0"/>
          <w:color w:val="000000"/>
          <w:sz w:val="24"/>
        </w:rPr>
        <w:t>SUPERVISOR: DR SAMUEL MAKINDE</w:t>
      </w:r>
    </w:p>
    <w:p>
      <w:pPr>
        <w:spacing w:line="360" w:lineRule="auto" w:after="200" w:before="0"/>
        <w:jc w:val="center"/>
      </w:pPr>
      <w:r>
        <w:rPr>
          <w:rFonts w:ascii="Times New Roman" w:hAnsi="Times New Roman" w:cs="Times New Roman"/>
          <w:b/>
          <w:i w:val="0"/>
          <w:color w:val="000000"/>
          <w:sz w:val="24"/>
        </w:rPr>
        <w:t>MAY, 2026</w:t>
      </w:r>
    </w:p>
    <w:p>
      <w:r>
        <w:br w:type="page"/>
      </w:r>
    </w:p>
    <w:p>
      <w:pPr>
        <w:pStyle w:val="Heading1"/>
        <w:spacing w:line="360" w:lineRule="auto" w:before="360" w:after="120"/>
        <w:jc w:val="center"/>
      </w:pPr>
      <w:r>
        <w:rPr>
          <w:rFonts w:ascii="Times New Roman" w:hAnsi="Times New Roman" w:cs="Times New Roman"/>
          <w:b/>
          <w:i w:val="0"/>
          <w:color w:val="000000"/>
          <w:sz w:val="32"/>
        </w:rPr>
        <w:t>CERTIFICATION</w:t>
      </w:r>
    </w:p>
    <w:p>
      <w:pPr>
        <w:keepNext w:val="0"/>
        <w:keepLines w:val="0"/>
        <w:spacing w:line="360" w:lineRule="auto" w:after="160" w:before="0"/>
        <w:jc w:val="both"/>
      </w:pPr>
      <w:r>
        <w:rPr>
          <w:rFonts w:ascii="Times New Roman" w:hAnsi="Times New Roman" w:cs="Times New Roman"/>
          <w:b w:val="0"/>
          <w:i w:val="0"/>
          <w:color w:val="000000"/>
          <w:sz w:val="24"/>
        </w:rPr>
        <w:t>This is to certify that this project titled "Design and Implementation of an AI-Enhanced Multi-Tenant Family Fund Management System with Predictive Analytics and Intelligent Reporting" was carried out by Aminu Danladi Hussain (Matriculation Number: 2024/A/SENG/0156) of the Department of Software Engineering, Faculty of Computing, Miva Open University.</w:t>
      </w:r>
    </w:p>
    <w:tbl>
      <w:tblPr>
        <w:tblW w:type="dxa" w:w="8906"/>
        <w:tblLayout w:type="fixed"/>
        <w:tblLook w:firstColumn="1" w:firstRow="1" w:lastColumn="0" w:lastRow="0" w:noHBand="0" w:noVBand="1" w:val="04A0"/>
        <w:tblInd w:w="120" w:type="dxa"/>
      </w:tblPr>
      <w:tblGrid>
        <w:gridCol w:w="4200"/>
        <w:gridCol w:w="2353"/>
        <w:gridCol w:w="2353"/>
      </w:tblGrid>
      <w:tr>
        <w:tc>
          <w:tcPr>
            <w:tcW w:type="dxa" w:w="4200"/>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Dr Samuel Makinde</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r>
      <w:tr>
        <w:tc>
          <w:tcPr>
            <w:tcW w:type="dxa" w:w="4200"/>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Supervisor</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Signature</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Date</w:t>
            </w:r>
          </w:p>
        </w:tc>
      </w:tr>
      <w:tr>
        <w:tc>
          <w:tcPr>
            <w:tcW w:type="dxa" w:w="4200"/>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r>
      <w:tr>
        <w:tc>
          <w:tcPr>
            <w:tcW w:type="dxa" w:w="4200"/>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Head of Department</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Signature</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Date</w:t>
            </w:r>
          </w:p>
        </w:tc>
      </w:tr>
      <w:tr>
        <w:tc>
          <w:tcPr>
            <w:tcW w:type="dxa" w:w="4200"/>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r>
      <w:tr>
        <w:tc>
          <w:tcPr>
            <w:tcW w:type="dxa" w:w="4200"/>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External Examiner</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Signature</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Date</w:t>
            </w:r>
          </w:p>
        </w:tc>
      </w:tr>
    </w:tbl>
    <w:p>
      <w:pPr>
        <w:pStyle w:val="Heading1"/>
        <w:pageBreakBefore/>
        <w:spacing w:line="360" w:lineRule="auto" w:before="360" w:after="120"/>
        <w:jc w:val="center"/>
      </w:pPr>
      <w:r>
        <w:rPr>
          <w:rFonts w:ascii="Times New Roman" w:hAnsi="Times New Roman" w:cs="Times New Roman"/>
          <w:b/>
          <w:i w:val="0"/>
          <w:color w:val="000000"/>
          <w:sz w:val="32"/>
        </w:rPr>
        <w:t>DEDICATION</w:t>
      </w:r>
    </w:p>
    <w:p>
      <w:pPr>
        <w:keepNext w:val="0"/>
        <w:keepLines w:val="0"/>
        <w:spacing w:line="360" w:lineRule="auto" w:after="160" w:before="0"/>
        <w:jc w:val="both"/>
      </w:pPr>
      <w:r>
        <w:rPr>
          <w:rFonts w:ascii="Times New Roman" w:hAnsi="Times New Roman" w:cs="Times New Roman"/>
          <w:b w:val="0"/>
          <w:i/>
          <w:color w:val="000000"/>
          <w:sz w:val="24"/>
        </w:rPr>
        <w:t>[To be completed by the student. Example: "This project is dedicated to my family, whose collective spirit of contribution and togetherness inspired this work."]</w:t>
      </w:r>
    </w:p>
    <w:p>
      <w:pPr>
        <w:pStyle w:val="Heading1"/>
        <w:pageBreakBefore/>
        <w:spacing w:line="360" w:lineRule="auto" w:before="360" w:after="120"/>
        <w:jc w:val="center"/>
      </w:pPr>
      <w:r>
        <w:rPr>
          <w:rFonts w:ascii="Times New Roman" w:hAnsi="Times New Roman" w:cs="Times New Roman"/>
          <w:b/>
          <w:i w:val="0"/>
          <w:color w:val="000000"/>
          <w:sz w:val="32"/>
        </w:rPr>
        <w:t>ACKNOWLEDGMENTS</w:t>
      </w:r>
    </w:p>
    <w:p>
      <w:pPr>
        <w:keepNext w:val="0"/>
        <w:keepLines w:val="0"/>
        <w:spacing w:line="360" w:lineRule="auto" w:after="160" w:before="0"/>
        <w:jc w:val="both"/>
      </w:pPr>
      <w:r>
        <w:rPr>
          <w:rFonts w:ascii="Times New Roman" w:hAnsi="Times New Roman" w:cs="Times New Roman"/>
          <w:b w:val="0"/>
          <w:i/>
          <w:color w:val="000000"/>
          <w:sz w:val="24"/>
        </w:rPr>
        <w:t>[To be completed by the student. Suggested structure:]</w:t>
      </w:r>
    </w:p>
    <w:p>
      <w:pPr>
        <w:keepNext w:val="0"/>
        <w:keepLines w:val="0"/>
        <w:spacing w:line="360" w:lineRule="auto" w:after="160" w:before="0"/>
        <w:jc w:val="both"/>
      </w:pPr>
      <w:r>
        <w:rPr>
          <w:rFonts w:ascii="Times New Roman" w:hAnsi="Times New Roman" w:cs="Times New Roman"/>
          <w:b w:val="0"/>
          <w:i w:val="0"/>
          <w:color w:val="000000"/>
          <w:sz w:val="24"/>
        </w:rPr>
        <w:t>I would like to express my sincere gratitude to:</w:t>
      </w:r>
    </w:p>
    <w:p>
      <w:pPr>
        <w:pStyle w:val="ListBullet"/>
        <w:spacing w:line="360" w:lineRule="auto" w:after="160" w:before="0"/>
        <w:ind w:left="432" w:hanging="259"/>
        <w:jc w:val="both"/>
      </w:pPr>
      <w:r>
        <w:rPr>
          <w:rFonts w:ascii="Times New Roman" w:hAnsi="Times New Roman" w:cs="Times New Roman"/>
          <w:b w:val="0"/>
          <w:i w:val="0"/>
          <w:color w:val="000000"/>
          <w:sz w:val="24"/>
        </w:rPr>
        <w:t>My supervisor, Dr Samuel Makinde, for his invaluable guidance, constructive feedback, and encouragement throughout this project.</w:t>
      </w:r>
    </w:p>
    <w:p>
      <w:pPr>
        <w:pStyle w:val="ListBullet"/>
        <w:spacing w:line="360" w:lineRule="auto" w:after="160" w:before="0"/>
        <w:ind w:left="432" w:hanging="259"/>
        <w:jc w:val="both"/>
      </w:pPr>
      <w:r>
        <w:rPr>
          <w:rFonts w:ascii="Times New Roman" w:hAnsi="Times New Roman" w:cs="Times New Roman"/>
          <w:b w:val="0"/>
          <w:i w:val="0"/>
          <w:color w:val="000000"/>
          <w:sz w:val="24"/>
        </w:rPr>
        <w:t>The Department of Software Engineering, Miva Open University, for providing an enabling academic environment.</w:t>
      </w:r>
    </w:p>
    <w:p>
      <w:pPr>
        <w:pStyle w:val="ListBullet"/>
        <w:spacing w:line="360" w:lineRule="auto" w:after="160" w:before="0"/>
        <w:ind w:left="432" w:hanging="259"/>
        <w:jc w:val="both"/>
      </w:pPr>
      <w:r>
        <w:rPr>
          <w:rFonts w:ascii="Times New Roman" w:hAnsi="Times New Roman" w:cs="Times New Roman"/>
          <w:b w:val="0"/>
          <w:i w:val="0"/>
          <w:color w:val="000000"/>
          <w:sz w:val="24"/>
        </w:rPr>
        <w:t>My family, whose real-world challenge of managing a family contribution fund inspired the very problem this project addresses.</w:t>
      </w:r>
    </w:p>
    <w:p>
      <w:pPr>
        <w:pStyle w:val="ListBullet"/>
        <w:spacing w:line="360" w:lineRule="auto" w:after="160" w:before="0"/>
        <w:ind w:left="432" w:hanging="259"/>
        <w:jc w:val="both"/>
      </w:pPr>
      <w:r>
        <w:rPr>
          <w:rFonts w:ascii="Times New Roman" w:hAnsi="Times New Roman" w:cs="Times New Roman"/>
          <w:b w:val="0"/>
          <w:i w:val="0"/>
          <w:color w:val="000000"/>
          <w:sz w:val="24"/>
        </w:rPr>
        <w:t>My classmates and friends, for their moral support, technical discussions, and collaborative spirit.</w:t>
      </w:r>
    </w:p>
    <w:p>
      <w:pPr>
        <w:pStyle w:val="ListBullet"/>
        <w:spacing w:line="360" w:lineRule="auto" w:after="160" w:before="0"/>
        <w:ind w:left="432" w:hanging="259"/>
        <w:jc w:val="both"/>
      </w:pPr>
      <w:r>
        <w:rPr>
          <w:rFonts w:ascii="Times New Roman" w:hAnsi="Times New Roman" w:cs="Times New Roman"/>
          <w:b w:val="0"/>
          <w:i w:val="0"/>
          <w:color w:val="000000"/>
          <w:sz w:val="24"/>
        </w:rPr>
        <w:t>The open-source community, particularly the maintainers of Laravel, Vue.js, and the many libraries that made this project possible.</w:t>
      </w:r>
    </w:p>
    <w:p>
      <w:pPr>
        <w:keepNext w:val="0"/>
        <w:keepLines w:val="0"/>
        <w:spacing w:line="360" w:lineRule="auto" w:after="160" w:before="0"/>
        <w:jc w:val="both"/>
      </w:pPr>
      <w:r>
        <w:rPr>
          <w:rFonts w:ascii="Times New Roman" w:hAnsi="Times New Roman" w:cs="Times New Roman"/>
          <w:b w:val="0"/>
          <w:i w:val="0"/>
          <w:color w:val="000000"/>
          <w:sz w:val="24"/>
        </w:rPr>
        <w:t>Above all, I am grateful to Almighty God for the wisdom, strength, and perseverance to see this project to completion.</w:t>
      </w:r>
    </w:p>
    <w:p>
      <w:pPr>
        <w:pStyle w:val="Heading1"/>
        <w:pageBreakBefore/>
        <w:spacing w:line="360" w:lineRule="auto" w:before="360" w:after="120"/>
        <w:jc w:val="center"/>
      </w:pPr>
      <w:r>
        <w:rPr>
          <w:rFonts w:ascii="Times New Roman" w:hAnsi="Times New Roman" w:cs="Times New Roman"/>
          <w:b/>
          <w:i w:val="0"/>
          <w:color w:val="000000"/>
          <w:sz w:val="32"/>
        </w:rPr>
        <w:t>ABSTRACT</w:t>
      </w:r>
    </w:p>
    <w:p>
      <w:pPr>
        <w:keepNext w:val="0"/>
        <w:keepLines w:val="0"/>
        <w:spacing w:line="360" w:lineRule="auto" w:after="160" w:before="0"/>
        <w:jc w:val="both"/>
      </w:pPr>
      <w:r>
        <w:rPr>
          <w:rFonts w:ascii="Times New Roman" w:hAnsi="Times New Roman" w:cs="Times New Roman"/>
          <w:b w:val="0"/>
          <w:i w:val="0"/>
          <w:color w:val="000000"/>
          <w:sz w:val="24"/>
        </w:rPr>
        <w:t>The management of shared financial contributions within families and cooperative groups in Nigeria remains largely informal, relying on manual record-keeping methods such as spreadsheets, notebooks, and messaging platforms. These approaches are prone to errors, lack transparency, and offer no mechanism for accountability, payment reminders, or financial forecasting. While digital financial platforms exist for individual savings and formal cooperatives, no purpose-built solution addresses the unique needs of family-level fund management with role-based governance.</w:t>
      </w:r>
    </w:p>
    <w:p>
      <w:pPr>
        <w:keepNext w:val="0"/>
        <w:keepLines w:val="0"/>
        <w:spacing w:line="360" w:lineRule="auto" w:after="160" w:before="0"/>
        <w:jc w:val="both"/>
      </w:pPr>
      <w:r>
        <w:rPr>
          <w:rFonts w:ascii="Times New Roman" w:hAnsi="Times New Roman" w:cs="Times New Roman"/>
          <w:b w:val="0"/>
          <w:i w:val="0"/>
          <w:color w:val="000000"/>
          <w:sz w:val="24"/>
        </w:rPr>
        <w:t>This project presents the design and implementation of an AI-enhanced multi-tenant web-based family fund management system. The system employs a multi-tenant software architecture to provide isolated operational environments for each family group on a single platform. It implements a role-based access control model with three tiers—Administrator, Financial Secretary, and Member—to enforce appropriate permissions across fund management operations. Core modules include contribution tracking with partial payment support and an oldest-balance-first allocation algorithm, expense recording, fund balance management, and online payment processing via the Paystack payment gateway; reconciliation was added later as an audit-focused extension.</w:t>
      </w:r>
    </w:p>
    <w:p>
      <w:pPr>
        <w:keepNext w:val="0"/>
        <w:keepLines w:val="0"/>
        <w:spacing w:line="360" w:lineRule="auto" w:after="160" w:before="0"/>
        <w:jc w:val="both"/>
      </w:pPr>
      <w:r>
        <w:rPr>
          <w:rFonts w:ascii="Times New Roman" w:hAnsi="Times New Roman" w:cs="Times New Roman"/>
          <w:b w:val="0"/>
          <w:i w:val="0"/>
          <w:color w:val="000000"/>
          <w:sz w:val="24"/>
        </w:rPr>
        <w:t>The system further integrates controlled AI assistant and report-summary features through Large Language Model (LLM) technology, allowing authorised users to ask permitted questions and receive human-readable narrative summaries of financial reports. The predictive component implements an offline, leakage-aware logistic-regression training pipeline, two transparent baselines (training prevalence and previous-period lateness), a versioned portable model artefact, activation gates, and role-restricted advisory inference. The component remains activation-gated: no authorised private training CSV is present in this report package, so production-model training, held-out evaluation, populated predictive screenshots, and live predictive performance claims are recorded as not executed rather than inferred. Security is reinforced through WebAuthn passkey authentication and two-factor authentication mechanisms.</w:t>
      </w:r>
    </w:p>
    <w:p>
      <w:pPr>
        <w:keepNext w:val="0"/>
        <w:keepLines w:val="0"/>
        <w:spacing w:line="360" w:lineRule="auto" w:after="160" w:before="0"/>
        <w:jc w:val="both"/>
      </w:pPr>
      <w:r>
        <w:rPr>
          <w:rFonts w:ascii="Times New Roman" w:hAnsi="Times New Roman" w:cs="Times New Roman"/>
          <w:b w:val="0"/>
          <w:i w:val="0"/>
          <w:color w:val="000000"/>
          <w:sz w:val="24"/>
        </w:rPr>
        <w:t>The application is developed using Laravel (PHP) for the backend, Vue.js with Inertia.js for the frontend single-page application, PostgreSQL for the database, Tailwind CSS for responsive styling, and Python/scikit-learn for the offline predictive pipeline. The resulting implementation brings the principal family-fund workflows into one governed platform. Final hosted, live-AI, performance, screenshot, and private-data model evidence remains explicitly pending in Chapter Four.</w:t>
      </w:r>
    </w:p>
    <w:p>
      <w:pPr>
        <w:keepNext w:val="0"/>
        <w:keepLines w:val="0"/>
        <w:spacing w:line="360" w:lineRule="auto" w:after="160" w:before="0"/>
        <w:jc w:val="both"/>
      </w:pPr>
      <w:r>
        <w:rPr>
          <w:rFonts w:ascii="Times New Roman" w:hAnsi="Times New Roman" w:cs="Times New Roman"/>
          <w:b/>
          <w:i w:val="0"/>
          <w:color w:val="000000"/>
          <w:sz w:val="24"/>
        </w:rPr>
        <w:t>Keywords: Multi-Tenancy, Family Fund Management, Role-Based Access Control, Payment Allocation, Large Language Model, Logistic Regression, Payment Gateway, WebAuthn, Laravel, Vue.js, PostgreSQL</w:t>
      </w:r>
    </w:p>
    <w:p>
      <w:pPr>
        <w:pStyle w:val="Heading1"/>
        <w:pageBreakBefore/>
        <w:spacing w:line="360" w:lineRule="auto" w:before="360" w:after="120"/>
        <w:jc w:val="center"/>
      </w:pPr>
      <w:r>
        <w:rPr>
          <w:rFonts w:ascii="Times New Roman" w:hAnsi="Times New Roman" w:cs="Times New Roman"/>
          <w:b/>
          <w:i w:val="0"/>
          <w:color w:val="000000"/>
          <w:sz w:val="32"/>
        </w:rPr>
        <w:t>TABLE OF CONTENTS</w:t>
      </w:r>
    </w:p>
    <w:p>
      <w:pPr>
        <w:keepNext w:val="0"/>
        <w:keepLines w:val="0"/>
        <w:spacing w:line="360" w:lineRule="auto" w:after="60" w:before="0"/>
        <w:ind w:left="0"/>
        <w:jc w:val="left"/>
      </w:pPr>
      <w:r>
        <w:rPr>
          <w:rFonts w:ascii="Times New Roman" w:hAnsi="Times New Roman" w:cs="Times New Roman"/>
          <w:b/>
          <w:i w:val="0"/>
          <w:color w:val="000000"/>
          <w:sz w:val="24"/>
        </w:rPr>
        <w:t>Preliminary Pages</w:t>
      </w:r>
    </w:p>
    <w:p>
      <w:pPr>
        <w:keepNext w:val="0"/>
        <w:keepLines w:val="0"/>
        <w:spacing w:line="360" w:lineRule="auto" w:after="0" w:before="0"/>
        <w:ind w:left="403"/>
        <w:jc w:val="left"/>
      </w:pPr>
      <w:r>
        <w:rPr>
          <w:rFonts w:ascii="Times New Roman" w:hAnsi="Times New Roman" w:cs="Times New Roman"/>
          <w:b w:val="0"/>
          <w:i w:val="0"/>
          <w:color w:val="000000"/>
          <w:sz w:val="24"/>
        </w:rPr>
        <w:t>Title Page</w:t>
      </w:r>
    </w:p>
    <w:p>
      <w:pPr>
        <w:keepNext w:val="0"/>
        <w:keepLines w:val="0"/>
        <w:spacing w:line="360" w:lineRule="auto" w:after="0" w:before="0"/>
        <w:ind w:left="403"/>
        <w:jc w:val="left"/>
      </w:pPr>
      <w:r>
        <w:rPr>
          <w:rFonts w:ascii="Times New Roman" w:hAnsi="Times New Roman" w:cs="Times New Roman"/>
          <w:b w:val="0"/>
          <w:i w:val="0"/>
          <w:color w:val="000000"/>
          <w:sz w:val="24"/>
        </w:rPr>
        <w:t>Certification</w:t>
      </w:r>
    </w:p>
    <w:p>
      <w:pPr>
        <w:keepNext w:val="0"/>
        <w:keepLines w:val="0"/>
        <w:spacing w:line="360" w:lineRule="auto" w:after="0" w:before="0"/>
        <w:ind w:left="403"/>
        <w:jc w:val="left"/>
      </w:pPr>
      <w:r>
        <w:rPr>
          <w:rFonts w:ascii="Times New Roman" w:hAnsi="Times New Roman" w:cs="Times New Roman"/>
          <w:b w:val="0"/>
          <w:i w:val="0"/>
          <w:color w:val="000000"/>
          <w:sz w:val="24"/>
        </w:rPr>
        <w:t>Dedication</w:t>
      </w:r>
    </w:p>
    <w:p>
      <w:pPr>
        <w:keepNext w:val="0"/>
        <w:keepLines w:val="0"/>
        <w:spacing w:line="360" w:lineRule="auto" w:after="0" w:before="0"/>
        <w:ind w:left="403"/>
        <w:jc w:val="left"/>
      </w:pPr>
      <w:r>
        <w:rPr>
          <w:rFonts w:ascii="Times New Roman" w:hAnsi="Times New Roman" w:cs="Times New Roman"/>
          <w:b w:val="0"/>
          <w:i w:val="0"/>
          <w:color w:val="000000"/>
          <w:sz w:val="24"/>
        </w:rPr>
        <w:t>Acknowledgments</w:t>
      </w:r>
    </w:p>
    <w:p>
      <w:pPr>
        <w:keepNext w:val="0"/>
        <w:keepLines w:val="0"/>
        <w:spacing w:line="360" w:lineRule="auto" w:after="0" w:before="0"/>
        <w:ind w:left="403"/>
        <w:jc w:val="left"/>
      </w:pPr>
      <w:r>
        <w:rPr>
          <w:rFonts w:ascii="Times New Roman" w:hAnsi="Times New Roman" w:cs="Times New Roman"/>
          <w:b w:val="0"/>
          <w:i w:val="0"/>
          <w:color w:val="000000"/>
          <w:sz w:val="24"/>
        </w:rPr>
        <w:t>Abstract</w:t>
      </w:r>
    </w:p>
    <w:p>
      <w:pPr>
        <w:keepNext w:val="0"/>
        <w:keepLines w:val="0"/>
        <w:spacing w:line="360" w:lineRule="auto" w:after="0" w:before="0"/>
        <w:ind w:left="403"/>
        <w:jc w:val="left"/>
      </w:pPr>
      <w:r>
        <w:rPr>
          <w:rFonts w:ascii="Times New Roman" w:hAnsi="Times New Roman" w:cs="Times New Roman"/>
          <w:b w:val="0"/>
          <w:i w:val="0"/>
          <w:color w:val="000000"/>
          <w:sz w:val="24"/>
        </w:rPr>
        <w:t>Table of Contents</w:t>
      </w:r>
    </w:p>
    <w:p>
      <w:pPr>
        <w:keepNext w:val="0"/>
        <w:keepLines w:val="0"/>
        <w:spacing w:line="360" w:lineRule="auto" w:after="0" w:before="0"/>
        <w:ind w:left="403"/>
        <w:jc w:val="left"/>
      </w:pPr>
      <w:r>
        <w:rPr>
          <w:rFonts w:ascii="Times New Roman" w:hAnsi="Times New Roman" w:cs="Times New Roman"/>
          <w:b w:val="0"/>
          <w:i w:val="0"/>
          <w:color w:val="000000"/>
          <w:sz w:val="24"/>
        </w:rPr>
        <w:t>List of Tables</w:t>
      </w:r>
    </w:p>
    <w:p>
      <w:pPr>
        <w:keepNext w:val="0"/>
        <w:keepLines w:val="0"/>
        <w:spacing w:line="360" w:lineRule="auto" w:after="0" w:before="0"/>
        <w:ind w:left="403"/>
        <w:jc w:val="left"/>
      </w:pPr>
      <w:r>
        <w:rPr>
          <w:rFonts w:ascii="Times New Roman" w:hAnsi="Times New Roman" w:cs="Times New Roman"/>
          <w:b w:val="0"/>
          <w:i w:val="0"/>
          <w:color w:val="000000"/>
          <w:sz w:val="24"/>
        </w:rPr>
        <w:t>List of Figures</w:t>
      </w:r>
    </w:p>
    <w:p>
      <w:pPr>
        <w:keepNext w:val="0"/>
        <w:keepLines w:val="0"/>
        <w:spacing w:line="360" w:lineRule="auto" w:after="0" w:before="0"/>
        <w:ind w:left="403"/>
        <w:jc w:val="left"/>
      </w:pPr>
      <w:r>
        <w:rPr>
          <w:rFonts w:ascii="Times New Roman" w:hAnsi="Times New Roman" w:cs="Times New Roman"/>
          <w:b w:val="0"/>
          <w:i w:val="0"/>
          <w:color w:val="000000"/>
          <w:sz w:val="24"/>
        </w:rPr>
        <w:t>List of Listings</w:t>
      </w:r>
    </w:p>
    <w:p>
      <w:pPr>
        <w:keepNext w:val="0"/>
        <w:keepLines w:val="0"/>
        <w:spacing w:line="360" w:lineRule="auto" w:after="0" w:before="0"/>
        <w:ind w:left="403"/>
        <w:jc w:val="left"/>
      </w:pPr>
      <w:r>
        <w:rPr>
          <w:rFonts w:ascii="Times New Roman" w:hAnsi="Times New Roman" w:cs="Times New Roman"/>
          <w:b w:val="0"/>
          <w:i w:val="0"/>
          <w:color w:val="000000"/>
          <w:sz w:val="24"/>
        </w:rPr>
        <w:t>List of Abbreviations</w:t>
      </w:r>
    </w:p>
    <w:p>
      <w:pPr>
        <w:keepNext w:val="0"/>
        <w:keepLines w:val="0"/>
        <w:spacing w:line="360" w:lineRule="auto" w:after="60" w:before="0"/>
        <w:ind w:left="0"/>
        <w:jc w:val="left"/>
      </w:pPr>
      <w:r>
        <w:rPr>
          <w:rFonts w:ascii="Times New Roman" w:hAnsi="Times New Roman" w:cs="Times New Roman"/>
          <w:b/>
          <w:i w:val="0"/>
          <w:color w:val="000000"/>
          <w:sz w:val="24"/>
        </w:rPr>
        <w:t>Chapter One: Introduction</w:t>
      </w:r>
    </w:p>
    <w:p>
      <w:pPr>
        <w:keepNext w:val="0"/>
        <w:keepLines w:val="0"/>
        <w:spacing w:line="360" w:lineRule="auto" w:after="0" w:before="0"/>
        <w:ind w:left="403"/>
        <w:jc w:val="left"/>
      </w:pPr>
      <w:r>
        <w:rPr>
          <w:rFonts w:ascii="Times New Roman" w:hAnsi="Times New Roman" w:cs="Times New Roman"/>
          <w:b w:val="0"/>
          <w:i w:val="0"/>
          <w:color w:val="000000"/>
          <w:sz w:val="24"/>
        </w:rPr>
        <w:t>1.1 Background to the Study</w:t>
      </w:r>
    </w:p>
    <w:p>
      <w:pPr>
        <w:keepNext w:val="0"/>
        <w:keepLines w:val="0"/>
        <w:spacing w:line="360" w:lineRule="auto" w:after="0" w:before="0"/>
        <w:ind w:left="403"/>
        <w:jc w:val="left"/>
      </w:pPr>
      <w:r>
        <w:rPr>
          <w:rFonts w:ascii="Times New Roman" w:hAnsi="Times New Roman" w:cs="Times New Roman"/>
          <w:b w:val="0"/>
          <w:i w:val="0"/>
          <w:color w:val="000000"/>
          <w:sz w:val="24"/>
        </w:rPr>
        <w:t>1.2 Statement of the Problem</w:t>
      </w:r>
    </w:p>
    <w:p>
      <w:pPr>
        <w:keepNext w:val="0"/>
        <w:keepLines w:val="0"/>
        <w:spacing w:line="360" w:lineRule="auto" w:after="0" w:before="0"/>
        <w:ind w:left="403"/>
        <w:jc w:val="left"/>
      </w:pPr>
      <w:r>
        <w:rPr>
          <w:rFonts w:ascii="Times New Roman" w:hAnsi="Times New Roman" w:cs="Times New Roman"/>
          <w:b w:val="0"/>
          <w:i w:val="0"/>
          <w:color w:val="000000"/>
          <w:sz w:val="24"/>
        </w:rPr>
        <w:t>1.3 Aim of the Study</w:t>
      </w:r>
    </w:p>
    <w:p>
      <w:pPr>
        <w:keepNext w:val="0"/>
        <w:keepLines w:val="0"/>
        <w:spacing w:line="360" w:lineRule="auto" w:after="0" w:before="0"/>
        <w:ind w:left="403"/>
        <w:jc w:val="left"/>
      </w:pPr>
      <w:r>
        <w:rPr>
          <w:rFonts w:ascii="Times New Roman" w:hAnsi="Times New Roman" w:cs="Times New Roman"/>
          <w:b w:val="0"/>
          <w:i w:val="0"/>
          <w:color w:val="000000"/>
          <w:sz w:val="24"/>
        </w:rPr>
        <w:t>1.4 Objectives of the Study</w:t>
      </w:r>
    </w:p>
    <w:p>
      <w:pPr>
        <w:keepNext w:val="0"/>
        <w:keepLines w:val="0"/>
        <w:spacing w:line="360" w:lineRule="auto" w:after="0" w:before="0"/>
        <w:ind w:left="403"/>
        <w:jc w:val="left"/>
      </w:pPr>
      <w:r>
        <w:rPr>
          <w:rFonts w:ascii="Times New Roman" w:hAnsi="Times New Roman" w:cs="Times New Roman"/>
          <w:b w:val="0"/>
          <w:i w:val="0"/>
          <w:color w:val="000000"/>
          <w:sz w:val="24"/>
        </w:rPr>
        <w:t>1.5 Research Questions</w:t>
      </w:r>
    </w:p>
    <w:p>
      <w:pPr>
        <w:keepNext w:val="0"/>
        <w:keepLines w:val="0"/>
        <w:spacing w:line="360" w:lineRule="auto" w:after="0" w:before="0"/>
        <w:ind w:left="403"/>
        <w:jc w:val="left"/>
      </w:pPr>
      <w:r>
        <w:rPr>
          <w:rFonts w:ascii="Times New Roman" w:hAnsi="Times New Roman" w:cs="Times New Roman"/>
          <w:b w:val="0"/>
          <w:i w:val="0"/>
          <w:color w:val="000000"/>
          <w:sz w:val="24"/>
        </w:rPr>
        <w:t>1.7 Significance of the Study</w:t>
      </w:r>
    </w:p>
    <w:p>
      <w:pPr>
        <w:keepNext w:val="0"/>
        <w:keepLines w:val="0"/>
        <w:spacing w:line="360" w:lineRule="auto" w:after="0" w:before="0"/>
        <w:ind w:left="403"/>
        <w:jc w:val="left"/>
      </w:pPr>
      <w:r>
        <w:rPr>
          <w:rFonts w:ascii="Times New Roman" w:hAnsi="Times New Roman" w:cs="Times New Roman"/>
          <w:b w:val="0"/>
          <w:i w:val="0"/>
          <w:color w:val="000000"/>
          <w:sz w:val="24"/>
        </w:rPr>
        <w:t>1.8 Scope of the Study</w:t>
      </w:r>
    </w:p>
    <w:p>
      <w:pPr>
        <w:keepNext w:val="0"/>
        <w:keepLines w:val="0"/>
        <w:spacing w:line="360" w:lineRule="auto" w:after="0" w:before="0"/>
        <w:ind w:left="403"/>
        <w:jc w:val="left"/>
      </w:pPr>
      <w:r>
        <w:rPr>
          <w:rFonts w:ascii="Times New Roman" w:hAnsi="Times New Roman" w:cs="Times New Roman"/>
          <w:b w:val="0"/>
          <w:i w:val="0"/>
          <w:color w:val="000000"/>
          <w:sz w:val="24"/>
        </w:rPr>
        <w:t>1.9 Limitations of the Study</w:t>
      </w:r>
    </w:p>
    <w:p>
      <w:pPr>
        <w:keepNext w:val="0"/>
        <w:keepLines w:val="0"/>
        <w:spacing w:line="360" w:lineRule="auto" w:after="0" w:before="0"/>
        <w:ind w:left="403"/>
        <w:jc w:val="left"/>
      </w:pPr>
      <w:r>
        <w:rPr>
          <w:rFonts w:ascii="Times New Roman" w:hAnsi="Times New Roman" w:cs="Times New Roman"/>
          <w:b w:val="0"/>
          <w:i w:val="0"/>
          <w:color w:val="000000"/>
          <w:sz w:val="24"/>
        </w:rPr>
        <w:t>1.10 Definition of Terms</w:t>
      </w:r>
    </w:p>
    <w:p>
      <w:pPr>
        <w:keepNext w:val="0"/>
        <w:keepLines w:val="0"/>
        <w:spacing w:line="360" w:lineRule="auto" w:after="0" w:before="0"/>
        <w:ind w:left="403"/>
        <w:jc w:val="left"/>
      </w:pPr>
      <w:r>
        <w:rPr>
          <w:rFonts w:ascii="Times New Roman" w:hAnsi="Times New Roman" w:cs="Times New Roman"/>
          <w:b w:val="0"/>
          <w:i w:val="0"/>
          <w:color w:val="000000"/>
          <w:sz w:val="24"/>
        </w:rPr>
        <w:t>1.11 Organisation of the Report</w:t>
      </w:r>
    </w:p>
    <w:p>
      <w:pPr>
        <w:keepNext w:val="0"/>
        <w:keepLines w:val="0"/>
        <w:spacing w:line="360" w:lineRule="auto" w:after="60" w:before="0"/>
        <w:ind w:left="0"/>
        <w:jc w:val="left"/>
      </w:pPr>
      <w:r>
        <w:rPr>
          <w:rFonts w:ascii="Times New Roman" w:hAnsi="Times New Roman" w:cs="Times New Roman"/>
          <w:b/>
          <w:i w:val="0"/>
          <w:color w:val="000000"/>
          <w:sz w:val="24"/>
        </w:rPr>
        <w:t>Chapter Two: Literature Review</w:t>
      </w:r>
    </w:p>
    <w:p>
      <w:pPr>
        <w:keepNext w:val="0"/>
        <w:keepLines w:val="0"/>
        <w:spacing w:line="360" w:lineRule="auto" w:after="0" w:before="0"/>
        <w:ind w:left="403"/>
        <w:jc w:val="left"/>
      </w:pPr>
      <w:r>
        <w:rPr>
          <w:rFonts w:ascii="Times New Roman" w:hAnsi="Times New Roman" w:cs="Times New Roman"/>
          <w:b w:val="0"/>
          <w:i w:val="0"/>
          <w:color w:val="000000"/>
          <w:sz w:val="24"/>
        </w:rPr>
        <w:t>2.1 Introduction to the Chapter</w:t>
      </w:r>
    </w:p>
    <w:p>
      <w:pPr>
        <w:keepNext w:val="0"/>
        <w:keepLines w:val="0"/>
        <w:spacing w:line="360" w:lineRule="auto" w:after="0" w:before="0"/>
        <w:ind w:left="403"/>
        <w:jc w:val="left"/>
      </w:pPr>
      <w:r>
        <w:rPr>
          <w:rFonts w:ascii="Times New Roman" w:hAnsi="Times New Roman" w:cs="Times New Roman"/>
          <w:b w:val="0"/>
          <w:i w:val="0"/>
          <w:color w:val="000000"/>
          <w:sz w:val="24"/>
        </w:rPr>
        <w:t>2.2 Conceptual Review</w:t>
      </w:r>
    </w:p>
    <w:p>
      <w:pPr>
        <w:keepNext w:val="0"/>
        <w:keepLines w:val="0"/>
        <w:spacing w:line="360" w:lineRule="auto" w:after="0" w:before="0"/>
        <w:ind w:left="403"/>
        <w:jc w:val="left"/>
      </w:pPr>
      <w:r>
        <w:rPr>
          <w:rFonts w:ascii="Times New Roman" w:hAnsi="Times New Roman" w:cs="Times New Roman"/>
          <w:b w:val="0"/>
          <w:i w:val="0"/>
          <w:color w:val="000000"/>
          <w:sz w:val="24"/>
        </w:rPr>
        <w:t>2.3 Theoretical Framework</w:t>
      </w:r>
    </w:p>
    <w:p>
      <w:pPr>
        <w:keepNext w:val="0"/>
        <w:keepLines w:val="0"/>
        <w:spacing w:line="360" w:lineRule="auto" w:after="0" w:before="0"/>
        <w:ind w:left="403"/>
        <w:jc w:val="left"/>
      </w:pPr>
      <w:r>
        <w:rPr>
          <w:rFonts w:ascii="Times New Roman" w:hAnsi="Times New Roman" w:cs="Times New Roman"/>
          <w:b w:val="0"/>
          <w:i w:val="0"/>
          <w:color w:val="000000"/>
          <w:sz w:val="24"/>
        </w:rPr>
        <w:t>2.4 Empirical Review of Related Works</w:t>
      </w:r>
    </w:p>
    <w:p>
      <w:pPr>
        <w:keepNext w:val="0"/>
        <w:keepLines w:val="0"/>
        <w:spacing w:line="360" w:lineRule="auto" w:after="0" w:before="0"/>
        <w:ind w:left="403"/>
        <w:jc w:val="left"/>
      </w:pPr>
      <w:r>
        <w:rPr>
          <w:rFonts w:ascii="Times New Roman" w:hAnsi="Times New Roman" w:cs="Times New Roman"/>
          <w:b w:val="0"/>
          <w:i w:val="0"/>
          <w:color w:val="000000"/>
          <w:sz w:val="24"/>
        </w:rPr>
        <w:t>2.5 Review of Existing Systems/Tools</w:t>
      </w:r>
    </w:p>
    <w:p>
      <w:pPr>
        <w:keepNext w:val="0"/>
        <w:keepLines w:val="0"/>
        <w:spacing w:line="360" w:lineRule="auto" w:after="0" w:before="0"/>
        <w:ind w:left="403"/>
        <w:jc w:val="left"/>
      </w:pPr>
      <w:r>
        <w:rPr>
          <w:rFonts w:ascii="Times New Roman" w:hAnsi="Times New Roman" w:cs="Times New Roman"/>
          <w:b w:val="0"/>
          <w:i w:val="0"/>
          <w:color w:val="000000"/>
          <w:sz w:val="24"/>
        </w:rPr>
        <w:t>2.6 Comparative Analysis of Related Works</w:t>
      </w:r>
    </w:p>
    <w:p>
      <w:pPr>
        <w:keepNext w:val="0"/>
        <w:keepLines w:val="0"/>
        <w:spacing w:line="360" w:lineRule="auto" w:after="0" w:before="0"/>
        <w:ind w:left="403"/>
        <w:jc w:val="left"/>
      </w:pPr>
      <w:r>
        <w:rPr>
          <w:rFonts w:ascii="Times New Roman" w:hAnsi="Times New Roman" w:cs="Times New Roman"/>
          <w:b w:val="0"/>
          <w:i w:val="0"/>
          <w:color w:val="000000"/>
          <w:sz w:val="24"/>
        </w:rPr>
        <w:t>2.7 Identified Research Gap</w:t>
      </w:r>
    </w:p>
    <w:p>
      <w:pPr>
        <w:keepNext w:val="0"/>
        <w:keepLines w:val="0"/>
        <w:spacing w:line="360" w:lineRule="auto" w:after="0" w:before="0"/>
        <w:ind w:left="403"/>
        <w:jc w:val="left"/>
      </w:pPr>
      <w:r>
        <w:rPr>
          <w:rFonts w:ascii="Times New Roman" w:hAnsi="Times New Roman" w:cs="Times New Roman"/>
          <w:b w:val="0"/>
          <w:i w:val="0"/>
          <w:color w:val="000000"/>
          <w:sz w:val="24"/>
        </w:rPr>
        <w:t>2.8 Summary of the Chapter</w:t>
      </w:r>
    </w:p>
    <w:p>
      <w:pPr>
        <w:keepNext w:val="0"/>
        <w:keepLines w:val="0"/>
        <w:spacing w:line="360" w:lineRule="auto" w:after="60" w:before="0"/>
        <w:ind w:left="0"/>
        <w:jc w:val="left"/>
      </w:pPr>
      <w:r>
        <w:rPr>
          <w:rFonts w:ascii="Times New Roman" w:hAnsi="Times New Roman" w:cs="Times New Roman"/>
          <w:b/>
          <w:i w:val="0"/>
          <w:color w:val="000000"/>
          <w:sz w:val="24"/>
        </w:rPr>
        <w:t>Chapter Three: Methodology</w:t>
      </w:r>
    </w:p>
    <w:p>
      <w:pPr>
        <w:keepNext w:val="0"/>
        <w:keepLines w:val="0"/>
        <w:spacing w:line="360" w:lineRule="auto" w:after="0" w:before="0"/>
        <w:ind w:left="403"/>
        <w:jc w:val="left"/>
      </w:pPr>
      <w:r>
        <w:rPr>
          <w:rFonts w:ascii="Times New Roman" w:hAnsi="Times New Roman" w:cs="Times New Roman"/>
          <w:b w:val="0"/>
          <w:i w:val="0"/>
          <w:color w:val="000000"/>
          <w:sz w:val="24"/>
        </w:rPr>
        <w:t>3.1 Introduction to the Chapter</w:t>
      </w:r>
    </w:p>
    <w:p>
      <w:pPr>
        <w:keepNext w:val="0"/>
        <w:keepLines w:val="0"/>
        <w:spacing w:line="360" w:lineRule="auto" w:after="0" w:before="0"/>
        <w:ind w:left="403"/>
        <w:jc w:val="left"/>
      </w:pPr>
      <w:r>
        <w:rPr>
          <w:rFonts w:ascii="Times New Roman" w:hAnsi="Times New Roman" w:cs="Times New Roman"/>
          <w:b w:val="0"/>
          <w:i w:val="0"/>
          <w:color w:val="000000"/>
          <w:sz w:val="24"/>
        </w:rPr>
        <w:t>3.2 Research Design / Project Approach</w:t>
      </w:r>
    </w:p>
    <w:p>
      <w:pPr>
        <w:keepNext w:val="0"/>
        <w:keepLines w:val="0"/>
        <w:spacing w:line="360" w:lineRule="auto" w:after="0" w:before="0"/>
        <w:ind w:left="403"/>
        <w:jc w:val="left"/>
      </w:pPr>
      <w:r>
        <w:rPr>
          <w:rFonts w:ascii="Times New Roman" w:hAnsi="Times New Roman" w:cs="Times New Roman"/>
          <w:b w:val="0"/>
          <w:i w:val="0"/>
          <w:color w:val="000000"/>
          <w:sz w:val="24"/>
        </w:rPr>
        <w:t>3.3 Analysis of Existing System</w:t>
      </w:r>
    </w:p>
    <w:p>
      <w:pPr>
        <w:keepNext w:val="0"/>
        <w:keepLines w:val="0"/>
        <w:spacing w:line="360" w:lineRule="auto" w:after="0" w:before="0"/>
        <w:ind w:left="403"/>
        <w:jc w:val="left"/>
      </w:pPr>
      <w:r>
        <w:rPr>
          <w:rFonts w:ascii="Times New Roman" w:hAnsi="Times New Roman" w:cs="Times New Roman"/>
          <w:b w:val="0"/>
          <w:i w:val="0"/>
          <w:color w:val="000000"/>
          <w:sz w:val="24"/>
        </w:rPr>
        <w:t>3.4 Proposed System Overview</w:t>
      </w:r>
    </w:p>
    <w:p>
      <w:pPr>
        <w:keepNext w:val="0"/>
        <w:keepLines w:val="0"/>
        <w:spacing w:line="360" w:lineRule="auto" w:after="0" w:before="0"/>
        <w:ind w:left="403"/>
        <w:jc w:val="left"/>
      </w:pPr>
      <w:r>
        <w:rPr>
          <w:rFonts w:ascii="Times New Roman" w:hAnsi="Times New Roman" w:cs="Times New Roman"/>
          <w:b w:val="0"/>
          <w:i w:val="0"/>
          <w:color w:val="000000"/>
          <w:sz w:val="24"/>
        </w:rPr>
        <w:t>3.5 System Requirements</w:t>
      </w:r>
    </w:p>
    <w:p>
      <w:pPr>
        <w:keepNext w:val="0"/>
        <w:keepLines w:val="0"/>
        <w:spacing w:line="360" w:lineRule="auto" w:after="0" w:before="0"/>
        <w:ind w:left="403"/>
        <w:jc w:val="left"/>
      </w:pPr>
      <w:r>
        <w:rPr>
          <w:rFonts w:ascii="Times New Roman" w:hAnsi="Times New Roman" w:cs="Times New Roman"/>
          <w:b w:val="0"/>
          <w:i w:val="0"/>
          <w:color w:val="000000"/>
          <w:sz w:val="24"/>
        </w:rPr>
        <w:t>3.6 Data Collection Methods</w:t>
      </w:r>
    </w:p>
    <w:p>
      <w:pPr>
        <w:keepNext w:val="0"/>
        <w:keepLines w:val="0"/>
        <w:spacing w:line="360" w:lineRule="auto" w:after="0" w:before="0"/>
        <w:ind w:left="403"/>
        <w:jc w:val="left"/>
      </w:pPr>
      <w:r>
        <w:rPr>
          <w:rFonts w:ascii="Times New Roman" w:hAnsi="Times New Roman" w:cs="Times New Roman"/>
          <w:b w:val="0"/>
          <w:i w:val="0"/>
          <w:color w:val="000000"/>
          <w:sz w:val="24"/>
        </w:rPr>
        <w:t>3.7 Population and Sampling</w:t>
      </w:r>
    </w:p>
    <w:p>
      <w:pPr>
        <w:keepNext w:val="0"/>
        <w:keepLines w:val="0"/>
        <w:spacing w:line="360" w:lineRule="auto" w:after="0" w:before="0"/>
        <w:ind w:left="403"/>
        <w:jc w:val="left"/>
      </w:pPr>
      <w:r>
        <w:rPr>
          <w:rFonts w:ascii="Times New Roman" w:hAnsi="Times New Roman" w:cs="Times New Roman"/>
          <w:b w:val="0"/>
          <w:i w:val="0"/>
          <w:color w:val="000000"/>
          <w:sz w:val="24"/>
        </w:rPr>
        <w:t>3.8 System Architecture / Design</w:t>
      </w:r>
    </w:p>
    <w:p>
      <w:pPr>
        <w:keepNext w:val="0"/>
        <w:keepLines w:val="0"/>
        <w:spacing w:line="360" w:lineRule="auto" w:after="0" w:before="0"/>
        <w:ind w:left="403"/>
        <w:jc w:val="left"/>
      </w:pPr>
      <w:r>
        <w:rPr>
          <w:rFonts w:ascii="Times New Roman" w:hAnsi="Times New Roman" w:cs="Times New Roman"/>
          <w:b w:val="0"/>
          <w:i w:val="0"/>
          <w:color w:val="000000"/>
          <w:sz w:val="24"/>
        </w:rPr>
        <w:t>3.9 Use Case / UML Diagrams</w:t>
      </w:r>
    </w:p>
    <w:p>
      <w:pPr>
        <w:keepNext w:val="0"/>
        <w:keepLines w:val="0"/>
        <w:spacing w:line="360" w:lineRule="auto" w:after="0" w:before="0"/>
        <w:ind w:left="403"/>
        <w:jc w:val="left"/>
      </w:pPr>
      <w:r>
        <w:rPr>
          <w:rFonts w:ascii="Times New Roman" w:hAnsi="Times New Roman" w:cs="Times New Roman"/>
          <w:b w:val="0"/>
          <w:i w:val="0"/>
          <w:color w:val="000000"/>
          <w:sz w:val="24"/>
        </w:rPr>
        <w:t>3.10 Database Design</w:t>
      </w:r>
    </w:p>
    <w:p>
      <w:pPr>
        <w:keepNext w:val="0"/>
        <w:keepLines w:val="0"/>
        <w:spacing w:line="360" w:lineRule="auto" w:after="0" w:before="0"/>
        <w:ind w:left="403"/>
        <w:jc w:val="left"/>
      </w:pPr>
      <w:r>
        <w:rPr>
          <w:rFonts w:ascii="Times New Roman" w:hAnsi="Times New Roman" w:cs="Times New Roman"/>
          <w:b w:val="0"/>
          <w:i w:val="0"/>
          <w:color w:val="000000"/>
          <w:sz w:val="24"/>
        </w:rPr>
        <w:t>3.11 Algorithm / Model Design</w:t>
      </w:r>
    </w:p>
    <w:p>
      <w:pPr>
        <w:keepNext w:val="0"/>
        <w:keepLines w:val="0"/>
        <w:spacing w:line="360" w:lineRule="auto" w:after="0" w:before="0"/>
        <w:ind w:left="403"/>
        <w:jc w:val="left"/>
      </w:pPr>
      <w:r>
        <w:rPr>
          <w:rFonts w:ascii="Times New Roman" w:hAnsi="Times New Roman" w:cs="Times New Roman"/>
          <w:b w:val="0"/>
          <w:i w:val="0"/>
          <w:color w:val="000000"/>
          <w:sz w:val="24"/>
        </w:rPr>
        <w:t>3.12 Tools and Technologies</w:t>
      </w:r>
    </w:p>
    <w:p>
      <w:pPr>
        <w:keepNext w:val="0"/>
        <w:keepLines w:val="0"/>
        <w:spacing w:line="360" w:lineRule="auto" w:after="0" w:before="0"/>
        <w:ind w:left="403"/>
        <w:jc w:val="left"/>
      </w:pPr>
      <w:r>
        <w:rPr>
          <w:rFonts w:ascii="Times New Roman" w:hAnsi="Times New Roman" w:cs="Times New Roman"/>
          <w:b w:val="0"/>
          <w:i w:val="0"/>
          <w:color w:val="000000"/>
          <w:sz w:val="24"/>
        </w:rPr>
        <w:t>3.13 Ethical Considerations</w:t>
      </w:r>
    </w:p>
    <w:p>
      <w:pPr>
        <w:keepNext w:val="0"/>
        <w:keepLines w:val="0"/>
        <w:spacing w:line="360" w:lineRule="auto" w:after="0" w:before="0"/>
        <w:ind w:left="403"/>
        <w:jc w:val="left"/>
      </w:pPr>
      <w:r>
        <w:rPr>
          <w:rFonts w:ascii="Times New Roman" w:hAnsi="Times New Roman" w:cs="Times New Roman"/>
          <w:b w:val="0"/>
          <w:i w:val="0"/>
          <w:color w:val="000000"/>
          <w:sz w:val="24"/>
        </w:rPr>
        <w:t>3.14 Summary of the Chapter</w:t>
      </w:r>
    </w:p>
    <w:p>
      <w:pPr>
        <w:keepNext w:val="0"/>
        <w:keepLines w:val="0"/>
        <w:spacing w:line="360" w:lineRule="auto" w:after="60" w:before="0"/>
        <w:ind w:left="0"/>
        <w:jc w:val="left"/>
      </w:pPr>
      <w:r>
        <w:rPr>
          <w:rFonts w:ascii="Times New Roman" w:hAnsi="Times New Roman" w:cs="Times New Roman"/>
          <w:b/>
          <w:i w:val="0"/>
          <w:color w:val="000000"/>
          <w:sz w:val="24"/>
        </w:rPr>
        <w:t>Chapter Four: System Implementation and Testing</w:t>
      </w:r>
    </w:p>
    <w:p>
      <w:pPr>
        <w:keepNext w:val="0"/>
        <w:keepLines w:val="0"/>
        <w:spacing w:line="360" w:lineRule="auto" w:after="0" w:before="0"/>
        <w:ind w:left="403"/>
        <w:jc w:val="left"/>
      </w:pPr>
      <w:r>
        <w:rPr>
          <w:rFonts w:ascii="Times New Roman" w:hAnsi="Times New Roman" w:cs="Times New Roman"/>
          <w:b w:val="0"/>
          <w:i w:val="0"/>
          <w:color w:val="000000"/>
          <w:sz w:val="24"/>
        </w:rPr>
        <w:t>4.1 Implementation of the System Design</w:t>
      </w:r>
    </w:p>
    <w:p>
      <w:pPr>
        <w:keepNext w:val="0"/>
        <w:keepLines w:val="0"/>
        <w:spacing w:line="360" w:lineRule="auto" w:after="0" w:before="0"/>
        <w:ind w:left="403"/>
        <w:jc w:val="left"/>
      </w:pPr>
      <w:r>
        <w:rPr>
          <w:rFonts w:ascii="Times New Roman" w:hAnsi="Times New Roman" w:cs="Times New Roman"/>
          <w:b w:val="0"/>
          <w:i w:val="0"/>
          <w:color w:val="000000"/>
          <w:sz w:val="24"/>
        </w:rPr>
        <w:t>4.2 Module Integration and Coding</w:t>
      </w:r>
    </w:p>
    <w:p>
      <w:pPr>
        <w:keepNext w:val="0"/>
        <w:keepLines w:val="0"/>
        <w:spacing w:line="360" w:lineRule="auto" w:after="0" w:before="0"/>
        <w:ind w:left="403"/>
        <w:jc w:val="left"/>
      </w:pPr>
      <w:r>
        <w:rPr>
          <w:rFonts w:ascii="Times New Roman" w:hAnsi="Times New Roman" w:cs="Times New Roman"/>
          <w:b w:val="0"/>
          <w:i w:val="0"/>
          <w:color w:val="000000"/>
          <w:sz w:val="24"/>
        </w:rPr>
        <w:t>4.3 Testing Strategy and Procedures</w:t>
      </w:r>
    </w:p>
    <w:p>
      <w:pPr>
        <w:keepNext w:val="0"/>
        <w:keepLines w:val="0"/>
        <w:spacing w:line="360" w:lineRule="auto" w:after="0" w:before="0"/>
        <w:ind w:left="403"/>
        <w:jc w:val="left"/>
      </w:pPr>
      <w:r>
        <w:rPr>
          <w:rFonts w:ascii="Times New Roman" w:hAnsi="Times New Roman" w:cs="Times New Roman"/>
          <w:b w:val="0"/>
          <w:i w:val="0"/>
          <w:color w:val="000000"/>
          <w:sz w:val="24"/>
        </w:rPr>
        <w:t>4.4 Test Results and Discussion</w:t>
      </w:r>
    </w:p>
    <w:p>
      <w:pPr>
        <w:keepNext w:val="0"/>
        <w:keepLines w:val="0"/>
        <w:spacing w:line="360" w:lineRule="auto" w:after="60" w:before="0"/>
        <w:ind w:left="0"/>
        <w:jc w:val="left"/>
      </w:pPr>
      <w:r>
        <w:rPr>
          <w:rFonts w:ascii="Times New Roman" w:hAnsi="Times New Roman" w:cs="Times New Roman"/>
          <w:b/>
          <w:i w:val="0"/>
          <w:color w:val="000000"/>
          <w:sz w:val="24"/>
        </w:rPr>
        <w:t>Chapter Five: Summary, Conclusion, and Recommendations</w:t>
      </w:r>
    </w:p>
    <w:p>
      <w:pPr>
        <w:keepNext w:val="0"/>
        <w:keepLines w:val="0"/>
        <w:spacing w:line="360" w:lineRule="auto" w:after="0" w:before="0"/>
        <w:ind w:left="403"/>
        <w:jc w:val="left"/>
      </w:pPr>
      <w:r>
        <w:rPr>
          <w:rFonts w:ascii="Times New Roman" w:hAnsi="Times New Roman" w:cs="Times New Roman"/>
          <w:b w:val="0"/>
          <w:i w:val="0"/>
          <w:color w:val="000000"/>
          <w:sz w:val="24"/>
        </w:rPr>
        <w:t>5.1 Summary of Findings</w:t>
      </w:r>
    </w:p>
    <w:p>
      <w:pPr>
        <w:keepNext w:val="0"/>
        <w:keepLines w:val="0"/>
        <w:spacing w:line="360" w:lineRule="auto" w:after="0" w:before="0"/>
        <w:ind w:left="403"/>
        <w:jc w:val="left"/>
      </w:pPr>
      <w:r>
        <w:rPr>
          <w:rFonts w:ascii="Times New Roman" w:hAnsi="Times New Roman" w:cs="Times New Roman"/>
          <w:b w:val="0"/>
          <w:i w:val="0"/>
          <w:color w:val="000000"/>
          <w:sz w:val="24"/>
        </w:rPr>
        <w:t>5.2 Conclusion</w:t>
      </w:r>
    </w:p>
    <w:p>
      <w:pPr>
        <w:keepNext w:val="0"/>
        <w:keepLines w:val="0"/>
        <w:spacing w:line="360" w:lineRule="auto" w:after="0" w:before="0"/>
        <w:ind w:left="403"/>
        <w:jc w:val="left"/>
      </w:pPr>
      <w:r>
        <w:rPr>
          <w:rFonts w:ascii="Times New Roman" w:hAnsi="Times New Roman" w:cs="Times New Roman"/>
          <w:b w:val="0"/>
          <w:i w:val="0"/>
          <w:color w:val="000000"/>
          <w:sz w:val="24"/>
        </w:rPr>
        <w:t>5.3 Contributions of the Study</w:t>
      </w:r>
    </w:p>
    <w:p>
      <w:pPr>
        <w:keepNext w:val="0"/>
        <w:keepLines w:val="0"/>
        <w:spacing w:line="360" w:lineRule="auto" w:after="0" w:before="0"/>
        <w:ind w:left="403"/>
        <w:jc w:val="left"/>
      </w:pPr>
      <w:r>
        <w:rPr>
          <w:rFonts w:ascii="Times New Roman" w:hAnsi="Times New Roman" w:cs="Times New Roman"/>
          <w:b w:val="0"/>
          <w:i w:val="0"/>
          <w:color w:val="000000"/>
          <w:sz w:val="24"/>
        </w:rPr>
        <w:t>5.4 Recommendations for Future Work</w:t>
      </w:r>
    </w:p>
    <w:p>
      <w:pPr>
        <w:keepNext w:val="0"/>
        <w:keepLines w:val="0"/>
        <w:spacing w:line="360" w:lineRule="auto" w:after="60" w:before="0"/>
        <w:ind w:left="0"/>
        <w:jc w:val="left"/>
      </w:pPr>
      <w:r>
        <w:rPr>
          <w:rFonts w:ascii="Times New Roman" w:hAnsi="Times New Roman" w:cs="Times New Roman"/>
          <w:b/>
          <w:i w:val="0"/>
          <w:color w:val="000000"/>
          <w:sz w:val="24"/>
        </w:rPr>
        <w:t>References</w:t>
      </w:r>
    </w:p>
    <w:p>
      <w:pPr>
        <w:pStyle w:val="Heading1"/>
        <w:pageBreakBefore/>
        <w:spacing w:line="360" w:lineRule="auto" w:before="360" w:after="120"/>
        <w:jc w:val="center"/>
      </w:pPr>
      <w:r>
        <w:rPr>
          <w:rFonts w:ascii="Times New Roman" w:hAnsi="Times New Roman" w:cs="Times New Roman"/>
          <w:b/>
          <w:i w:val="0"/>
          <w:color w:val="000000"/>
          <w:sz w:val="32"/>
        </w:rPr>
        <w:t>LIST OF TABLES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72"/>
        <w:gridCol w:w="5885"/>
        <w:gridCol w:w="1349"/>
      </w:tblGrid>
      <w:tr>
        <w:trPr>
          <w:tblHeader w:val="true"/>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Table No.</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Title</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Page</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1.1</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Comparison of Existing Financial Management Platforms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1.2</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Definition of Key Terms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2.1</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Empirical Review of Related Works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2.2</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Review of Existing Systems and Tools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2.3</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Comparative Analysis of Related Works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3.1</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Summary of Proposed System Features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3.2</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Functional Requirements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3.3</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Non-Functional Requirements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3.4</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Deployment Requirements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3.5</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Major Database Entities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3.6</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Oldest-Balance-First Payment Allocation Algorithm</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3.7</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Tools and Technologies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Implementation and Evidence Environment</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4.2</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Design-to-Implementation Traceability</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4.3</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Chapter Four Interface Evidence Register</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4.4</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Testing Strategy and Evidence Sources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4.5</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Structured System Test Cases and Current Results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4.6</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Analytics Test and Evidence Matrix</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4.7</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Non-Functional Requirement Evaluation</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4.8</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Training and Evaluation Results Placeholder</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4.9</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Objectives and Research Questions Verdict Matrix</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bl>
    <w:p/>
    <w:p>
      <w:pPr>
        <w:keepNext w:val="0"/>
        <w:keepLines w:val="0"/>
        <w:spacing w:line="360" w:lineRule="auto" w:after="160" w:before="0"/>
        <w:jc w:val="both"/>
      </w:pPr>
      <w:r>
        <w:rPr>
          <w:rFonts w:ascii="Times New Roman" w:hAnsi="Times New Roman" w:cs="Times New Roman"/>
          <w:b w:val="0"/>
          <w:i/>
          <w:color w:val="000000"/>
          <w:sz w:val="24"/>
        </w:rPr>
        <w:t>[To be updated as the document progresses.]</w:t>
      </w:r>
    </w:p>
    <w:p>
      <w:pPr>
        <w:pStyle w:val="Heading1"/>
        <w:pageBreakBefore/>
        <w:spacing w:line="360" w:lineRule="auto" w:before="360" w:after="120"/>
        <w:jc w:val="center"/>
      </w:pPr>
      <w:r>
        <w:rPr>
          <w:rFonts w:ascii="Times New Roman" w:hAnsi="Times New Roman" w:cs="Times New Roman"/>
          <w:b/>
          <w:i w:val="0"/>
          <w:color w:val="000000"/>
          <w:sz w:val="32"/>
        </w:rPr>
        <w:t>LIST OF FIGURES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32"/>
        <w:gridCol w:w="5175"/>
        <w:gridCol w:w="2099"/>
      </w:tblGrid>
      <w:tr>
        <w:trPr>
          <w:tblHeader w:val="true"/>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Figure No.</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Title</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Page</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3.1</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Existing Manual Family Fund Process</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3.2</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System Architecture Diagram</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3.3</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 Case Diagram</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3.4</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Allocation Flowchart</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3.5</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Entity-Relationship Diagram (ERD)</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Login and Account-Security Entry</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Pending capture</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4.2</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 Administrator Dashboard</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Pending capture</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4.3</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Member, Invitation, Role, and Category Management</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Pending capture</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4.4</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Contribution Generation and Register States</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Pending capture</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4.5</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Allocation, Member Statement, and Receipt</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Pending capture</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4.6</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Paystack Initiation and Verified Application State</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Pending capture</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4.7</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Expense and Fund-Adjustment Records</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Pending capture</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4.8</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Reports, Exports, Receipts, and Schedules</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Pending capture</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4.9</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Reminder Selection and Delivery History</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Pending capture</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4.10</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Subscription Plan and Family Limits</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Pending capture</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4.11</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AI Grounded Read and Confirmation Flow</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Pending capture</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4.12</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Populated Predictive-Risk Advisory</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Pending capture</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4.13</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Unavailable State</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Pending capture</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4.14</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Reconciliation Workspace</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Pending capture</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4.15</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Class Distribution</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Not executed</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4.16</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Logistic Regression Evaluation Curves</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Not executed</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4.17</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Confusion Matrix</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Not executed</w:t>
            </w:r>
          </w:p>
        </w:tc>
      </w:tr>
      <w:tr>
        <w:trPr>
          <w:cantSplit w:val="true"/>
        </w:trPr>
        <w:tc>
          <w:tcPr>
            <w:tcW w:type="dxa" w:w="1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4.18</w:t>
            </w:r>
          </w:p>
        </w:tc>
        <w:tc>
          <w:tcPr>
            <w:tcW w:type="dxa" w:w="517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Calibration and Standardised Coefficients</w:t>
            </w:r>
          </w:p>
        </w:tc>
        <w:tc>
          <w:tcPr>
            <w:tcW w:type="dxa" w:w="209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Not executed</w:t>
            </w:r>
          </w:p>
        </w:tc>
      </w:tr>
    </w:tbl>
    <w:p/>
    <w:p>
      <w:pPr>
        <w:keepNext w:val="0"/>
        <w:keepLines w:val="0"/>
        <w:spacing w:line="360" w:lineRule="auto" w:after="160" w:before="0"/>
        <w:jc w:val="both"/>
      </w:pPr>
      <w:r>
        <w:rPr>
          <w:rFonts w:ascii="Times New Roman" w:hAnsi="Times New Roman" w:cs="Times New Roman"/>
          <w:b w:val="0"/>
          <w:i/>
          <w:color w:val="000000"/>
          <w:sz w:val="24"/>
        </w:rPr>
        <w:t>[To be updated as the document progresses.]</w:t>
      </w:r>
    </w:p>
    <w:p>
      <w:pPr>
        <w:pStyle w:val="Heading1"/>
        <w:pageBreakBefore/>
        <w:spacing w:line="360" w:lineRule="auto" w:before="360" w:after="120"/>
        <w:jc w:val="center"/>
      </w:pPr>
      <w:r>
        <w:rPr>
          <w:rFonts w:ascii="Times New Roman" w:hAnsi="Times New Roman" w:cs="Times New Roman"/>
          <w:b/>
          <w:i w:val="0"/>
          <w:color w:val="000000"/>
          <w:sz w:val="32"/>
        </w:rPr>
        <w:t>LIST OF LISTINGS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13"/>
        <w:gridCol w:w="5476"/>
        <w:gridCol w:w="1417"/>
      </w:tblGrid>
      <w:tr>
        <w:trPr>
          <w:tblHeader w:val="true"/>
          <w:cantSplit w:val="true"/>
        </w:trPr>
        <w:tc>
          <w:tcPr>
            <w:tcW w:type="dxa" w:w="201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Listing No.</w:t>
            </w:r>
          </w:p>
        </w:tc>
        <w:tc>
          <w:tcPr>
            <w:tcW w:type="dxa" w:w="547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Title</w:t>
            </w:r>
          </w:p>
        </w:tc>
        <w:tc>
          <w:tcPr>
            <w:tcW w:type="dxa" w:w="141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Page</w:t>
            </w:r>
          </w:p>
        </w:tc>
      </w:tr>
      <w:tr>
        <w:trPr>
          <w:cantSplit w:val="true"/>
        </w:trPr>
        <w:tc>
          <w:tcPr>
            <w:tcW w:type="dxa" w:w="20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w:t>
            </w:r>
          </w:p>
        </w:tc>
        <w:tc>
          <w:tcPr>
            <w:tcW w:type="dxa" w:w="54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 Context Binding</w:t>
            </w:r>
          </w:p>
        </w:tc>
        <w:tc>
          <w:tcPr>
            <w:tcW w:type="dxa" w:w="141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20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4.2</w:t>
            </w:r>
          </w:p>
        </w:tc>
        <w:tc>
          <w:tcPr>
            <w:tcW w:type="dxa" w:w="54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Oldest-Balance-First Payment Allocation</w:t>
            </w:r>
          </w:p>
        </w:tc>
        <w:tc>
          <w:tcPr>
            <w:tcW w:type="dxa" w:w="141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20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4.3</w:t>
            </w:r>
          </w:p>
        </w:tc>
        <w:tc>
          <w:tcPr>
            <w:tcW w:type="dxa" w:w="54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Paystack Webhook Reference Verification</w:t>
            </w:r>
          </w:p>
        </w:tc>
        <w:tc>
          <w:tcPr>
            <w:tcW w:type="dxa" w:w="141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20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4.4</w:t>
            </w:r>
          </w:p>
        </w:tc>
        <w:tc>
          <w:tcPr>
            <w:tcW w:type="dxa" w:w="54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Confirm-First AI Write Governance</w:t>
            </w:r>
          </w:p>
        </w:tc>
        <w:tc>
          <w:tcPr>
            <w:tcW w:type="dxa" w:w="141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20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4.5</w:t>
            </w:r>
          </w:p>
        </w:tc>
        <w:tc>
          <w:tcPr>
            <w:tcW w:type="dxa" w:w="54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Logistic Regression Training</w:t>
            </w:r>
          </w:p>
        </w:tc>
        <w:tc>
          <w:tcPr>
            <w:tcW w:type="dxa" w:w="141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r>
        <w:trPr>
          <w:cantSplit w:val="true"/>
        </w:trPr>
        <w:tc>
          <w:tcPr>
            <w:tcW w:type="dxa" w:w="20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4.6</w:t>
            </w:r>
          </w:p>
        </w:tc>
        <w:tc>
          <w:tcPr>
            <w:tcW w:type="dxa" w:w="54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Baseline Comparison and Activation Gates</w:t>
            </w:r>
          </w:p>
        </w:tc>
        <w:tc>
          <w:tcPr>
            <w:tcW w:type="dxa" w:w="141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t>
            </w:r>
          </w:p>
        </w:tc>
      </w:tr>
    </w:tbl>
    <w:p/>
    <w:p>
      <w:pPr>
        <w:keepNext w:val="0"/>
        <w:keepLines w:val="0"/>
        <w:spacing w:line="360" w:lineRule="auto" w:after="160" w:before="0"/>
        <w:jc w:val="both"/>
      </w:pPr>
      <w:r>
        <w:rPr>
          <w:rFonts w:ascii="Times New Roman" w:hAnsi="Times New Roman" w:cs="Times New Roman"/>
          <w:b w:val="0"/>
          <w:i/>
          <w:color w:val="000000"/>
          <w:sz w:val="24"/>
        </w:rPr>
        <w:t>Listings 4.5 and 4.6 show the implemented training and evaluation path. They do not represent an executed production training run or substitute for the missing authorised dataset and model evidence.</w:t>
      </w:r>
    </w:p>
    <w:p>
      <w:pPr>
        <w:pStyle w:val="Heading1"/>
        <w:pageBreakBefore/>
        <w:spacing w:line="360" w:lineRule="auto" w:before="360" w:after="120"/>
        <w:jc w:val="center"/>
      </w:pPr>
      <w:r>
        <w:rPr>
          <w:rFonts w:ascii="Times New Roman" w:hAnsi="Times New Roman" w:cs="Times New Roman"/>
          <w:b/>
          <w:i w:val="0"/>
          <w:color w:val="000000"/>
          <w:sz w:val="32"/>
        </w:rPr>
        <w:t>LIST OF ABBREVIATIONS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501"/>
        <w:gridCol w:w="6405"/>
      </w:tblGrid>
      <w:tr>
        <w:trPr>
          <w:tblHeader w:val="true"/>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Abbreviation</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Full Meaning</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2FA</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Two-Factor Authentication</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AI</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Artificial Intelligence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API</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Application Programming Interface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CRUD</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Create, Read, Update, Delete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CSS</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Cascading Style Sheets</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ERD</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Entity-Relationship Diagram</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HMAC</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Hash-based Message Authentication Code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HTML</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HyperText Markup Language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HTTP</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HyperText Transfer Protocol</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JSON</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JavaScript Object Notation</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LLM</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Large Language Model</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ML</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Machine Learning</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MVC</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Model-View-Controller</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NGN</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Nigerian Naira</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ORM</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Object-Relational Mapping</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PHP</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PHP: Hypertext Preprocessor</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RBAC</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Role-Based Access Control</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REST</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Representational State Transfer</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SaaS</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Software as a Service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SHA</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Secure Hash Algorithm</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SPA</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Single Page Application</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SQL</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Structured Query Language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SSR</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Server-Side Rendering</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UI</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User Interface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UX</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User Experience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WebAuthn</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Web Authentication</w:t>
            </w:r>
          </w:p>
        </w:tc>
      </w:tr>
    </w:tbl>
    <w:p/>
    <w:p>
      <w:pPr>
        <w:pStyle w:val="Heading1"/>
        <w:pageBreakBefore/>
        <w:spacing w:line="360" w:lineRule="auto" w:before="360" w:after="120"/>
        <w:jc w:val="center"/>
      </w:pPr>
      <w:r>
        <w:rPr>
          <w:rFonts w:ascii="Times New Roman" w:hAnsi="Times New Roman" w:cs="Times New Roman"/>
          <w:b/>
          <w:i w:val="0"/>
          <w:color w:val="000000"/>
          <w:sz w:val="32"/>
        </w:rPr>
        <w:t>CHAPTER ONE</w:t>
      </w:r>
    </w:p>
    <w:p>
      <w:pPr>
        <w:pStyle w:val="Heading2"/>
        <w:spacing w:line="360" w:lineRule="auto" w:before="360" w:after="120"/>
        <w:jc w:val="center"/>
      </w:pPr>
      <w:r>
        <w:rPr>
          <w:rFonts w:ascii="Times New Roman" w:hAnsi="Times New Roman" w:cs="Times New Roman"/>
          <w:b/>
          <w:i w:val="0"/>
          <w:color w:val="000000"/>
          <w:sz w:val="28"/>
        </w:rPr>
        <w:t>INTRODUCTION</w:t>
      </w:r>
    </w:p>
    <w:p>
      <w:pPr>
        <w:pStyle w:val="Heading3"/>
        <w:spacing w:line="360" w:lineRule="auto" w:before="240" w:after="120"/>
        <w:jc w:val="both"/>
      </w:pPr>
      <w:r>
        <w:rPr>
          <w:rFonts w:ascii="Times New Roman" w:hAnsi="Times New Roman" w:cs="Times New Roman"/>
          <w:b/>
          <w:i w:val="0"/>
          <w:color w:val="000000"/>
          <w:sz w:val="24"/>
        </w:rPr>
        <w:t>1.1 Background to the Study</w:t>
      </w:r>
    </w:p>
    <w:p>
      <w:pPr>
        <w:keepNext w:val="0"/>
        <w:keepLines w:val="0"/>
        <w:spacing w:line="360" w:lineRule="auto" w:after="160" w:before="0"/>
        <w:jc w:val="both"/>
      </w:pPr>
      <w:r>
        <w:rPr>
          <w:rFonts w:ascii="Times New Roman" w:hAnsi="Times New Roman" w:cs="Times New Roman"/>
          <w:b w:val="0"/>
          <w:i w:val="0"/>
          <w:color w:val="000000"/>
          <w:sz w:val="24"/>
        </w:rPr>
        <w:t>Digital finance has changed how people save, transfer money, and keep records, yet many collective financial practices still depend on informal administration. Across Sub-Saharan Africa, households and small groups continue to rely on cooperative saving, rotating contributions, mutual aid, and family-level support systems because these arrangements are close to the people who use them and are flexible enough to respond to emergencies. Recent studies on financial inclusion still show that informal savings and group-based financial arrangements remain relevant in Nigeria, especially where formal products are too expensive, too distant, or not trusted enough for everyday use (Demirgüç-Kunt et al., 2022; EFInA, 2023; Kouandou &amp; Zeh, 2024).</w:t>
      </w:r>
    </w:p>
    <w:p>
      <w:pPr>
        <w:keepNext w:val="0"/>
        <w:keepLines w:val="0"/>
        <w:spacing w:line="360" w:lineRule="auto" w:after="160" w:before="0"/>
        <w:jc w:val="both"/>
      </w:pPr>
      <w:r>
        <w:rPr>
          <w:rFonts w:ascii="Times New Roman" w:hAnsi="Times New Roman" w:cs="Times New Roman"/>
          <w:b w:val="0"/>
          <w:i w:val="0"/>
          <w:color w:val="000000"/>
          <w:sz w:val="24"/>
        </w:rPr>
        <w:t>Nigeria has a long history of collective finance. The Yoruba ajo and esusu systems, the Hausa adashi, and similar community-based arrangements are usually built on periodic contributions, social pressure, and shared expectations of fairness (Akanji, 2006; Iganiga &amp; Asemota, 2008; Oloyede, 2008). Some of these systems are rotating, where members take turns receiving the pooled amount. Others are non-rotating and exist mainly as a common purse for emergencies, ceremonies, school fees, medical bills, property maintenance, or family welfare. This second arrangement is the focus of this project. It is referred to in this study as a family fund or family purse.</w:t>
      </w:r>
    </w:p>
    <w:p>
      <w:pPr>
        <w:keepNext w:val="0"/>
        <w:keepLines w:val="0"/>
        <w:spacing w:line="360" w:lineRule="auto" w:after="160" w:before="0"/>
        <w:jc w:val="both"/>
      </w:pPr>
      <w:r>
        <w:rPr>
          <w:rFonts w:ascii="Times New Roman" w:hAnsi="Times New Roman" w:cs="Times New Roman"/>
          <w:b w:val="0"/>
          <w:i w:val="0"/>
          <w:color w:val="000000"/>
          <w:sz w:val="24"/>
        </w:rPr>
        <w:t>Although family funds are socially important, their administration is still mostly manual. A family may keep a notebook, a spreadsheet, a WhatsApp thread, or a mixture of all three. These tools are convenient at first, but they are weak as financial records. They do not enforce roles, they do not allocate partial payments consistently, they do not produce reliable audit trails, and they are difficult to review when disputes arise. A payment screenshot posted in a messaging group may prove that money was sent, but it does not show which month the payment covers, whether it clears an old balance, or whether the family treasurer has updated the record correctly.</w:t>
      </w:r>
    </w:p>
    <w:p>
      <w:pPr>
        <w:keepNext w:val="0"/>
        <w:keepLines w:val="0"/>
        <w:spacing w:line="360" w:lineRule="auto" w:after="160" w:before="0"/>
        <w:jc w:val="both"/>
      </w:pPr>
      <w:r>
        <w:rPr>
          <w:rFonts w:ascii="Times New Roman" w:hAnsi="Times New Roman" w:cs="Times New Roman"/>
          <w:b w:val="0"/>
          <w:i w:val="0"/>
          <w:color w:val="000000"/>
          <w:sz w:val="24"/>
        </w:rPr>
        <w:t>At the same time, Nigeria's digital financial services market has grown rapidly. Payment gateways and savings platforms have made online transactions familiar to many users, while the policy discussion around financial inclusion increasingly recognises digital channels as a route to wider access (Wezel &amp; Ree, 2023). However, most popular platforms are designed either for individual savers or for formal lending and cooperative structures. PiggyVest and Cowrywise support personal saving and investment; CreditClan and Lendsqr focus more on formal lending infrastructure. None of these tools is designed primarily for informal family contribution funds with tiered member contributions, family-level roles, partial payments, expenses, reminders, and transparent reporting.</w:t>
      </w:r>
    </w:p>
    <w:p>
      <w:pPr>
        <w:keepNext w:val="0"/>
        <w:keepLines w:val="0"/>
        <w:spacing w:line="360" w:lineRule="auto" w:after="160" w:before="0"/>
        <w:jc w:val="both"/>
      </w:pPr>
      <w:r>
        <w:rPr>
          <w:rFonts w:ascii="Times New Roman" w:hAnsi="Times New Roman" w:cs="Times New Roman"/>
          <w:b w:val="0"/>
          <w:i w:val="0"/>
          <w:color w:val="000000"/>
          <w:sz w:val="24"/>
        </w:rPr>
        <w:t>Modern software architecture makes it possible to address this gap. A multi-tenant web application can allow many families to use one platform while keeping each family's data logically separate. Role-based access control can distinguish the work of a family administrator, a financial secretary, and an ordinary member. Payment gateways such as Paystack can support online contributions, while PostgreSQL can provide structured relational storage for members, contributions, payments, expenses, and reports. In addition, recent advances in artificial intelligence make it possible to add controlled assistant features and plain-language report summaries, provided the system protects financial data and avoids unsupported claims in AI output (Brown et al., 2020; Kang &amp; Liu, 2023).</w:t>
      </w:r>
    </w:p>
    <w:p>
      <w:pPr>
        <w:keepNext w:val="0"/>
        <w:keepLines w:val="0"/>
        <w:spacing w:line="360" w:lineRule="auto" w:after="160" w:before="0"/>
        <w:jc w:val="both"/>
      </w:pPr>
      <w:r>
        <w:rPr>
          <w:rFonts w:ascii="Times New Roman" w:hAnsi="Times New Roman" w:cs="Times New Roman"/>
          <w:b w:val="0"/>
          <w:i w:val="0"/>
          <w:color w:val="000000"/>
          <w:sz w:val="24"/>
        </w:rPr>
        <w:t>This study therefore proposes FamilyFunds, an AI-enhanced multi-tenant family fund management system. The project is not merely a record book moved online. It is a structured system for managing contribution categories, generating monthly obligations, recording online and offline payments, allocating partial payments to the oldest outstanding balances first, tracking expenses and adjustments, producing reports, and giving authorised users secure access to the information they need. The work is timely because family funds remain socially useful, manual administration remains fragile, and the available digital tools still do not reflect the way many Nigerian families organise shared financial responsibility.</w:t>
      </w:r>
    </w:p>
    <w:p>
      <w:pPr>
        <w:pStyle w:val="Heading3"/>
        <w:spacing w:line="360" w:lineRule="auto" w:before="240" w:after="120"/>
        <w:jc w:val="both"/>
      </w:pPr>
      <w:r>
        <w:rPr>
          <w:rFonts w:ascii="Times New Roman" w:hAnsi="Times New Roman" w:cs="Times New Roman"/>
          <w:b/>
          <w:i w:val="0"/>
          <w:color w:val="000000"/>
          <w:sz w:val="24"/>
        </w:rPr>
        <w:t>1.2 Statement of the Problem</w:t>
      </w:r>
    </w:p>
    <w:p>
      <w:pPr>
        <w:keepNext w:val="0"/>
        <w:keepLines w:val="0"/>
        <w:spacing w:line="360" w:lineRule="auto" w:after="160" w:before="0"/>
        <w:jc w:val="both"/>
      </w:pPr>
      <w:r>
        <w:rPr>
          <w:rFonts w:ascii="Times New Roman" w:hAnsi="Times New Roman" w:cs="Times New Roman"/>
          <w:b w:val="0"/>
          <w:i w:val="0"/>
          <w:color w:val="000000"/>
          <w:sz w:val="24"/>
        </w:rPr>
        <w:t>Family contribution funds are often trusted because they are managed within a family, but that same informality creates administrative weaknesses. The person keeping the records may be honest and committed, yet mistakes can still occur when payments are late, partial, or made through different channels. A notebook can be misplaced. A spreadsheet can be overwritten. A WhatsApp message can be buried under hundreds of unrelated messages. Once the record is unclear, family members may disagree about who has paid, how much is outstanding, and whether expenses were properly authorised.</w:t>
      </w:r>
    </w:p>
    <w:p>
      <w:pPr>
        <w:keepNext w:val="0"/>
        <w:keepLines w:val="0"/>
        <w:spacing w:line="360" w:lineRule="auto" w:after="160" w:before="0"/>
        <w:jc w:val="both"/>
      </w:pPr>
      <w:r>
        <w:rPr>
          <w:rFonts w:ascii="Times New Roman" w:hAnsi="Times New Roman" w:cs="Times New Roman"/>
          <w:b w:val="0"/>
          <w:i w:val="0"/>
          <w:color w:val="000000"/>
          <w:sz w:val="24"/>
        </w:rPr>
        <w:t>The problem is not simply that family funds lack software. The deeper problem is that existing software does not fit the structure of the practice. Individual savings applications do not support shared governance. Lending platforms are built for formal credit operations rather than informal family welfare. Generic spreadsheets allow calculations but do not enforce tenant isolation, member roles, invitations, payment verification, or audit-friendly records. As a result, families continue to manage money through tools that were never designed for the trust and accountability demands of a family purse.</w:t>
      </w:r>
    </w:p>
    <w:p>
      <w:pPr>
        <w:keepNext w:val="0"/>
        <w:keepLines w:val="0"/>
        <w:spacing w:line="360" w:lineRule="auto" w:after="160" w:before="0"/>
        <w:jc w:val="both"/>
      </w:pPr>
      <w:r>
        <w:rPr>
          <w:rFonts w:ascii="Times New Roman" w:hAnsi="Times New Roman" w:cs="Times New Roman"/>
          <w:b w:val="0"/>
          <w:i w:val="0"/>
          <w:color w:val="000000"/>
          <w:sz w:val="24"/>
        </w:rPr>
        <w:t>Table 1.1 compares common digital finance tools with the requirements of the proposed system.</w:t>
      </w:r>
    </w:p>
    <w:p>
      <w:pPr>
        <w:keepNext/>
        <w:keepLines w:val="0"/>
        <w:spacing w:line="360" w:lineRule="auto" w:after="160" w:before="0"/>
        <w:jc w:val="center"/>
      </w:pPr>
      <w:r>
        <w:rPr>
          <w:rFonts w:ascii="Times New Roman" w:hAnsi="Times New Roman" w:cs="Times New Roman"/>
          <w:b/>
          <w:i w:val="0"/>
          <w:color w:val="000000"/>
          <w:sz w:val="24"/>
        </w:rPr>
        <w:t>Table 1.1: Comparison of Existing Financial Management Platforms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47"/>
        <w:gridCol w:w="1092"/>
        <w:gridCol w:w="1092"/>
        <w:gridCol w:w="1555"/>
        <w:gridCol w:w="1234"/>
        <w:gridCol w:w="1986"/>
      </w:tblGrid>
      <w:tr>
        <w:trPr>
          <w:tblHeader w:val="true"/>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Feature</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PiggyVest</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Cowrywise</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CreditClan</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Lendsqr</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FamilyFunds</w:t>
            </w:r>
          </w:p>
        </w:tc>
      </w:tr>
      <w:tr>
        <w:trPr>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Main user focus</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Individuals</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Individuals</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Cooperatives and lenders</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lenders</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groups</w:t>
            </w:r>
          </w:p>
        </w:tc>
      </w:tr>
      <w:tr>
        <w:trPr>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workspace isolation</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Tiered contribution categories</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Admin, secretary, and member roles</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 payment allocation</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Expense and adjustment tracking</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Online payment support</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Family-readable reports</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assistant or narrative summaries</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analytics</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Activation-gated logistic regression</w:t>
            </w:r>
          </w:p>
        </w:tc>
      </w:tr>
    </w:tbl>
    <w:p/>
    <w:p>
      <w:pPr>
        <w:keepNext w:val="0"/>
        <w:keepLines w:val="0"/>
        <w:spacing w:line="360" w:lineRule="auto" w:after="160" w:before="0"/>
        <w:jc w:val="both"/>
      </w:pPr>
      <w:r>
        <w:rPr>
          <w:rFonts w:ascii="Times New Roman" w:hAnsi="Times New Roman" w:cs="Times New Roman"/>
          <w:b w:val="0"/>
          <w:i w:val="0"/>
          <w:color w:val="000000"/>
          <w:sz w:val="24"/>
        </w:rPr>
        <w:t>The specific problem addressed in this study is the absence of a purpose-built, secure, and intelligent digital system for managing informal family contribution funds. Existing tools do not combine multi-tenant family separation, role-based governance, tiered contribution tracking, deterministic payment allocation, expense management, online payment support, and understandable reporting in one system. This gap exposes families to inaccurate records, weak accountability, delayed follow-up, and avoidable disputes.</w:t>
      </w:r>
    </w:p>
    <w:p>
      <w:pPr>
        <w:pStyle w:val="Heading3"/>
        <w:spacing w:line="360" w:lineRule="auto" w:before="240" w:after="120"/>
        <w:jc w:val="both"/>
      </w:pPr>
      <w:r>
        <w:rPr>
          <w:rFonts w:ascii="Times New Roman" w:hAnsi="Times New Roman" w:cs="Times New Roman"/>
          <w:b/>
          <w:i w:val="0"/>
          <w:color w:val="000000"/>
          <w:sz w:val="24"/>
        </w:rPr>
        <w:t>1.3 Aim of the Study</w:t>
      </w:r>
    </w:p>
    <w:p>
      <w:pPr>
        <w:keepNext w:val="0"/>
        <w:keepLines w:val="0"/>
        <w:spacing w:line="360" w:lineRule="auto" w:after="160" w:before="0"/>
        <w:jc w:val="both"/>
      </w:pPr>
      <w:r>
        <w:rPr>
          <w:rFonts w:ascii="Times New Roman" w:hAnsi="Times New Roman" w:cs="Times New Roman"/>
          <w:b w:val="0"/>
          <w:i w:val="0"/>
          <w:color w:val="000000"/>
          <w:sz w:val="24"/>
        </w:rPr>
        <w:t>The aim of this study is to design and implement FamilyFunds, an AI-enhanced multi-tenant web application for managing family contribution funds with secure member access, structured contribution tracking, payment allocation, expense recording, reminders, and financial reporting.</w:t>
      </w:r>
    </w:p>
    <w:p>
      <w:pPr>
        <w:pStyle w:val="Heading3"/>
        <w:spacing w:line="360" w:lineRule="auto" w:before="240" w:after="120"/>
        <w:jc w:val="both"/>
      </w:pPr>
      <w:r>
        <w:rPr>
          <w:rFonts w:ascii="Times New Roman" w:hAnsi="Times New Roman" w:cs="Times New Roman"/>
          <w:b/>
          <w:i w:val="0"/>
          <w:color w:val="000000"/>
          <w:sz w:val="24"/>
        </w:rPr>
        <w:t>1.4 Objectives of the Study</w:t>
      </w:r>
    </w:p>
    <w:p>
      <w:pPr>
        <w:keepNext w:val="0"/>
        <w:keepLines w:val="0"/>
        <w:spacing w:line="360" w:lineRule="auto" w:after="160" w:before="0"/>
        <w:jc w:val="both"/>
      </w:pPr>
      <w:r>
        <w:rPr>
          <w:rFonts w:ascii="Times New Roman" w:hAnsi="Times New Roman" w:cs="Times New Roman"/>
          <w:b w:val="0"/>
          <w:i w:val="0"/>
          <w:color w:val="000000"/>
          <w:sz w:val="24"/>
        </w:rPr>
        <w:t>The objectives of the study are to:</w:t>
      </w:r>
    </w:p>
    <w:p>
      <w:pPr>
        <w:keepNext w:val="0"/>
        <w:keepLines w:val="0"/>
        <w:spacing w:line="360" w:lineRule="auto" w:after="160" w:before="0"/>
        <w:jc w:val="both"/>
      </w:pPr>
      <w:r>
        <w:rPr>
          <w:rFonts w:ascii="Times New Roman" w:hAnsi="Times New Roman" w:cs="Times New Roman"/>
          <w:b w:val="0"/>
          <w:i w:val="0"/>
          <w:color w:val="000000"/>
          <w:sz w:val="24"/>
        </w:rPr>
        <w:t>1. Review the management practices, digital tools, and literature related to informal savings groups, family contribution funds, multi-tenant systems, access control, payments, and AI-supported reporting.</w:t>
      </w:r>
    </w:p>
    <w:p>
      <w:pPr>
        <w:keepNext w:val="0"/>
        <w:keepLines w:val="0"/>
        <w:spacing w:line="360" w:lineRule="auto" w:after="160" w:before="0"/>
        <w:jc w:val="both"/>
      </w:pPr>
      <w:r>
        <w:rPr>
          <w:rFonts w:ascii="Times New Roman" w:hAnsi="Times New Roman" w:cs="Times New Roman"/>
          <w:b w:val="0"/>
          <w:i w:val="0"/>
          <w:color w:val="000000"/>
          <w:sz w:val="24"/>
        </w:rPr>
        <w:t>2. Design a multi-tenant family fund management system with logical data isolation, role-based access control, contribution categories, payment allocation rules, reporting, and secure user access.</w:t>
      </w:r>
    </w:p>
    <w:p>
      <w:pPr>
        <w:keepNext w:val="0"/>
        <w:keepLines w:val="0"/>
        <w:spacing w:line="360" w:lineRule="auto" w:after="160" w:before="0"/>
        <w:jc w:val="both"/>
      </w:pPr>
      <w:r>
        <w:rPr>
          <w:rFonts w:ascii="Times New Roman" w:hAnsi="Times New Roman" w:cs="Times New Roman"/>
          <w:b w:val="0"/>
          <w:i w:val="0"/>
          <w:color w:val="000000"/>
          <w:sz w:val="24"/>
        </w:rPr>
        <w:t>3. Implement the proposed system using Laravel, Vue.js, Inertia.js, PostgreSQL, Paystack, Laravel Fortify, Laravel AI SDK, and related development tools.</w:t>
      </w:r>
    </w:p>
    <w:p>
      <w:pPr>
        <w:keepNext w:val="0"/>
        <w:keepLines w:val="0"/>
        <w:spacing w:line="360" w:lineRule="auto" w:after="160" w:before="0"/>
        <w:jc w:val="both"/>
      </w:pPr>
      <w:r>
        <w:rPr>
          <w:rFonts w:ascii="Times New Roman" w:hAnsi="Times New Roman" w:cs="Times New Roman"/>
          <w:b w:val="0"/>
          <w:i w:val="0"/>
          <w:color w:val="000000"/>
          <w:sz w:val="24"/>
        </w:rPr>
        <w:t>4. Integrate AI assistant and report-summary features in a controlled way that respects role permissions and uses available family fund data.</w:t>
      </w:r>
    </w:p>
    <w:p>
      <w:pPr>
        <w:keepNext w:val="0"/>
        <w:keepLines w:val="0"/>
        <w:spacing w:line="360" w:lineRule="auto" w:after="160" w:before="0"/>
        <w:jc w:val="both"/>
      </w:pPr>
      <w:r>
        <w:rPr>
          <w:rFonts w:ascii="Times New Roman" w:hAnsi="Times New Roman" w:cs="Times New Roman"/>
          <w:b w:val="0"/>
          <w:i w:val="0"/>
          <w:color w:val="000000"/>
          <w:sz w:val="24"/>
        </w:rPr>
        <w:t>5. Implement an activation-gated logistic regression component that estimates whether a monthly contribution will still have a system-recorded outstanding balance at the end of its due date and evaluate it, when an authorised historical dataset is available, against training-prevalence and previous-period-late baselines using accuracy, precision, recall, F1-score, calibration, and discrimination metrics.</w:t>
      </w:r>
    </w:p>
    <w:p>
      <w:pPr>
        <w:keepNext w:val="0"/>
        <w:keepLines w:val="0"/>
        <w:spacing w:line="360" w:lineRule="auto" w:after="160" w:before="0"/>
        <w:jc w:val="both"/>
      </w:pPr>
      <w:r>
        <w:rPr>
          <w:rFonts w:ascii="Times New Roman" w:hAnsi="Times New Roman" w:cs="Times New Roman"/>
          <w:b w:val="0"/>
          <w:i w:val="0"/>
          <w:color w:val="000000"/>
          <w:sz w:val="24"/>
        </w:rPr>
        <w:t>6. Test the system against key requirements, including tenant isolation, role enforcement, payment allocation correctness, report accuracy, authentication security, and usability.</w:t>
      </w:r>
    </w:p>
    <w:p>
      <w:pPr>
        <w:pStyle w:val="Heading3"/>
        <w:spacing w:line="360" w:lineRule="auto" w:before="240" w:after="120"/>
        <w:jc w:val="both"/>
      </w:pPr>
      <w:r>
        <w:rPr>
          <w:rFonts w:ascii="Times New Roman" w:hAnsi="Times New Roman" w:cs="Times New Roman"/>
          <w:b/>
          <w:i w:val="0"/>
          <w:color w:val="000000"/>
          <w:sz w:val="24"/>
        </w:rPr>
        <w:t>1.5 Research Questions</w:t>
      </w:r>
    </w:p>
    <w:p>
      <w:pPr>
        <w:keepNext w:val="0"/>
        <w:keepLines w:val="0"/>
        <w:spacing w:line="360" w:lineRule="auto" w:after="160" w:before="0"/>
        <w:jc w:val="both"/>
      </w:pPr>
      <w:r>
        <w:rPr>
          <w:rFonts w:ascii="Times New Roman" w:hAnsi="Times New Roman" w:cs="Times New Roman"/>
          <w:b w:val="0"/>
          <w:i w:val="0"/>
          <w:color w:val="000000"/>
          <w:sz w:val="24"/>
        </w:rPr>
        <w:t>The study is guided by the following research questions:</w:t>
      </w:r>
    </w:p>
    <w:p>
      <w:pPr>
        <w:keepNext w:val="0"/>
        <w:keepLines w:val="0"/>
        <w:spacing w:line="360" w:lineRule="auto" w:after="160" w:before="0"/>
        <w:jc w:val="both"/>
      </w:pPr>
      <w:r>
        <w:rPr>
          <w:rFonts w:ascii="Times New Roman" w:hAnsi="Times New Roman" w:cs="Times New Roman"/>
          <w:b w:val="0"/>
          <w:i w:val="0"/>
          <w:color w:val="000000"/>
          <w:sz w:val="24"/>
        </w:rPr>
        <w:t>1. What design features are required for a web-based system to manage informal family contribution funds securely and transparently?</w:t>
      </w:r>
    </w:p>
    <w:p>
      <w:pPr>
        <w:keepNext w:val="0"/>
        <w:keepLines w:val="0"/>
        <w:spacing w:line="360" w:lineRule="auto" w:after="160" w:before="0"/>
        <w:jc w:val="both"/>
      </w:pPr>
      <w:r>
        <w:rPr>
          <w:rFonts w:ascii="Times New Roman" w:hAnsi="Times New Roman" w:cs="Times New Roman"/>
          <w:b w:val="0"/>
          <w:i w:val="0"/>
          <w:color w:val="000000"/>
          <w:sz w:val="24"/>
        </w:rPr>
        <w:t>2. How can multi-tenant architecture and role-based access control be applied to protect the records of separate family groups on one platform?</w:t>
      </w:r>
    </w:p>
    <w:p>
      <w:pPr>
        <w:keepNext w:val="0"/>
        <w:keepLines w:val="0"/>
        <w:spacing w:line="360" w:lineRule="auto" w:after="160" w:before="0"/>
        <w:jc w:val="both"/>
      </w:pPr>
      <w:r>
        <w:rPr>
          <w:rFonts w:ascii="Times New Roman" w:hAnsi="Times New Roman" w:cs="Times New Roman"/>
          <w:b w:val="0"/>
          <w:i w:val="0"/>
          <w:color w:val="000000"/>
          <w:sz w:val="24"/>
        </w:rPr>
        <w:t>3. How can partial and lump-sum payments be allocated consistently across outstanding contribution balances?</w:t>
      </w:r>
    </w:p>
    <w:p>
      <w:pPr>
        <w:keepNext w:val="0"/>
        <w:keepLines w:val="0"/>
        <w:spacing w:line="360" w:lineRule="auto" w:after="160" w:before="0"/>
        <w:jc w:val="both"/>
      </w:pPr>
      <w:r>
        <w:rPr>
          <w:rFonts w:ascii="Times New Roman" w:hAnsi="Times New Roman" w:cs="Times New Roman"/>
          <w:b w:val="0"/>
          <w:i w:val="0"/>
          <w:color w:val="000000"/>
          <w:sz w:val="24"/>
        </w:rPr>
        <w:t>4. To what extent can AI assistant and report-summary features improve access to understandable family fund information without exposing unauthorised data?</w:t>
      </w:r>
    </w:p>
    <w:p>
      <w:pPr>
        <w:keepNext w:val="0"/>
        <w:keepLines w:val="0"/>
        <w:spacing w:line="360" w:lineRule="auto" w:after="160" w:before="0"/>
        <w:jc w:val="both"/>
      </w:pPr>
      <w:r>
        <w:rPr>
          <w:rFonts w:ascii="Times New Roman" w:hAnsi="Times New Roman" w:cs="Times New Roman"/>
          <w:b w:val="0"/>
          <w:i w:val="0"/>
          <w:color w:val="000000"/>
          <w:sz w:val="24"/>
        </w:rPr>
        <w:t>5. How does logistic regression perform against training-prevalence and previous-period-late baselines when predicting whether a monthly contribution will still have a system-recorded outstanding balance at the end of its due date from authorised historical records?</w:t>
      </w:r>
    </w:p>
    <w:p>
      <w:pPr>
        <w:keepNext w:val="0"/>
        <w:keepLines w:val="0"/>
        <w:spacing w:line="360" w:lineRule="auto" w:after="160" w:before="0"/>
        <w:jc w:val="both"/>
      </w:pPr>
      <w:r>
        <w:rPr>
          <w:rFonts w:ascii="Times New Roman" w:hAnsi="Times New Roman" w:cs="Times New Roman"/>
          <w:b w:val="0"/>
          <w:i w:val="0"/>
          <w:color w:val="000000"/>
          <w:sz w:val="24"/>
        </w:rPr>
        <w:t>6. How can the system be tested to confirm that it meets functional, security, reliability, and usability requirements?</w:t>
      </w:r>
    </w:p>
    <w:p>
      <w:pPr>
        <w:pStyle w:val="Heading3"/>
        <w:spacing w:line="360" w:lineRule="auto" w:before="240" w:after="120"/>
        <w:jc w:val="both"/>
      </w:pPr>
      <w:r>
        <w:rPr>
          <w:rFonts w:ascii="Times New Roman" w:hAnsi="Times New Roman" w:cs="Times New Roman"/>
          <w:b/>
          <w:i w:val="0"/>
          <w:color w:val="000000"/>
          <w:sz w:val="24"/>
        </w:rPr>
        <w:t>1.7 Significance of the Study</w:t>
      </w:r>
    </w:p>
    <w:p>
      <w:pPr>
        <w:keepNext w:val="0"/>
        <w:keepLines w:val="0"/>
        <w:spacing w:line="360" w:lineRule="auto" w:after="160" w:before="0"/>
        <w:jc w:val="both"/>
      </w:pPr>
      <w:r>
        <w:rPr>
          <w:rFonts w:ascii="Times New Roman" w:hAnsi="Times New Roman" w:cs="Times New Roman"/>
          <w:b w:val="0"/>
          <w:i w:val="0"/>
          <w:color w:val="000000"/>
          <w:sz w:val="24"/>
        </w:rPr>
        <w:t>This study is significant to Nigerian families that maintain contribution funds because it addresses a problem that is often treated as a private inconvenience rather than a software design challenge. A family fund may be informal, but the money involved is real and the social consequences of inaccurate records can be serious. FamilyFunds provides a clearer structure: administrators manage settings and members, financial secretaries record operational transactions, and members can view their own obligations and payment history. This can reduce disputes and improve confidence in the fund.</w:t>
      </w:r>
    </w:p>
    <w:p>
      <w:pPr>
        <w:keepNext w:val="0"/>
        <w:keepLines w:val="0"/>
        <w:spacing w:line="360" w:lineRule="auto" w:after="160" w:before="0"/>
        <w:jc w:val="both"/>
      </w:pPr>
      <w:r>
        <w:rPr>
          <w:rFonts w:ascii="Times New Roman" w:hAnsi="Times New Roman" w:cs="Times New Roman"/>
          <w:b w:val="0"/>
          <w:i w:val="0"/>
          <w:color w:val="000000"/>
          <w:sz w:val="24"/>
        </w:rPr>
        <w:t>The project is also useful to software engineering practice. It demonstrates how a modern Laravel and Vue application can be designed as a multi-tenant financial record system with tenant scoping, policy-based permissions, Paystack payment handling, PostgreSQL relational storage, scheduled contribution generation, reminders, passkeys, two-factor authentication, and AI features. The implementation therefore provides a concrete case study for applying established software engineering principles to an under-served local problem.</w:t>
      </w:r>
    </w:p>
    <w:p>
      <w:pPr>
        <w:keepNext w:val="0"/>
        <w:keepLines w:val="0"/>
        <w:spacing w:line="360" w:lineRule="auto" w:after="160" w:before="0"/>
        <w:jc w:val="both"/>
      </w:pPr>
      <w:r>
        <w:rPr>
          <w:rFonts w:ascii="Times New Roman" w:hAnsi="Times New Roman" w:cs="Times New Roman"/>
          <w:b w:val="0"/>
          <w:i w:val="0"/>
          <w:color w:val="000000"/>
          <w:sz w:val="24"/>
        </w:rPr>
        <w:t>Academically, the study contributes by connecting separate areas of literature: informal finance, SaaS multi-tenancy, access control, payment processing, financial reporting, and AI-assisted interfaces. The novelty of the work is not that any single technology is new, but that these technologies are brought together for the family fund context. That context matters because a family fund is neither an individual wallet nor a formal cooperative loan system. It has its own governance structure, payment patterns, trust boundaries, and reporting needs.</w:t>
      </w:r>
    </w:p>
    <w:p>
      <w:pPr>
        <w:keepNext w:val="0"/>
        <w:keepLines w:val="0"/>
        <w:spacing w:line="360" w:lineRule="auto" w:after="160" w:before="0"/>
        <w:jc w:val="both"/>
      </w:pPr>
      <w:r>
        <w:rPr>
          <w:rFonts w:ascii="Times New Roman" w:hAnsi="Times New Roman" w:cs="Times New Roman"/>
          <w:b w:val="0"/>
          <w:i w:val="0"/>
          <w:color w:val="000000"/>
          <w:sz w:val="24"/>
        </w:rPr>
        <w:t>The project may also benefit small community groups, religious associations, class sets, and workplace welfare groups that manage shared contributions without formal accounting systems. Although the design is centred on families, the underlying model can support any small group that needs transparent contributions, role-aware access, and simple financial reports.</w:t>
      </w:r>
    </w:p>
    <w:p>
      <w:pPr>
        <w:pStyle w:val="Heading3"/>
        <w:spacing w:line="360" w:lineRule="auto" w:before="240" w:after="120"/>
        <w:jc w:val="both"/>
      </w:pPr>
      <w:r>
        <w:rPr>
          <w:rFonts w:ascii="Times New Roman" w:hAnsi="Times New Roman" w:cs="Times New Roman"/>
          <w:b/>
          <w:i w:val="0"/>
          <w:color w:val="000000"/>
          <w:sz w:val="24"/>
        </w:rPr>
        <w:t>1.8 Scope of the Study</w:t>
      </w:r>
    </w:p>
    <w:p>
      <w:pPr>
        <w:keepNext w:val="0"/>
        <w:keepLines w:val="0"/>
        <w:spacing w:line="360" w:lineRule="auto" w:after="160" w:before="0"/>
        <w:jc w:val="both"/>
      </w:pPr>
      <w:r>
        <w:rPr>
          <w:rFonts w:ascii="Times New Roman" w:hAnsi="Times New Roman" w:cs="Times New Roman"/>
          <w:b w:val="0"/>
          <w:i w:val="0"/>
          <w:color w:val="000000"/>
          <w:sz w:val="24"/>
        </w:rPr>
        <w:t>The study covers the design and implementation of a web-based family fund management system. Each family is treated as a tenant, meaning that its records are separated from other families' records. The functional scope includes family workspace setup, member invitation, contribution category management, monthly contribution generation, manual payment recording, Paystack payment initiation and verification, oldest-balance-first payment allocation, expense tracking, fund adjustments, reminders, subscription plans, dashboards, reports, AI assistant support, and AI-assisted report summaries.</w:t>
      </w:r>
    </w:p>
    <w:p>
      <w:pPr>
        <w:keepNext w:val="0"/>
        <w:keepLines w:val="0"/>
        <w:spacing w:line="360" w:lineRule="auto" w:after="160" w:before="0"/>
        <w:jc w:val="both"/>
      </w:pPr>
      <w:r>
        <w:rPr>
          <w:rFonts w:ascii="Times New Roman" w:hAnsi="Times New Roman" w:cs="Times New Roman"/>
          <w:b w:val="0"/>
          <w:i w:val="0"/>
          <w:color w:val="000000"/>
          <w:sz w:val="24"/>
        </w:rPr>
        <w:t>The technical scope covers a Laravel 13 backend, Vue.js 3 frontend, Inertia.js 3 server-client bridge, PostgreSQL database, Tailwind CSS 4 styling, Laravel Fortify authentication, WebAuthn/passkeys, Paystack integration, Laravel AI SDK, Laravel Pennant feature flags, a Python 3.12/scikit-learn offline predictive package, Vite, Git, and Pest testing. The application is designed for web and mobile-browser access rather than native mobile deployment.</w:t>
      </w:r>
    </w:p>
    <w:p>
      <w:pPr>
        <w:keepNext w:val="0"/>
        <w:keepLines w:val="0"/>
        <w:spacing w:line="360" w:lineRule="auto" w:after="160" w:before="0"/>
        <w:jc w:val="both"/>
      </w:pPr>
      <w:r>
        <w:rPr>
          <w:rFonts w:ascii="Times New Roman" w:hAnsi="Times New Roman" w:cs="Times New Roman"/>
          <w:b w:val="0"/>
          <w:i w:val="0"/>
          <w:color w:val="000000"/>
          <w:sz w:val="24"/>
        </w:rPr>
        <w:t>The study does not cover cryptocurrency payments, direct bank API integration, tax computation, full double-entry accounting, regulatory management for formal cooperative societies, or multilingual interfaces. Predictive analytics is limited to an activation-gated logistic regression classifier and two transparent baselines: training prevalence and the member's previous-period-late state. The classifier may be trained and activated only when an authorised dataset passes minimum schema, history, class, and evaluation checks. The AI assistant and report-summary functions are treated as system features only where the application can ground the output in available family data and role permissions.</w:t>
      </w:r>
    </w:p>
    <w:p>
      <w:pPr>
        <w:pStyle w:val="Heading3"/>
        <w:spacing w:line="360" w:lineRule="auto" w:before="240" w:after="120"/>
        <w:jc w:val="both"/>
      </w:pPr>
      <w:r>
        <w:rPr>
          <w:rFonts w:ascii="Times New Roman" w:hAnsi="Times New Roman" w:cs="Times New Roman"/>
          <w:b/>
          <w:i w:val="0"/>
          <w:color w:val="000000"/>
          <w:sz w:val="24"/>
        </w:rPr>
        <w:t>1.9 Limitations of the Study</w:t>
      </w:r>
    </w:p>
    <w:p>
      <w:pPr>
        <w:keepNext w:val="0"/>
        <w:keepLines w:val="0"/>
        <w:spacing w:line="360" w:lineRule="auto" w:after="160" w:before="0"/>
        <w:jc w:val="both"/>
      </w:pPr>
      <w:r>
        <w:rPr>
          <w:rFonts w:ascii="Times New Roman" w:hAnsi="Times New Roman" w:cs="Times New Roman"/>
          <w:b w:val="0"/>
          <w:i w:val="0"/>
          <w:color w:val="000000"/>
          <w:sz w:val="24"/>
        </w:rPr>
        <w:t>The first limitation is internet dependency. FamilyFunds is a web application, so members need a working device and internet access. This may affect users in areas with unstable connectivity.</w:t>
      </w:r>
    </w:p>
    <w:p>
      <w:pPr>
        <w:keepNext w:val="0"/>
        <w:keepLines w:val="0"/>
        <w:spacing w:line="360" w:lineRule="auto" w:after="160" w:before="0"/>
        <w:jc w:val="both"/>
      </w:pPr>
      <w:r>
        <w:rPr>
          <w:rFonts w:ascii="Times New Roman" w:hAnsi="Times New Roman" w:cs="Times New Roman"/>
          <w:b w:val="0"/>
          <w:i w:val="0"/>
          <w:color w:val="000000"/>
          <w:sz w:val="24"/>
        </w:rPr>
        <w:t>The second limitation is payment-channel scope. Paystack is used as the online payment gateway because the project is designed around Nigerian use. Families outside Paystack-supported contexts would need other gateways.</w:t>
      </w:r>
    </w:p>
    <w:p>
      <w:pPr>
        <w:keepNext w:val="0"/>
        <w:keepLines w:val="0"/>
        <w:spacing w:line="360" w:lineRule="auto" w:after="160" w:before="0"/>
        <w:jc w:val="both"/>
      </w:pPr>
      <w:r>
        <w:rPr>
          <w:rFonts w:ascii="Times New Roman" w:hAnsi="Times New Roman" w:cs="Times New Roman"/>
          <w:b w:val="0"/>
          <w:i w:val="0"/>
          <w:color w:val="000000"/>
          <w:sz w:val="24"/>
        </w:rPr>
        <w:t>The third limitation is data availability for prediction. No private training CSV is stored in the report package, and a new family may not have enough historical contribution records or both outcome classes for defensible evaluation. The system can still track payments and produce reports, but the predictive component must remain unavailable until its data and quality gates are satisfied. This report therefore distinguishes implementation readiness from executed training and does not invent model metrics.</w:t>
      </w:r>
    </w:p>
    <w:p>
      <w:pPr>
        <w:keepNext w:val="0"/>
        <w:keepLines w:val="0"/>
        <w:spacing w:line="360" w:lineRule="auto" w:after="160" w:before="0"/>
        <w:jc w:val="both"/>
      </w:pPr>
      <w:r>
        <w:rPr>
          <w:rFonts w:ascii="Times New Roman" w:hAnsi="Times New Roman" w:cs="Times New Roman"/>
          <w:b w:val="0"/>
          <w:i w:val="0"/>
          <w:color w:val="000000"/>
          <w:sz w:val="24"/>
        </w:rPr>
        <w:t>The fourth limitation concerns AI output. Large Language Models can produce fluent but inaccurate responses if they are not constrained (Kang &amp; Liu, 2023). For this reason, AI features in FamilyFunds must be grounded in system data, limited by user permissions, and validated before they are trusted for financial decisions.</w:t>
      </w:r>
    </w:p>
    <w:p>
      <w:pPr>
        <w:keepNext w:val="0"/>
        <w:keepLines w:val="0"/>
        <w:spacing w:line="360" w:lineRule="auto" w:after="160" w:before="0"/>
        <w:jc w:val="both"/>
      </w:pPr>
      <w:r>
        <w:rPr>
          <w:rFonts w:ascii="Times New Roman" w:hAnsi="Times New Roman" w:cs="Times New Roman"/>
          <w:b w:val="0"/>
          <w:i w:val="0"/>
          <w:color w:val="000000"/>
          <w:sz w:val="24"/>
        </w:rPr>
        <w:t>The fifth limitation is project scale. The system is designed for multiple families, but very large-scale performance testing across thousands of tenants is beyond the scope of this study.</w:t>
      </w:r>
    </w:p>
    <w:p>
      <w:pPr>
        <w:pStyle w:val="Heading3"/>
        <w:spacing w:line="360" w:lineRule="auto" w:before="240" w:after="120"/>
        <w:jc w:val="both"/>
      </w:pPr>
      <w:r>
        <w:rPr>
          <w:rFonts w:ascii="Times New Roman" w:hAnsi="Times New Roman" w:cs="Times New Roman"/>
          <w:b/>
          <w:i w:val="0"/>
          <w:color w:val="000000"/>
          <w:sz w:val="24"/>
        </w:rPr>
        <w:t>1.10 Definition of Terms</w:t>
      </w:r>
    </w:p>
    <w:p>
      <w:pPr>
        <w:keepNext/>
        <w:keepLines w:val="0"/>
        <w:spacing w:line="360" w:lineRule="auto" w:after="160" w:before="0"/>
        <w:jc w:val="center"/>
      </w:pPr>
      <w:r>
        <w:rPr>
          <w:rFonts w:ascii="Times New Roman" w:hAnsi="Times New Roman" w:cs="Times New Roman"/>
          <w:b/>
          <w:i w:val="0"/>
          <w:color w:val="000000"/>
          <w:sz w:val="24"/>
        </w:rPr>
        <w:t>Table 1.2: Definition of Key Terms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702"/>
        <w:gridCol w:w="5204"/>
      </w:tblGrid>
      <w:tr>
        <w:trPr>
          <w:tblHeader w:val="true"/>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Term</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Definition</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 fund</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non-rotating pool of money contributed by family members for shared needs such as welfare, emergencies, ceremonies, and family projects.</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Tenant</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separate family workspace within the same application, with its own members, contribution records, payments, expenses, and reports.</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Multi-tenancy</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software architecture where one application serves many tenants while keeping their data and operations logically separated.</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Role-Based Access Control (RBAC)</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An access-control model where permissions are assigned according to user roles such as Administrator, Financial Secretary, and Member.</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Contribution category</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family-defined tier that determines how much a member is expected to contribute each month.</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 payment</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payment that is less than the full amount owed for one or more contribution periods.</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Oldest-balance-first allocation</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The rule that applies a payment to the earliest outstanding contribution balance before newer balances.</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gateway</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service that processes online payments between users, banks, cards, and the application. Paystack is used in this project.</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Large Language Model (LLM)</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An AI model capable of generating and interpreting human language. In this project, it supports assistant responses and report summaries.</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analytics</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The use of historical data to estimate future outcomes, such as whether a member is likely to miss a contribution deadline.</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WebAuthn/passkey</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browser-based authentication standard that uses public-key credentials, often linked to device biometrics or security keys.</w:t>
            </w:r>
          </w:p>
        </w:tc>
      </w:tr>
    </w:tbl>
    <w:p/>
    <w:p>
      <w:pPr>
        <w:pStyle w:val="Heading3"/>
        <w:spacing w:line="360" w:lineRule="auto" w:before="240" w:after="120"/>
        <w:jc w:val="both"/>
      </w:pPr>
      <w:r>
        <w:rPr>
          <w:rFonts w:ascii="Times New Roman" w:hAnsi="Times New Roman" w:cs="Times New Roman"/>
          <w:b/>
          <w:i w:val="0"/>
          <w:color w:val="000000"/>
          <w:sz w:val="24"/>
        </w:rPr>
        <w:t>1.11 Organisation of the Report</w:t>
      </w:r>
    </w:p>
    <w:p>
      <w:pPr>
        <w:keepNext w:val="0"/>
        <w:keepLines w:val="0"/>
        <w:spacing w:line="360" w:lineRule="auto" w:after="160" w:before="0"/>
        <w:jc w:val="both"/>
      </w:pPr>
      <w:r>
        <w:rPr>
          <w:rFonts w:ascii="Times New Roman" w:hAnsi="Times New Roman" w:cs="Times New Roman"/>
          <w:b w:val="0"/>
          <w:i w:val="0"/>
          <w:color w:val="000000"/>
          <w:sz w:val="24"/>
        </w:rPr>
        <w:t>This report is organised into five chapters. Chapter One introduces the problem, aim, objectives, research questions, significance, scope, limitations, and key terms. Chapter Two reviews informal finance, multi-tenancy, access control, payments, AI-assisted reporting, predictive analytics, and related systems. Chapter Three explains the methodology and design: development approach, requirements, data collection, architecture, UML diagrams, database, algorithms, tools, and ethics. Chapter Four presents system implementation, testing, results, and validation. Chapter Five summarises the study, conclusions, contributions, and recommendations.</w:t>
      </w:r>
    </w:p>
    <w:p>
      <w:pPr>
        <w:pStyle w:val="Heading1"/>
        <w:pageBreakBefore/>
        <w:spacing w:line="360" w:lineRule="auto" w:before="360" w:after="120"/>
        <w:jc w:val="center"/>
      </w:pPr>
      <w:r>
        <w:rPr>
          <w:rFonts w:ascii="Times New Roman" w:hAnsi="Times New Roman" w:cs="Times New Roman"/>
          <w:b/>
          <w:i w:val="0"/>
          <w:color w:val="000000"/>
          <w:sz w:val="32"/>
        </w:rPr>
        <w:t>CHAPTER TWO</w:t>
      </w:r>
    </w:p>
    <w:p>
      <w:pPr>
        <w:pStyle w:val="Heading2"/>
        <w:spacing w:line="360" w:lineRule="auto" w:before="360" w:after="120"/>
        <w:jc w:val="center"/>
      </w:pPr>
      <w:r>
        <w:rPr>
          <w:rFonts w:ascii="Times New Roman" w:hAnsi="Times New Roman" w:cs="Times New Roman"/>
          <w:b/>
          <w:i w:val="0"/>
          <w:color w:val="000000"/>
          <w:sz w:val="28"/>
        </w:rPr>
        <w:t>LITERATURE REVIEW</w:t>
      </w:r>
    </w:p>
    <w:p>
      <w:pPr>
        <w:pStyle w:val="Heading3"/>
        <w:spacing w:line="360" w:lineRule="auto" w:before="240" w:after="120"/>
        <w:jc w:val="both"/>
      </w:pPr>
      <w:r>
        <w:rPr>
          <w:rFonts w:ascii="Times New Roman" w:hAnsi="Times New Roman" w:cs="Times New Roman"/>
          <w:b/>
          <w:i w:val="0"/>
          <w:color w:val="000000"/>
          <w:sz w:val="24"/>
        </w:rPr>
        <w:t>2.1 Introduction to the Chapter</w:t>
      </w:r>
    </w:p>
    <w:p>
      <w:pPr>
        <w:keepNext w:val="0"/>
        <w:keepLines w:val="0"/>
        <w:spacing w:line="360" w:lineRule="auto" w:after="160" w:before="0"/>
        <w:jc w:val="both"/>
      </w:pPr>
      <w:r>
        <w:rPr>
          <w:rFonts w:ascii="Times New Roman" w:hAnsi="Times New Roman" w:cs="Times New Roman"/>
          <w:b w:val="0"/>
          <w:i w:val="0"/>
          <w:color w:val="000000"/>
          <w:sz w:val="24"/>
        </w:rPr>
        <w:t>This chapter reviews the literature and existing systems that inform the design of FamilyFunds. It is organised around five connected themes: informal family and group finance, multi-tenant software architecture, role-based access control, digital payments, and AI-supported reporting and prediction. The purpose is not only to summarise prior work, but to show where existing research and tools are insufficient for informal family fund management. The chapter therefore moves from concepts and theory to empirical studies, existing platforms, comparative analysis, and the specific research gap addressed by this project.</w:t>
      </w:r>
    </w:p>
    <w:p>
      <w:pPr>
        <w:pStyle w:val="Heading3"/>
        <w:spacing w:line="360" w:lineRule="auto" w:before="240" w:after="120"/>
        <w:jc w:val="both"/>
      </w:pPr>
      <w:r>
        <w:rPr>
          <w:rFonts w:ascii="Times New Roman" w:hAnsi="Times New Roman" w:cs="Times New Roman"/>
          <w:b/>
          <w:i w:val="0"/>
          <w:color w:val="000000"/>
          <w:sz w:val="24"/>
        </w:rPr>
        <w:t>2.2 Conceptual Review</w:t>
      </w:r>
    </w:p>
    <w:p>
      <w:pPr>
        <w:pStyle w:val="Heading4"/>
        <w:spacing w:line="360" w:lineRule="auto" w:before="240" w:after="120"/>
        <w:jc w:val="both"/>
      </w:pPr>
      <w:r>
        <w:rPr>
          <w:rFonts w:ascii="Times New Roman" w:hAnsi="Times New Roman" w:cs="Times New Roman"/>
          <w:b/>
          <w:i w:val="0"/>
          <w:color w:val="000000"/>
          <w:sz w:val="24"/>
        </w:rPr>
        <w:t>2.2.1 Informal Collective Finance and Family Contribution Funds</w:t>
      </w:r>
    </w:p>
    <w:p>
      <w:pPr>
        <w:keepNext w:val="0"/>
        <w:keepLines w:val="0"/>
        <w:spacing w:line="360" w:lineRule="auto" w:after="160" w:before="0"/>
        <w:jc w:val="both"/>
      </w:pPr>
      <w:r>
        <w:rPr>
          <w:rFonts w:ascii="Times New Roman" w:hAnsi="Times New Roman" w:cs="Times New Roman"/>
          <w:b w:val="0"/>
          <w:i w:val="0"/>
          <w:color w:val="000000"/>
          <w:sz w:val="24"/>
        </w:rPr>
        <w:t>Informal collective finance refers to financial arrangements maintained outside formal banking structures, usually through social trust, repeated interaction, and community accountability. In Nigeria, these arrangements include ajo, esusu, adashi, cooperative savings, welfare funds, and family purses. Earlier studies established the importance of rotating savings and credit associations in African economies, but recent financial inclusion reports still show that informal saving and group finance remain relevant in Nigeria (Demirgüç-Kunt et al., 2022; EFInA, 2023; Kouandou &amp; Zeh, 2024).</w:t>
      </w:r>
    </w:p>
    <w:p>
      <w:pPr>
        <w:keepNext w:val="0"/>
        <w:keepLines w:val="0"/>
        <w:spacing w:line="360" w:lineRule="auto" w:after="160" w:before="0"/>
        <w:jc w:val="both"/>
      </w:pPr>
      <w:r>
        <w:rPr>
          <w:rFonts w:ascii="Times New Roman" w:hAnsi="Times New Roman" w:cs="Times New Roman"/>
          <w:b w:val="0"/>
          <w:i w:val="0"/>
          <w:color w:val="000000"/>
          <w:sz w:val="24"/>
        </w:rPr>
        <w:t>The family contribution fund differs from the better-known rotating model. In a rotating savings association, members contribute at fixed intervals and the pooled amount goes to one member per cycle. In a family fund, contributions are normally retained in a central pool and later used for family obligations. The purpose is not only saving; it is shared welfare. This difference affects the software design. A family fund needs a permanent balance, expense records, contribution categories, partial-payment handling, reports, and governance rules. A rotating savings application may not need all of these.</w:t>
      </w:r>
    </w:p>
    <w:p>
      <w:pPr>
        <w:keepNext w:val="0"/>
        <w:keepLines w:val="0"/>
        <w:spacing w:line="360" w:lineRule="auto" w:after="160" w:before="0"/>
        <w:jc w:val="both"/>
      </w:pPr>
      <w:r>
        <w:rPr>
          <w:rFonts w:ascii="Times New Roman" w:hAnsi="Times New Roman" w:cs="Times New Roman"/>
          <w:b w:val="0"/>
          <w:i w:val="0"/>
          <w:color w:val="000000"/>
          <w:sz w:val="24"/>
        </w:rPr>
        <w:t>Trust is central to both arrangements. However, trust in a family fund should not mean the absence of verification. When payment records are scattered across notebooks, private spreadsheets, and messaging platforms, the group relies heavily on the memory and integrity of the financial secretary. That arrangement may work for a small group over a short period, but it becomes weaker as membership grows, members migrate, contribution categories change, and payments arrive through different channels. The concept of a family fund therefore includes both social trust and the need for reliable records.</w:t>
      </w:r>
    </w:p>
    <w:p>
      <w:pPr>
        <w:pStyle w:val="Heading4"/>
        <w:spacing w:line="360" w:lineRule="auto" w:before="240" w:after="120"/>
        <w:jc w:val="both"/>
      </w:pPr>
      <w:r>
        <w:rPr>
          <w:rFonts w:ascii="Times New Roman" w:hAnsi="Times New Roman" w:cs="Times New Roman"/>
          <w:b/>
          <w:i w:val="0"/>
          <w:color w:val="000000"/>
          <w:sz w:val="24"/>
        </w:rPr>
        <w:t>2.2.2 Multi-Tenant Software Architecture</w:t>
      </w:r>
    </w:p>
    <w:p>
      <w:pPr>
        <w:keepNext w:val="0"/>
        <w:keepLines w:val="0"/>
        <w:spacing w:line="360" w:lineRule="auto" w:after="160" w:before="0"/>
        <w:jc w:val="both"/>
      </w:pPr>
      <w:r>
        <w:rPr>
          <w:rFonts w:ascii="Times New Roman" w:hAnsi="Times New Roman" w:cs="Times New Roman"/>
          <w:b w:val="0"/>
          <w:i w:val="0"/>
          <w:color w:val="000000"/>
          <w:sz w:val="24"/>
        </w:rPr>
        <w:t>Multi-tenancy is a software architecture in which one application instance serves multiple independent tenants. In a business SaaS application, a tenant might be a company. In FamilyFunds, the tenant is a family. The architectural value is that one platform can support many families without deploying a separate application for each one. The main risk is tenant isolation: one tenant's data must never be exposed to another tenant (Amazon Web Services, 2020; Bezemer &amp; Zaidman, 2010; Sharma &amp; Kaur, 2021).</w:t>
      </w:r>
    </w:p>
    <w:p>
      <w:pPr>
        <w:keepNext w:val="0"/>
        <w:keepLines w:val="0"/>
        <w:spacing w:line="360" w:lineRule="auto" w:after="160" w:before="0"/>
        <w:jc w:val="both"/>
      </w:pPr>
      <w:r>
        <w:rPr>
          <w:rFonts w:ascii="Times New Roman" w:hAnsi="Times New Roman" w:cs="Times New Roman"/>
          <w:b w:val="0"/>
          <w:i w:val="0"/>
          <w:color w:val="000000"/>
          <w:sz w:val="24"/>
        </w:rPr>
        <w:t>There are different data-isolation strategies. A system may provide a separate database for each tenant, a separate schema for each tenant, or a shared schema with a tenant identifier on tenant-owned records. Separate databases offer stronger physical isolation but increase cost and maintenance. A shared-schema design is cheaper and easier to operate for many small tenants, but it requires strict application-level controls. For FamilyFunds, shared-schema multi-tenancy is appropriate because the expected tenants are small family groups, not large institutions. The design therefore depends on family_id scoping, middleware, policies, and careful query boundaries.</w:t>
      </w:r>
    </w:p>
    <w:p>
      <w:pPr>
        <w:keepNext w:val="0"/>
        <w:keepLines w:val="0"/>
        <w:spacing w:line="360" w:lineRule="auto" w:after="160" w:before="0"/>
        <w:jc w:val="both"/>
      </w:pPr>
      <w:r>
        <w:rPr>
          <w:rFonts w:ascii="Times New Roman" w:hAnsi="Times New Roman" w:cs="Times New Roman"/>
          <w:b w:val="0"/>
          <w:i w:val="0"/>
          <w:color w:val="000000"/>
          <w:sz w:val="24"/>
        </w:rPr>
        <w:t>Recent SaaS literature continues to treat isolation and tenant-specific quality requirements as central design concerns. Jia et al. (2021) reviewed multi-tenancy in cloud platforms and emphasised the need to balance shared resources with tenant-specific requirements. Sharma and Kaur (2021) also treated tenant-aware storage and isolation as a key concern in multi-tenant applications. For a family fund platform, this concern becomes personal: a tenant-isolation failure would not merely be a technical bug; it would expose one family's private financial records to another family.</w:t>
      </w:r>
    </w:p>
    <w:p>
      <w:pPr>
        <w:pStyle w:val="Heading4"/>
        <w:spacing w:line="360" w:lineRule="auto" w:before="240" w:after="120"/>
        <w:jc w:val="both"/>
      </w:pPr>
      <w:r>
        <w:rPr>
          <w:rFonts w:ascii="Times New Roman" w:hAnsi="Times New Roman" w:cs="Times New Roman"/>
          <w:b/>
          <w:i w:val="0"/>
          <w:color w:val="000000"/>
          <w:sz w:val="24"/>
        </w:rPr>
        <w:t>2.2.3 Role-Based Access Control and Accountability</w:t>
      </w:r>
    </w:p>
    <w:p>
      <w:pPr>
        <w:keepNext w:val="0"/>
        <w:keepLines w:val="0"/>
        <w:spacing w:line="360" w:lineRule="auto" w:after="160" w:before="0"/>
        <w:jc w:val="both"/>
      </w:pPr>
      <w:r>
        <w:rPr>
          <w:rFonts w:ascii="Times New Roman" w:hAnsi="Times New Roman" w:cs="Times New Roman"/>
          <w:b w:val="0"/>
          <w:i w:val="0"/>
          <w:color w:val="000000"/>
          <w:sz w:val="24"/>
        </w:rPr>
        <w:t>Role-Based Access Control (RBAC) assigns permissions to roles rather than assigning them directly to individual users. The classical RBAC model remains important because it is simple, understandable, and suitable for organisations where duties are clearly separated (Sandhu et al., 1996). In FamilyFunds, the main roles are Family Administrator, Financial Secretary, Member, and Platform Super Administrator.</w:t>
      </w:r>
    </w:p>
    <w:p>
      <w:pPr>
        <w:keepNext w:val="0"/>
        <w:keepLines w:val="0"/>
        <w:spacing w:line="360" w:lineRule="auto" w:after="160" w:before="0"/>
        <w:jc w:val="both"/>
      </w:pPr>
      <w:r>
        <w:rPr>
          <w:rFonts w:ascii="Times New Roman" w:hAnsi="Times New Roman" w:cs="Times New Roman"/>
          <w:b w:val="0"/>
          <w:i w:val="0"/>
          <w:color w:val="000000"/>
          <w:sz w:val="24"/>
        </w:rPr>
        <w:t>The family fund setting makes RBAC more than a security feature. It is a governance structure. A Family Administrator should be able to manage members, settings, categories, and subscriptions. A Financial Secretary should be able to record payments, expenses, reminders, and reports. A Member should be able to view personal contribution history and pay online, but not alter financial records for others. The Platform Super Administrator should manage platform-level plans and oversight without becoming the treasurer for any one family.</w:t>
      </w:r>
    </w:p>
    <w:p>
      <w:pPr>
        <w:keepNext w:val="0"/>
        <w:keepLines w:val="0"/>
        <w:spacing w:line="360" w:lineRule="auto" w:after="160" w:before="0"/>
        <w:jc w:val="both"/>
      </w:pPr>
      <w:r>
        <w:rPr>
          <w:rFonts w:ascii="Times New Roman" w:hAnsi="Times New Roman" w:cs="Times New Roman"/>
          <w:b w:val="0"/>
          <w:i w:val="0"/>
          <w:color w:val="000000"/>
          <w:sz w:val="24"/>
        </w:rPr>
        <w:t>Accountability also depends on audit-friendly records. If a financial secretary records a payment, the system should store who recorded it, when it was recorded, which member it relates to, and how it affected the contribution balance. RBAC therefore works together with data design. Permissions prevent unauthorised actions, while records make authorised actions reviewable.</w:t>
      </w:r>
    </w:p>
    <w:p>
      <w:pPr>
        <w:pStyle w:val="Heading4"/>
        <w:spacing w:line="360" w:lineRule="auto" w:before="240" w:after="120"/>
        <w:jc w:val="both"/>
      </w:pPr>
      <w:r>
        <w:rPr>
          <w:rFonts w:ascii="Times New Roman" w:hAnsi="Times New Roman" w:cs="Times New Roman"/>
          <w:b/>
          <w:i w:val="0"/>
          <w:color w:val="000000"/>
          <w:sz w:val="24"/>
        </w:rPr>
        <w:t>2.2.4 Digital Payments and Payment Allocation</w:t>
      </w:r>
    </w:p>
    <w:p>
      <w:pPr>
        <w:keepNext w:val="0"/>
        <w:keepLines w:val="0"/>
        <w:spacing w:line="360" w:lineRule="auto" w:after="160" w:before="0"/>
        <w:jc w:val="both"/>
      </w:pPr>
      <w:r>
        <w:rPr>
          <w:rFonts w:ascii="Times New Roman" w:hAnsi="Times New Roman" w:cs="Times New Roman"/>
          <w:b w:val="0"/>
          <w:i w:val="0"/>
          <w:color w:val="000000"/>
          <w:sz w:val="24"/>
        </w:rPr>
        <w:t>Digital payment systems reduce the friction of sending and receiving money. In African contexts, mobile money and payment gateways have expanded access to financial transactions and have influenced how households send, receive, and manage funds (Jack &amp; Suri, 2014; Mbiti &amp; Weil, 2016; Wezel &amp; Ree, 2023). For Nigerian web applications, Paystack provides a practical payment gateway because it supports online payment flows, transaction references, webhooks, and developer-facing APIs.</w:t>
      </w:r>
    </w:p>
    <w:p>
      <w:pPr>
        <w:keepNext w:val="0"/>
        <w:keepLines w:val="0"/>
        <w:spacing w:line="360" w:lineRule="auto" w:after="160" w:before="0"/>
        <w:jc w:val="both"/>
      </w:pPr>
      <w:r>
        <w:rPr>
          <w:rFonts w:ascii="Times New Roman" w:hAnsi="Times New Roman" w:cs="Times New Roman"/>
          <w:b w:val="0"/>
          <w:i w:val="0"/>
          <w:color w:val="000000"/>
          <w:sz w:val="24"/>
        </w:rPr>
        <w:t>However, accepting a payment is only part of the problem. A family fund also needs to decide how the payment should be applied to outstanding balances. If a member owes for January, February, and March but pays only enough for one and a half months, the system needs a clear rule. FamilyFunds uses an oldest-balance-first allocation rule. This is similar to a first-in, first-out treatment of obligations: older unpaid contributions are settled before newer ones. The benefit is consistency. The same payment history will always produce the same allocation result, which reduces disagreement and makes member statements easier to understand.</w:t>
      </w:r>
    </w:p>
    <w:p>
      <w:pPr>
        <w:pStyle w:val="Heading4"/>
        <w:spacing w:line="360" w:lineRule="auto" w:before="240" w:after="120"/>
        <w:jc w:val="both"/>
      </w:pPr>
      <w:r>
        <w:rPr>
          <w:rFonts w:ascii="Times New Roman" w:hAnsi="Times New Roman" w:cs="Times New Roman"/>
          <w:b/>
          <w:i w:val="0"/>
          <w:color w:val="000000"/>
          <w:sz w:val="24"/>
        </w:rPr>
        <w:t>2.2.5 AI Assistance, Reporting, and Predictive Analytics</w:t>
      </w:r>
    </w:p>
    <w:p>
      <w:pPr>
        <w:keepNext w:val="0"/>
        <w:keepLines w:val="0"/>
        <w:spacing w:line="360" w:lineRule="auto" w:after="160" w:before="0"/>
        <w:jc w:val="both"/>
      </w:pPr>
      <w:r>
        <w:rPr>
          <w:rFonts w:ascii="Times New Roman" w:hAnsi="Times New Roman" w:cs="Times New Roman"/>
          <w:b w:val="0"/>
          <w:i w:val="0"/>
          <w:color w:val="000000"/>
          <w:sz w:val="24"/>
        </w:rPr>
        <w:t>AI features in a financial system must be handled carefully. Large Language Models can help users ask questions in ordinary language and can turn structured report data into readable summaries. This is useful in a family fund because not every member is comfortable reading financial tables. Classical Natural Language Generation relied on templates and rule-based pipelines; modern LLMs are more flexible, but they also introduce the risk of fluent errors (Dale, 2020; de Wynter et al., 2023; Kang &amp; Liu, 2023).</w:t>
      </w:r>
    </w:p>
    <w:p>
      <w:pPr>
        <w:keepNext w:val="0"/>
        <w:keepLines w:val="0"/>
        <w:spacing w:line="360" w:lineRule="auto" w:after="160" w:before="0"/>
        <w:jc w:val="both"/>
      </w:pPr>
      <w:r>
        <w:rPr>
          <w:rFonts w:ascii="Times New Roman" w:hAnsi="Times New Roman" w:cs="Times New Roman"/>
          <w:b w:val="0"/>
          <w:i w:val="0"/>
          <w:color w:val="000000"/>
          <w:sz w:val="24"/>
        </w:rPr>
        <w:t>For this reason, the AI assistant in FamilyFunds is treated as a controlled interface, not as an independent financial authority. It should answer only within the user's family context, respect role permissions, use available system data, and avoid unsupported financial claims. Where actions are involved, the assistant should not silently change records without confirmation.</w:t>
      </w:r>
    </w:p>
    <w:p>
      <w:pPr>
        <w:keepNext w:val="0"/>
        <w:keepLines w:val="0"/>
        <w:spacing w:line="360" w:lineRule="auto" w:after="160" w:before="0"/>
        <w:jc w:val="both"/>
      </w:pPr>
      <w:r>
        <w:rPr>
          <w:rFonts w:ascii="Times New Roman" w:hAnsi="Times New Roman" w:cs="Times New Roman"/>
          <w:b w:val="0"/>
          <w:i w:val="0"/>
          <w:color w:val="000000"/>
          <w:sz w:val="24"/>
        </w:rPr>
        <w:t>Predictive analytics is a separate but related concept. It uses historical contribution and payment data to estimate future behaviour, such as whether a member is likely to miss a contribution deadline. Credit-scoring literature provides useful evaluation ideas, including accuracy, precision, recall, F1-score, and attention to class imbalance (Hussin Adam Khatir &amp; Bee, 2022; Robisco &amp; Carbó Martínez, 2022). FamilyFunds uses logistic regression because its coefficients and predicted probabilities are easier to inspect than those of a more complex ensemble, which is important when predictions concern named family members. Its evaluation uses two deliberately simple reference points: a training-prevalence baseline and a previous-period-late baseline. Still, the family fund context is smaller and more personal than bank credit scoring. A model that works with millions of loan records may not be appropriate for a family with twelve months of contribution history. Prediction is therefore activation-gated and remains unavailable when history, class variation, or held-out evidence is insufficient.</w:t>
      </w:r>
    </w:p>
    <w:p>
      <w:pPr>
        <w:pStyle w:val="Heading4"/>
        <w:spacing w:line="360" w:lineRule="auto" w:before="240" w:after="120"/>
        <w:jc w:val="both"/>
      </w:pPr>
      <w:r>
        <w:rPr>
          <w:rFonts w:ascii="Times New Roman" w:hAnsi="Times New Roman" w:cs="Times New Roman"/>
          <w:b/>
          <w:i w:val="0"/>
          <w:color w:val="000000"/>
          <w:sz w:val="24"/>
        </w:rPr>
        <w:t>2.2.6 Authentication, Usability, and Member Access</w:t>
      </w:r>
    </w:p>
    <w:p>
      <w:pPr>
        <w:keepNext w:val="0"/>
        <w:keepLines w:val="0"/>
        <w:spacing w:line="360" w:lineRule="auto" w:after="160" w:before="0"/>
        <w:jc w:val="both"/>
      </w:pPr>
      <w:r>
        <w:rPr>
          <w:rFonts w:ascii="Times New Roman" w:hAnsi="Times New Roman" w:cs="Times New Roman"/>
          <w:b w:val="0"/>
          <w:i w:val="0"/>
          <w:color w:val="000000"/>
          <w:sz w:val="24"/>
        </w:rPr>
        <w:t>A family fund system must be secure, but it must also be usable by people with different levels of technical confidence. Strong authentication is necessary because the system stores personal and money-related records. At the same time, a login process that is too difficult may discourage older or less technical members from using the platform. WebAuthn and passkeys are relevant because they reduce dependence on passwords and use public-key authentication through browsers and devices (FIDO Alliance, 2022; W3C, 2021). Lyastani et al. (2020), however, showed that passwordless authentication still needs careful user support because people may not immediately understand the relationship between passkeys, biometrics, and account security.</w:t>
      </w:r>
    </w:p>
    <w:p>
      <w:pPr>
        <w:keepNext w:val="0"/>
        <w:keepLines w:val="0"/>
        <w:spacing w:line="360" w:lineRule="auto" w:after="160" w:before="0"/>
        <w:jc w:val="both"/>
      </w:pPr>
      <w:r>
        <w:rPr>
          <w:rFonts w:ascii="Times New Roman" w:hAnsi="Times New Roman" w:cs="Times New Roman"/>
          <w:b w:val="0"/>
          <w:i w:val="0"/>
          <w:color w:val="000000"/>
          <w:sz w:val="24"/>
        </w:rPr>
        <w:t>The usability concept behind FamilyFunds is therefore role-sensitive simplicity. A member should not face the same interface as a financial secretary. A member mainly needs personal balance, payment history, payment action, and reminders. A financial secretary needs payment entry, expenses, reports, and follow-up tools. A family administrator needs members, categories, settings, and subscription controls. Good responsive interface design also matters because many users are likely to interact with the system on phones rather than desktop computers (Li et al., 2022). Security and usability are treated together because a system that users avoid cannot improve family accountability, no matter how strong its technical design is.</w:t>
      </w:r>
    </w:p>
    <w:p>
      <w:pPr>
        <w:pStyle w:val="Heading3"/>
        <w:spacing w:line="360" w:lineRule="auto" w:before="240" w:after="120"/>
        <w:jc w:val="both"/>
      </w:pPr>
      <w:r>
        <w:rPr>
          <w:rFonts w:ascii="Times New Roman" w:hAnsi="Times New Roman" w:cs="Times New Roman"/>
          <w:b/>
          <w:i w:val="0"/>
          <w:color w:val="000000"/>
          <w:sz w:val="24"/>
        </w:rPr>
        <w:t>2.3 Theoretical Framework</w:t>
      </w:r>
    </w:p>
    <w:p>
      <w:pPr>
        <w:keepNext w:val="0"/>
        <w:keepLines w:val="0"/>
        <w:spacing w:line="360" w:lineRule="auto" w:after="160" w:before="0"/>
        <w:jc w:val="both"/>
      </w:pPr>
      <w:r>
        <w:rPr>
          <w:rFonts w:ascii="Times New Roman" w:hAnsi="Times New Roman" w:cs="Times New Roman"/>
          <w:b w:val="0"/>
          <w:i w:val="0"/>
          <w:color w:val="000000"/>
          <w:sz w:val="24"/>
        </w:rPr>
        <w:t>This study is guided by an applied system-development and design-oriented framework. The project starts with a real problem, studies the context, designs an artefact, implements it, and evaluates whether it addresses the problem. This aligns with the practical logic of software engineering: the contribution is demonstrated through a working system, not only through abstract explanation.</w:t>
      </w:r>
    </w:p>
    <w:p>
      <w:pPr>
        <w:keepNext w:val="0"/>
        <w:keepLines w:val="0"/>
        <w:spacing w:line="360" w:lineRule="auto" w:after="160" w:before="0"/>
        <w:jc w:val="both"/>
      </w:pPr>
      <w:r>
        <w:rPr>
          <w:rFonts w:ascii="Times New Roman" w:hAnsi="Times New Roman" w:cs="Times New Roman"/>
          <w:b w:val="0"/>
          <w:i w:val="0"/>
          <w:color w:val="000000"/>
          <w:sz w:val="24"/>
        </w:rPr>
        <w:t>The development approach is Agile and iterative. Agile is suitable because the project requirements are likely to evolve as the family fund workflow becomes clearer. A payment feature may reveal the need for allocation rules; allocation rules may affect reports; reports may affect the AI summary design. Research on Agile development shows that iterative work helps teams respond to changing requirements and manage quality concerns throughout development rather than treating them as late additions (Karhapää et al., 2021; Masood et al., 2020; Schwaber &amp; Sutherland, 2020).</w:t>
      </w:r>
    </w:p>
    <w:p>
      <w:pPr>
        <w:keepNext w:val="0"/>
        <w:keepLines w:val="0"/>
        <w:spacing w:line="360" w:lineRule="auto" w:after="160" w:before="0"/>
        <w:jc w:val="both"/>
      </w:pPr>
      <w:r>
        <w:rPr>
          <w:rFonts w:ascii="Times New Roman" w:hAnsi="Times New Roman" w:cs="Times New Roman"/>
          <w:b w:val="0"/>
          <w:i w:val="0"/>
          <w:color w:val="000000"/>
          <w:sz w:val="24"/>
        </w:rPr>
        <w:t>The architectural theory is a modular monolith supported by multi-tenancy. A modular monolith allows related modules to remain inside one deployable Laravel application while still separating responsibilities such as authentication, families, contributions, payments, reports, subscriptions, notifications, and AI. This is appropriate for a final-year system because the project is broad enough to need modularity but not large enough to justify separate microservices.</w:t>
      </w:r>
    </w:p>
    <w:p>
      <w:pPr>
        <w:keepNext w:val="0"/>
        <w:keepLines w:val="0"/>
        <w:spacing w:line="360" w:lineRule="auto" w:after="160" w:before="0"/>
        <w:jc w:val="both"/>
      </w:pPr>
      <w:r>
        <w:rPr>
          <w:rFonts w:ascii="Times New Roman" w:hAnsi="Times New Roman" w:cs="Times New Roman"/>
          <w:b w:val="0"/>
          <w:i w:val="0"/>
          <w:color w:val="000000"/>
          <w:sz w:val="24"/>
        </w:rPr>
        <w:t>The access-control theory is RBAC. The RBAC model is used because the family fund domain already has role-like responsibilities. Instead of inventing complex permission rules, the system formalises familiar duties: administrators manage the family workspace, financial secretaries manage money-related records, and members view and pay their own obligations. This theoretical choice supports both security and usability.</w:t>
      </w:r>
    </w:p>
    <w:p>
      <w:pPr>
        <w:pStyle w:val="Heading3"/>
        <w:spacing w:line="360" w:lineRule="auto" w:before="240" w:after="120"/>
        <w:jc w:val="both"/>
      </w:pPr>
      <w:r>
        <w:rPr>
          <w:rFonts w:ascii="Times New Roman" w:hAnsi="Times New Roman" w:cs="Times New Roman"/>
          <w:b/>
          <w:i w:val="0"/>
          <w:color w:val="000000"/>
          <w:sz w:val="24"/>
        </w:rPr>
        <w:t>2.4 Empirical Review of Related Works</w:t>
      </w:r>
    </w:p>
    <w:p>
      <w:pPr>
        <w:keepNext w:val="0"/>
        <w:keepLines w:val="0"/>
        <w:spacing w:line="360" w:lineRule="auto" w:after="160" w:before="0"/>
        <w:jc w:val="both"/>
      </w:pPr>
      <w:r>
        <w:rPr>
          <w:rFonts w:ascii="Times New Roman" w:hAnsi="Times New Roman" w:cs="Times New Roman"/>
          <w:b w:val="0"/>
          <w:i w:val="0"/>
          <w:color w:val="000000"/>
          <w:sz w:val="24"/>
        </w:rPr>
        <w:t>Empirical and technical studies related to this project can be grouped into informal finance, digital financial inclusion, multi-tenant systems, Agile development, AI reporting, and credit-risk prediction. Table 2.1 summarises selected works and their relevance to FamilyFunds.</w:t>
      </w:r>
    </w:p>
    <w:p>
      <w:pPr>
        <w:keepNext/>
        <w:keepLines w:val="0"/>
        <w:spacing w:line="360" w:lineRule="auto" w:after="160" w:before="0"/>
        <w:jc w:val="center"/>
      </w:pPr>
      <w:r>
        <w:rPr>
          <w:rFonts w:ascii="Times New Roman" w:hAnsi="Times New Roman" w:cs="Times New Roman"/>
          <w:b/>
          <w:i w:val="0"/>
          <w:color w:val="000000"/>
          <w:sz w:val="24"/>
        </w:rPr>
        <w:t>Table 2.1: Empirical Review of Related Works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19"/>
        <w:gridCol w:w="1731"/>
        <w:gridCol w:w="1480"/>
        <w:gridCol w:w="2037"/>
        <w:gridCol w:w="2039"/>
      </w:tblGrid>
      <w:tr>
        <w:trPr>
          <w:tblHeader w:val="true"/>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Author(s) and Year</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Focus</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Method/Approach</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Key Finding</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Relevance to FamilyFunds</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Adegbite and Machethe (2020)</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Financial inclusion in Nigeria</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Quantitative analysis</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Gender and access gaps affect financial inclusion.</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Shows that access to suitable financial tools remains uneven.</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Demirgüç-Kunt et al. (2022)</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Global financial inclusion</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Global survey/database</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Informal saving remains important in many economies.</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the need to consider informal finance in system design.</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EFInA (2023)</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Nigerian financial access</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National survey</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Formal inclusion improved, but informal services remain part of financial behaviour.</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Provides recent Nigerian context for the problem.</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Wezel and Ree (2023)</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financial services in Nigeria</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IMF policy analysis</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services can support inclusion but need stronger uptake and trust.</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the use of digital channels while recognising adoption barriers.</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Kouandou and Zeh (2024)</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Informal savings in Nigeria</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Household panel analysis</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Informal savings help households manage shocks.</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Reinforces the social value of informal savings structures.</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Jia et al. (2021)</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Multi-tenancy in cloud platforms</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Systematic review</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Tenant-specific quality and resource-sharing concerns are central.</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the system's focus on tenant isolation.</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Sharma and Kaur (2021)</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Tenant-centric SaaS storage</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System design and evaluation</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Tenant-aware storage improves isolation and efficiency.</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tenant-aware data design.</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Karhapää et al. (2021)</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Quality requirements in Agile</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Multiple case study</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Quality requirements must be managed throughout Agile work.</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Justifies handling security, reliability, and usability from design stage.</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Masood et al. (2020)</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Agile team practices</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Grounded theory study</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Agile work benefits from self-organisation and iterative delivery.</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the iterative development approach.</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Lyastani et al. (2020)</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FIDO2 authentication</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Comparative usability study</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Passwordless authentication can improve usability but needs user understanding.</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passkeys with fallback authentication.</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Dale (2020)</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Natural language generation</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State-of-the-art review</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NLG moved from rule-based systems toward neural methods.</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AI-generated narrative reports.</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 Wynter et al. (2023)</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LLM output evaluation</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Empirical evaluation</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LLM output requires careful evaluation.</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validation of AI summaries.</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Kang and Liu (2023)</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LLM hallucination in finance</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Empirical examination</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Off-the-shelf LLMs can hallucinate in financial tasks.</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controlled, data-grounded AI assistant design.</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Hussin Adam Khatir and Bee (2022)</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 scoring</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Comparative ML study</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Model performance depends on algorithm and data-balancing choices.</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Informs the evaluation and class-balance checks for logistic regression.</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Robisco and Carbó Martínez (2022)</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 default prediction</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Model-risk evaluation</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models should be evaluated beyond raw accuracy.</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using precision and recall for prediction.</w:t>
            </w:r>
          </w:p>
        </w:tc>
      </w:tr>
    </w:tbl>
    <w:p/>
    <w:p>
      <w:pPr>
        <w:keepNext w:val="0"/>
        <w:keepLines w:val="0"/>
        <w:spacing w:line="360" w:lineRule="auto" w:after="160" w:before="0"/>
        <w:jc w:val="both"/>
      </w:pPr>
      <w:r>
        <w:rPr>
          <w:rFonts w:ascii="Times New Roman" w:hAnsi="Times New Roman" w:cs="Times New Roman"/>
          <w:b w:val="0"/>
          <w:i w:val="0"/>
          <w:color w:val="000000"/>
          <w:sz w:val="24"/>
        </w:rPr>
        <w:t>The reviewed studies justify the main design decisions of the project. Informal savings research shows that informal finance is still relevant rather than obsolete. Digital financial inclusion studies show why online payments and accessible interfaces matter. Multi-tenancy studies show why tenant isolation must be explicit. Agile studies support iterative development. LLM studies warn that AI reports must be verified. Credit-scoring research provides metrics for logistic regression but also shows why a trained model must be compared with transparent baselines and must not be claimed without enough data.</w:t>
      </w:r>
    </w:p>
    <w:p>
      <w:pPr>
        <w:keepNext w:val="0"/>
        <w:keepLines w:val="0"/>
        <w:spacing w:line="360" w:lineRule="auto" w:after="160" w:before="0"/>
        <w:jc w:val="both"/>
      </w:pPr>
      <w:r>
        <w:rPr>
          <w:rFonts w:ascii="Times New Roman" w:hAnsi="Times New Roman" w:cs="Times New Roman"/>
          <w:b w:val="0"/>
          <w:i w:val="0"/>
          <w:color w:val="000000"/>
          <w:sz w:val="24"/>
        </w:rPr>
        <w:t>One important pattern across these works is that technology alone does not solve a trust problem. Informal savings groups work partly because members know each other and can apply social pressure. A digital system should not remove that social layer; it should make the shared facts easier to verify. This is why FamilyFunds focuses on transparent balances, role-aware actions, payment receipts, and reports. It supports the family structure rather than replacing it with a bank-like process.</w:t>
      </w:r>
    </w:p>
    <w:p>
      <w:pPr>
        <w:pStyle w:val="Heading3"/>
        <w:spacing w:line="360" w:lineRule="auto" w:before="240" w:after="120"/>
        <w:jc w:val="both"/>
      </w:pPr>
      <w:r>
        <w:rPr>
          <w:rFonts w:ascii="Times New Roman" w:hAnsi="Times New Roman" w:cs="Times New Roman"/>
          <w:b/>
          <w:i w:val="0"/>
          <w:color w:val="000000"/>
          <w:sz w:val="24"/>
        </w:rPr>
        <w:t>2.5 Review of Existing Systems/Tools</w:t>
      </w:r>
    </w:p>
    <w:p>
      <w:pPr>
        <w:keepNext w:val="0"/>
        <w:keepLines w:val="0"/>
        <w:spacing w:line="360" w:lineRule="auto" w:after="160" w:before="0"/>
        <w:jc w:val="both"/>
      </w:pPr>
      <w:r>
        <w:rPr>
          <w:rFonts w:ascii="Times New Roman" w:hAnsi="Times New Roman" w:cs="Times New Roman"/>
          <w:b w:val="0"/>
          <w:i w:val="0"/>
          <w:color w:val="000000"/>
          <w:sz w:val="24"/>
        </w:rPr>
        <w:t>Several existing systems are related to FamilyFunds, but none fully addresses the project problem.</w:t>
      </w:r>
    </w:p>
    <w:p>
      <w:pPr>
        <w:keepNext w:val="0"/>
        <w:keepLines w:val="0"/>
        <w:spacing w:line="360" w:lineRule="auto" w:after="160" w:before="0"/>
        <w:jc w:val="both"/>
      </w:pPr>
      <w:r>
        <w:rPr>
          <w:rFonts w:ascii="Times New Roman" w:hAnsi="Times New Roman" w:cs="Times New Roman"/>
          <w:b w:val="0"/>
          <w:i w:val="0"/>
          <w:color w:val="000000"/>
          <w:sz w:val="24"/>
        </w:rPr>
        <w:t>PiggyVest is a Nigerian digital savings and investment platform for individuals. It supports personal savings goals and automated saving, which makes it useful for disciplined individual finance. Its limitation in this study is that it is not designed for family-level governance. It does not provide family tenants, financial-secretary roles, contribution categories, partial-payment allocation, or family expense reporting.</w:t>
      </w:r>
    </w:p>
    <w:p>
      <w:pPr>
        <w:keepNext w:val="0"/>
        <w:keepLines w:val="0"/>
        <w:spacing w:line="360" w:lineRule="auto" w:after="160" w:before="0"/>
        <w:jc w:val="both"/>
      </w:pPr>
      <w:r>
        <w:rPr>
          <w:rFonts w:ascii="Times New Roman" w:hAnsi="Times New Roman" w:cs="Times New Roman"/>
          <w:b w:val="0"/>
          <w:i w:val="0"/>
          <w:color w:val="000000"/>
          <w:sz w:val="24"/>
        </w:rPr>
        <w:t>Cowrywise is also focused on individual saving and investment. It offers a polished digital experience and contributes to the broader adoption of financial technology in Nigeria. However, the platform is centred on personal financial goals, not informal family funds. It does not model a family purse with shared obligations, group reports, or role-separated record keeping.</w:t>
      </w:r>
    </w:p>
    <w:p>
      <w:pPr>
        <w:keepNext w:val="0"/>
        <w:keepLines w:val="0"/>
        <w:spacing w:line="360" w:lineRule="auto" w:after="160" w:before="0"/>
        <w:jc w:val="both"/>
      </w:pPr>
      <w:r>
        <w:rPr>
          <w:rFonts w:ascii="Times New Roman" w:hAnsi="Times New Roman" w:cs="Times New Roman"/>
          <w:b w:val="0"/>
          <w:i w:val="0"/>
          <w:color w:val="000000"/>
          <w:sz w:val="24"/>
        </w:rPr>
        <w:t>CreditClan provides credit and lending infrastructure. It is closer to formal cooperative and lending workflows than to informal family welfare funds. Its strengths are credit-oriented features and payment support, but its assumptions differ from this project. A family fund does not require loan origination, credit underwriting, or formal lending operations as its core workflow.</w:t>
      </w:r>
    </w:p>
    <w:p>
      <w:pPr>
        <w:keepNext w:val="0"/>
        <w:keepLines w:val="0"/>
        <w:spacing w:line="360" w:lineRule="auto" w:after="160" w:before="0"/>
        <w:jc w:val="both"/>
      </w:pPr>
      <w:r>
        <w:rPr>
          <w:rFonts w:ascii="Times New Roman" w:hAnsi="Times New Roman" w:cs="Times New Roman"/>
          <w:b w:val="0"/>
          <w:i w:val="0"/>
          <w:color w:val="000000"/>
          <w:sz w:val="24"/>
        </w:rPr>
        <w:t>Lendsqr provides lending infrastructure for digital lenders and financial institutions. It supports more advanced lending operations than a family fund needs. Its existence shows that Nigerian fintech has strong tools for credit businesses, but it also highlights the gap: the informal family contribution domain remains outside the main focus of such systems.</w:t>
      </w:r>
    </w:p>
    <w:p>
      <w:pPr>
        <w:keepNext w:val="0"/>
        <w:keepLines w:val="0"/>
        <w:spacing w:line="360" w:lineRule="auto" w:after="160" w:before="0"/>
        <w:jc w:val="both"/>
      </w:pPr>
      <w:r>
        <w:rPr>
          <w:rFonts w:ascii="Times New Roman" w:hAnsi="Times New Roman" w:cs="Times New Roman"/>
          <w:b w:val="0"/>
          <w:i w:val="0"/>
          <w:color w:val="000000"/>
          <w:sz w:val="24"/>
        </w:rPr>
        <w:t>WhatsApp and spreadsheets are not financial platforms, but they are widely used in practice. They are accessible and familiar, which explains their popularity. Their weakness is that they are not structured record systems. They do not enforce roles, calculate balances reliably across partial payments, prevent accidental edits, verify online payments, or produce consistent family reports.</w:t>
      </w:r>
    </w:p>
    <w:p>
      <w:pPr>
        <w:keepNext/>
        <w:keepLines w:val="0"/>
        <w:spacing w:line="360" w:lineRule="auto" w:after="160" w:before="0"/>
        <w:jc w:val="center"/>
      </w:pPr>
      <w:r>
        <w:rPr>
          <w:rFonts w:ascii="Times New Roman" w:hAnsi="Times New Roman" w:cs="Times New Roman"/>
          <w:b/>
          <w:i w:val="0"/>
          <w:color w:val="000000"/>
          <w:sz w:val="24"/>
        </w:rPr>
        <w:t>Table 2.2: Review of Existing Systems and Tools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77"/>
        <w:gridCol w:w="3616"/>
        <w:gridCol w:w="3813"/>
      </w:tblGrid>
      <w:tr>
        <w:trPr>
          <w:tblHeader w:val="true"/>
          <w:cantSplit w:val="true"/>
        </w:trPr>
        <w:tc>
          <w:tcPr>
            <w:tcW w:type="dxa" w:w="147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System/Tool</w:t>
            </w:r>
          </w:p>
        </w:tc>
        <w:tc>
          <w:tcPr>
            <w:tcW w:type="dxa" w:w="361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Main Strength</w:t>
            </w:r>
          </w:p>
        </w:tc>
        <w:tc>
          <w:tcPr>
            <w:tcW w:type="dxa" w:w="381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Main Limitation for Family Funds</w:t>
            </w:r>
          </w:p>
        </w:tc>
      </w:tr>
      <w:tr>
        <w:trPr>
          <w:cantSplit w:val="true"/>
        </w:trPr>
        <w:tc>
          <w:tcPr>
            <w:tcW w:type="dxa" w:w="14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PiggyVest</w:t>
            </w:r>
          </w:p>
        </w:tc>
        <w:tc>
          <w:tcPr>
            <w:tcW w:type="dxa" w:w="361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Strong individual savings experience</w:t>
            </w:r>
          </w:p>
        </w:tc>
        <w:tc>
          <w:tcPr>
            <w:tcW w:type="dxa" w:w="38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 family workspace, RBAC, or contribution allocation</w:t>
            </w:r>
          </w:p>
        </w:tc>
      </w:tr>
      <w:tr>
        <w:trPr>
          <w:cantSplit w:val="true"/>
        </w:trPr>
        <w:tc>
          <w:tcPr>
            <w:tcW w:type="dxa" w:w="14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Cowrywise</w:t>
            </w:r>
          </w:p>
        </w:tc>
        <w:tc>
          <w:tcPr>
            <w:tcW w:type="dxa" w:w="361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Personal saving and investment support</w:t>
            </w:r>
          </w:p>
        </w:tc>
        <w:tc>
          <w:tcPr>
            <w:tcW w:type="dxa" w:w="38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Not designed for shared family welfare funds</w:t>
            </w:r>
          </w:p>
        </w:tc>
      </w:tr>
      <w:tr>
        <w:trPr>
          <w:cantSplit w:val="true"/>
        </w:trPr>
        <w:tc>
          <w:tcPr>
            <w:tcW w:type="dxa" w:w="14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CreditClan</w:t>
            </w:r>
          </w:p>
        </w:tc>
        <w:tc>
          <w:tcPr>
            <w:tcW w:type="dxa" w:w="361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Credit and cooperative finance infrastructure</w:t>
            </w:r>
          </w:p>
        </w:tc>
        <w:tc>
          <w:tcPr>
            <w:tcW w:type="dxa" w:w="38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More suited to formal lending than informal family funds</w:t>
            </w:r>
          </w:p>
        </w:tc>
      </w:tr>
      <w:tr>
        <w:trPr>
          <w:cantSplit w:val="true"/>
        </w:trPr>
        <w:tc>
          <w:tcPr>
            <w:tcW w:type="dxa" w:w="14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Lendsqr</w:t>
            </w:r>
          </w:p>
        </w:tc>
        <w:tc>
          <w:tcPr>
            <w:tcW w:type="dxa" w:w="361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Lending infrastructure and credit workflows</w:t>
            </w:r>
          </w:p>
        </w:tc>
        <w:tc>
          <w:tcPr>
            <w:tcW w:type="dxa" w:w="38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Focuses on lenders, not family contribution governance</w:t>
            </w:r>
          </w:p>
        </w:tc>
      </w:tr>
      <w:tr>
        <w:trPr>
          <w:cantSplit w:val="true"/>
        </w:trPr>
        <w:tc>
          <w:tcPr>
            <w:tcW w:type="dxa" w:w="14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WhatsApp</w:t>
            </w:r>
          </w:p>
        </w:tc>
        <w:tc>
          <w:tcPr>
            <w:tcW w:type="dxa" w:w="361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Familiar communication channel</w:t>
            </w:r>
          </w:p>
        </w:tc>
        <w:tc>
          <w:tcPr>
            <w:tcW w:type="dxa" w:w="38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 structured financial records, permissions, or reports</w:t>
            </w:r>
          </w:p>
        </w:tc>
      </w:tr>
      <w:tr>
        <w:trPr>
          <w:cantSplit w:val="true"/>
        </w:trPr>
        <w:tc>
          <w:tcPr>
            <w:tcW w:type="dxa" w:w="14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Spreadsheets</w:t>
            </w:r>
          </w:p>
        </w:tc>
        <w:tc>
          <w:tcPr>
            <w:tcW w:type="dxa" w:w="361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Flexible calculation and tabulation</w:t>
            </w:r>
          </w:p>
        </w:tc>
        <w:tc>
          <w:tcPr>
            <w:tcW w:type="dxa" w:w="38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Weak audit trail, weak access control, and error-prone collaboration</w:t>
            </w:r>
          </w:p>
        </w:tc>
      </w:tr>
    </w:tbl>
    <w:p/>
    <w:p>
      <w:pPr>
        <w:pStyle w:val="Heading3"/>
        <w:spacing w:line="360" w:lineRule="auto" w:before="240" w:after="120"/>
        <w:jc w:val="both"/>
      </w:pPr>
      <w:r>
        <w:rPr>
          <w:rFonts w:ascii="Times New Roman" w:hAnsi="Times New Roman" w:cs="Times New Roman"/>
          <w:b/>
          <w:i w:val="0"/>
          <w:color w:val="000000"/>
          <w:sz w:val="24"/>
        </w:rPr>
        <w:t>2.6 Comparative Analysis of Related Works</w:t>
      </w:r>
    </w:p>
    <w:p>
      <w:pPr>
        <w:keepNext w:val="0"/>
        <w:keepLines w:val="0"/>
        <w:spacing w:line="360" w:lineRule="auto" w:after="160" w:before="0"/>
        <w:jc w:val="both"/>
      </w:pPr>
      <w:r>
        <w:rPr>
          <w:rFonts w:ascii="Times New Roman" w:hAnsi="Times New Roman" w:cs="Times New Roman"/>
          <w:b w:val="0"/>
          <w:i w:val="0"/>
          <w:color w:val="000000"/>
          <w:sz w:val="24"/>
        </w:rPr>
        <w:t>The comparison in Table 2.3 shows that related work and existing systems address parts of the problem but not the complete FamilyFunds requirement set.</w:t>
      </w:r>
    </w:p>
    <w:p>
      <w:pPr>
        <w:keepNext/>
        <w:keepLines w:val="0"/>
        <w:spacing w:line="360" w:lineRule="auto" w:after="160" w:before="0"/>
        <w:jc w:val="center"/>
      </w:pPr>
      <w:r>
        <w:rPr>
          <w:rFonts w:ascii="Times New Roman" w:hAnsi="Times New Roman" w:cs="Times New Roman"/>
          <w:b/>
          <w:i w:val="0"/>
          <w:color w:val="000000"/>
          <w:sz w:val="24"/>
        </w:rPr>
        <w:t>Table 2.3: Comparative Analysis of Related Works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61"/>
        <w:gridCol w:w="2103"/>
        <w:gridCol w:w="2520"/>
        <w:gridCol w:w="2522"/>
      </w:tblGrid>
      <w:tr>
        <w:trPr>
          <w:tblHeader w:val="true"/>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Area Compared</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Prior Work or Tool</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What It Covers</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Gap Remaining</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Informal finance</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ROSCA and financial inclusion studies</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Social value of informal savings and group finance</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 attention to non-rotating family purses and software requirements</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financial inclusion</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World Bank, EFInA, IMF studies</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Importance of digital access and financial inclusion</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Does not provide a system for family fund management</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Individual savings platforms</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PiggyVest, Cowrywise</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Personal saving, investment, payment convenience</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family governance, tenant model, or shared fund reporting</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Formal lending platforms</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CreditClan, Lendsqr</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 operations and lending infrastructure</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designed for informal family contribution funds</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Multi-tenant architecture</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SaaS literature and cloud studies</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 isolation, resource sharing, scalability</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Usually assumes business tenants, not family groups</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RBAC</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Access-control literature</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Role-permission separation</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Needs adaptation to family admin, secretary, and member roles</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payments</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Paystack and mobile money literature</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Online transactions and payment verification</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Does not solve allocation across family contribution balances</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reporting</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NLG and LLM studies</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Automated text generation and reporting support</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Financial hallucination risk requires controlled, data-grounded summaries</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analytics</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Credit-scoring studies</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Logistic regression, prediction metrics, and model-risk lessons</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funds have small datasets and social defaults, so activation requires evidence beyond simple baselines</w:t>
            </w:r>
          </w:p>
        </w:tc>
      </w:tr>
    </w:tbl>
    <w:p/>
    <w:p>
      <w:pPr>
        <w:keepNext w:val="0"/>
        <w:keepLines w:val="0"/>
        <w:spacing w:line="360" w:lineRule="auto" w:after="160" w:before="0"/>
        <w:jc w:val="both"/>
      </w:pPr>
      <w:r>
        <w:rPr>
          <w:rFonts w:ascii="Times New Roman" w:hAnsi="Times New Roman" w:cs="Times New Roman"/>
          <w:b w:val="0"/>
          <w:i w:val="0"/>
          <w:color w:val="000000"/>
          <w:sz w:val="24"/>
        </w:rPr>
        <w:t>The key observation is that FamilyFunds is not trying to replace all existing tools. Instead, it combines the relevant strengths of several areas: the accessibility of digital finance, the separation of SaaS multi-tenancy, the accountability of RBAC, the convenience of online payment gateways, the consistency of payment-allocation algorithms, and the readability of AI-supported reporting. The gap lies in applying these ideas together to the informal family fund context.</w:t>
      </w:r>
    </w:p>
    <w:p>
      <w:pPr>
        <w:pStyle w:val="Heading3"/>
        <w:spacing w:line="360" w:lineRule="auto" w:before="240" w:after="120"/>
        <w:jc w:val="both"/>
      </w:pPr>
      <w:r>
        <w:rPr>
          <w:rFonts w:ascii="Times New Roman" w:hAnsi="Times New Roman" w:cs="Times New Roman"/>
          <w:b/>
          <w:i w:val="0"/>
          <w:color w:val="000000"/>
          <w:sz w:val="24"/>
        </w:rPr>
        <w:t>2.7 Identified Research Gap</w:t>
      </w:r>
    </w:p>
    <w:p>
      <w:pPr>
        <w:keepNext w:val="0"/>
        <w:keepLines w:val="0"/>
        <w:spacing w:line="360" w:lineRule="auto" w:after="160" w:before="0"/>
        <w:jc w:val="both"/>
      </w:pPr>
      <w:r>
        <w:rPr>
          <w:rFonts w:ascii="Times New Roman" w:hAnsi="Times New Roman" w:cs="Times New Roman"/>
          <w:b w:val="0"/>
          <w:i w:val="0"/>
          <w:color w:val="000000"/>
          <w:sz w:val="24"/>
        </w:rPr>
        <w:t>The literature and system review reveal four main gaps.</w:t>
      </w:r>
    </w:p>
    <w:p>
      <w:pPr>
        <w:keepNext w:val="0"/>
        <w:keepLines w:val="0"/>
        <w:spacing w:line="360" w:lineRule="auto" w:after="160" w:before="0"/>
        <w:jc w:val="both"/>
      </w:pPr>
      <w:r>
        <w:rPr>
          <w:rFonts w:ascii="Times New Roman" w:hAnsi="Times New Roman" w:cs="Times New Roman"/>
          <w:b w:val="0"/>
          <w:i w:val="0"/>
          <w:color w:val="000000"/>
          <w:sz w:val="24"/>
        </w:rPr>
        <w:t>First, family contribution funds are under-represented in software-focused research. Informal finance literature often discusses rotating savings groups and financial inclusion, but the non-rotating family purse has different requirements. It needs contribution balances, shared expenses, adjustments, audit trails, and long-term reporting.</w:t>
      </w:r>
    </w:p>
    <w:p>
      <w:pPr>
        <w:keepNext w:val="0"/>
        <w:keepLines w:val="0"/>
        <w:spacing w:line="360" w:lineRule="auto" w:after="160" w:before="0"/>
        <w:jc w:val="both"/>
      </w:pPr>
      <w:r>
        <w:rPr>
          <w:rFonts w:ascii="Times New Roman" w:hAnsi="Times New Roman" w:cs="Times New Roman"/>
          <w:b w:val="0"/>
          <w:i w:val="0"/>
          <w:color w:val="000000"/>
          <w:sz w:val="24"/>
        </w:rPr>
        <w:t>Second, existing digital finance platforms do not match family fund governance. Individual savings tools are useful for personal goals, and lending platforms are useful for formal credit operations, but neither category provides a role-governed family treasury with contribution categories and partial-payment allocation.</w:t>
      </w:r>
    </w:p>
    <w:p>
      <w:pPr>
        <w:keepNext w:val="0"/>
        <w:keepLines w:val="0"/>
        <w:spacing w:line="360" w:lineRule="auto" w:after="160" w:before="0"/>
        <w:jc w:val="both"/>
      </w:pPr>
      <w:r>
        <w:rPr>
          <w:rFonts w:ascii="Times New Roman" w:hAnsi="Times New Roman" w:cs="Times New Roman"/>
          <w:b w:val="0"/>
          <w:i w:val="0"/>
          <w:color w:val="000000"/>
          <w:sz w:val="24"/>
        </w:rPr>
        <w:t>Third, multi-tenancy and RBAC have not been sufficiently discussed in the context of informal family finance. The technical pattern is established, but its application to family trust boundaries is specific. The system must prevent cross-family data exposure while also enforcing role differences within each family.</w:t>
      </w:r>
    </w:p>
    <w:p>
      <w:pPr>
        <w:keepNext w:val="0"/>
        <w:keepLines w:val="0"/>
        <w:spacing w:line="360" w:lineRule="auto" w:after="160" w:before="0"/>
        <w:jc w:val="both"/>
      </w:pPr>
      <w:r>
        <w:rPr>
          <w:rFonts w:ascii="Times New Roman" w:hAnsi="Times New Roman" w:cs="Times New Roman"/>
          <w:b w:val="0"/>
          <w:i w:val="0"/>
          <w:color w:val="000000"/>
          <w:sz w:val="24"/>
        </w:rPr>
        <w:t>Fourth, AI-supported reporting and predictive analytics require careful adaptation. LLMs can improve readability, but financial hallucination is a serious risk. Predictive analytics can be useful, but only when enough reliable historical data exists. FamilyFunds addresses this gap by treating AI as a controlled assistant layer and logistic regression as an advisory, activation-gated component that must outperform training-prevalence and previous-period-late baselines before use.</w:t>
      </w:r>
    </w:p>
    <w:p>
      <w:pPr>
        <w:keepNext w:val="0"/>
        <w:keepLines w:val="0"/>
        <w:spacing w:line="360" w:lineRule="auto" w:after="160" w:before="0"/>
        <w:jc w:val="both"/>
      </w:pPr>
      <w:r>
        <w:rPr>
          <w:rFonts w:ascii="Times New Roman" w:hAnsi="Times New Roman" w:cs="Times New Roman"/>
          <w:b w:val="0"/>
          <w:i w:val="0"/>
          <w:color w:val="000000"/>
          <w:sz w:val="24"/>
        </w:rPr>
        <w:t>The identified gap can therefore be stated as follows: there is limited research and no evident purpose-built system that integrates multi-tenant architecture, family-level RBAC, contribution tracking, deterministic payment allocation, expense management, online payments, AI-assisted reporting, and governed late-payment prediction for informal family contribution funds.</w:t>
      </w:r>
    </w:p>
    <w:p>
      <w:pPr>
        <w:pStyle w:val="Heading3"/>
        <w:spacing w:line="360" w:lineRule="auto" w:before="240" w:after="120"/>
        <w:jc w:val="both"/>
      </w:pPr>
      <w:r>
        <w:rPr>
          <w:rFonts w:ascii="Times New Roman" w:hAnsi="Times New Roman" w:cs="Times New Roman"/>
          <w:b/>
          <w:i w:val="0"/>
          <w:color w:val="000000"/>
          <w:sz w:val="24"/>
        </w:rPr>
        <w:t>2.8 Summary of the Chapter</w:t>
      </w:r>
    </w:p>
    <w:p>
      <w:pPr>
        <w:keepNext w:val="0"/>
        <w:keepLines w:val="0"/>
        <w:spacing w:line="360" w:lineRule="auto" w:after="160" w:before="0"/>
        <w:jc w:val="both"/>
      </w:pPr>
      <w:r>
        <w:rPr>
          <w:rFonts w:ascii="Times New Roman" w:hAnsi="Times New Roman" w:cs="Times New Roman"/>
          <w:b w:val="0"/>
          <w:i w:val="0"/>
          <w:color w:val="000000"/>
          <w:sz w:val="24"/>
        </w:rPr>
        <w:t>This chapter reviewed the concepts, theories, empirical studies, and existing tools relevant to FamilyFunds. It showed that informal finance remains important in Nigeria, but family contribution funds are still managed with weak manual tools. It also showed that multi-tenant architecture, RBAC, payment gateways, AI-assisted reporting, and predictive analytics each offer useful ideas, but none of them alone solves the family fund problem.</w:t>
      </w:r>
    </w:p>
    <w:p>
      <w:pPr>
        <w:keepNext w:val="0"/>
        <w:keepLines w:val="0"/>
        <w:spacing w:line="360" w:lineRule="auto" w:after="160" w:before="0"/>
        <w:jc w:val="both"/>
      </w:pPr>
      <w:r>
        <w:rPr>
          <w:rFonts w:ascii="Times New Roman" w:hAnsi="Times New Roman" w:cs="Times New Roman"/>
          <w:b w:val="0"/>
          <w:i w:val="0"/>
          <w:color w:val="000000"/>
          <w:sz w:val="24"/>
        </w:rPr>
        <w:t>The review established the academic and practical justification for the proposed system. FamilyFunds is positioned as an engineering response to a specific gap: informal family funds need a secure, role-governed, multi-tenant, payment-aware, report-friendly system. Chapter Three builds on this literature by explaining the methodology, design decisions, requirements, diagrams, database structure, tools, and ethical considerations used to develop the proposed system.</w:t>
      </w:r>
    </w:p>
    <w:p>
      <w:pPr>
        <w:pStyle w:val="Heading1"/>
        <w:pageBreakBefore/>
        <w:spacing w:line="360" w:lineRule="auto" w:before="360" w:after="120"/>
        <w:jc w:val="center"/>
      </w:pPr>
      <w:r>
        <w:rPr>
          <w:rFonts w:ascii="Times New Roman" w:hAnsi="Times New Roman" w:cs="Times New Roman"/>
          <w:b/>
          <w:i w:val="0"/>
          <w:color w:val="000000"/>
          <w:sz w:val="32"/>
        </w:rPr>
        <w:t>CHAPTER THREE</w:t>
      </w:r>
    </w:p>
    <w:p>
      <w:pPr>
        <w:pStyle w:val="Heading2"/>
        <w:spacing w:line="360" w:lineRule="auto" w:before="360" w:after="120"/>
        <w:jc w:val="center"/>
      </w:pPr>
      <w:r>
        <w:rPr>
          <w:rFonts w:ascii="Times New Roman" w:hAnsi="Times New Roman" w:cs="Times New Roman"/>
          <w:b/>
          <w:i w:val="0"/>
          <w:color w:val="000000"/>
          <w:sz w:val="28"/>
        </w:rPr>
        <w:t>METHODOLOGY</w:t>
      </w:r>
    </w:p>
    <w:p>
      <w:pPr>
        <w:pStyle w:val="Heading3"/>
        <w:spacing w:line="360" w:lineRule="auto" w:before="240" w:after="120"/>
        <w:jc w:val="both"/>
      </w:pPr>
      <w:r>
        <w:rPr>
          <w:rFonts w:ascii="Times New Roman" w:hAnsi="Times New Roman" w:cs="Times New Roman"/>
          <w:b/>
          <w:i w:val="0"/>
          <w:color w:val="000000"/>
          <w:sz w:val="24"/>
        </w:rPr>
        <w:t>3.1 Introduction to the Chapter</w:t>
      </w:r>
    </w:p>
    <w:p>
      <w:pPr>
        <w:keepNext w:val="0"/>
        <w:keepLines w:val="0"/>
        <w:spacing w:line="360" w:lineRule="auto" w:after="160" w:before="0"/>
        <w:jc w:val="both"/>
      </w:pPr>
      <w:r>
        <w:rPr>
          <w:rFonts w:ascii="Times New Roman" w:hAnsi="Times New Roman" w:cs="Times New Roman"/>
          <w:b w:val="0"/>
          <w:i w:val="0"/>
          <w:color w:val="000000"/>
          <w:sz w:val="24"/>
        </w:rPr>
        <w:t>This chapter explains the methodology used to design and develop FamilyFunds. The aim stated in Chapter One is to build an AI-enhanced multi-tenant web application for managing family contribution funds with secure access, contribution tracking, payment allocation, expense recording, reminders, and reporting. The objectives require both academic investigation and practical system development: review related work, design the system, implement the major modules, integrate controlled AI assistance, implement an activation-gated logistic regression component for late-payment risk, and test the system against functional and quality requirements.</w:t>
      </w:r>
    </w:p>
    <w:p>
      <w:pPr>
        <w:keepNext w:val="0"/>
        <w:keepLines w:val="0"/>
        <w:spacing w:line="360" w:lineRule="auto" w:after="160" w:before="0"/>
        <w:jc w:val="both"/>
      </w:pPr>
      <w:r>
        <w:rPr>
          <w:rFonts w:ascii="Times New Roman" w:hAnsi="Times New Roman" w:cs="Times New Roman"/>
          <w:b w:val="0"/>
          <w:i w:val="0"/>
          <w:color w:val="000000"/>
          <w:sz w:val="24"/>
        </w:rPr>
        <w:t>The chapter therefore covers the project approach, existing-system analysis, proposed-system overview, requirements, data collection, population and sampling considerations, architecture, UML and system diagrams, database design, algorithm and model design, tools and technologies, and ethical considerations. Each methodological choice is linked to the problem: family funds need reliable records, clear responsibilities, private family workspaces, accurate payment handling, and reports that members can understand.</w:t>
      </w:r>
    </w:p>
    <w:p>
      <w:pPr>
        <w:pStyle w:val="Heading3"/>
        <w:spacing w:line="360" w:lineRule="auto" w:before="240" w:after="120"/>
        <w:jc w:val="both"/>
      </w:pPr>
      <w:r>
        <w:rPr>
          <w:rFonts w:ascii="Times New Roman" w:hAnsi="Times New Roman" w:cs="Times New Roman"/>
          <w:b/>
          <w:i w:val="0"/>
          <w:color w:val="000000"/>
          <w:sz w:val="24"/>
        </w:rPr>
        <w:t>3.2 Research Design / Project Approach</w:t>
      </w:r>
    </w:p>
    <w:p>
      <w:pPr>
        <w:keepNext w:val="0"/>
        <w:keepLines w:val="0"/>
        <w:spacing w:line="360" w:lineRule="auto" w:after="160" w:before="0"/>
        <w:jc w:val="both"/>
      </w:pPr>
      <w:r>
        <w:rPr>
          <w:rFonts w:ascii="Times New Roman" w:hAnsi="Times New Roman" w:cs="Times New Roman"/>
          <w:b w:val="0"/>
          <w:i w:val="0"/>
          <w:color w:val="000000"/>
          <w:sz w:val="24"/>
        </w:rPr>
        <w:t>The study uses an applied system-development design. The output of the research is a working software artefact rather than only a survey or theoretical model. This approach is suitable because the central problem is practical: families need a better way to manage contribution funds than notebooks, spreadsheets, and scattered messages. The system is therefore designed, implemented, and validated as a response to identified requirements.</w:t>
      </w:r>
    </w:p>
    <w:p>
      <w:pPr>
        <w:keepNext w:val="0"/>
        <w:keepLines w:val="0"/>
        <w:spacing w:line="360" w:lineRule="auto" w:after="160" w:before="0"/>
        <w:jc w:val="both"/>
      </w:pPr>
      <w:r>
        <w:rPr>
          <w:rFonts w:ascii="Times New Roman" w:hAnsi="Times New Roman" w:cs="Times New Roman"/>
          <w:b w:val="0"/>
          <w:i w:val="0"/>
          <w:color w:val="000000"/>
          <w:sz w:val="24"/>
        </w:rPr>
        <w:t>The software development approach is Agile and iterative. A strict Waterfall model was not selected because family fund requirements are likely to become clearer during design and implementation. A simple feature such as payment recording affects member balances, reports, reminders, AI summaries, and audit trails. If the system were designed once and frozen too early, important realities of the domain would be missed. Agile development supports incremental delivery, review, and correction while still keeping the work tied to the objectives of the study (Karhapää et al., 2021; Schwaber &amp; Sutherland, 2020).</w:t>
      </w:r>
    </w:p>
    <w:p>
      <w:pPr>
        <w:keepNext w:val="0"/>
        <w:keepLines w:val="0"/>
        <w:spacing w:line="360" w:lineRule="auto" w:after="160" w:before="0"/>
        <w:jc w:val="both"/>
      </w:pPr>
      <w:r>
        <w:rPr>
          <w:rFonts w:ascii="Times New Roman" w:hAnsi="Times New Roman" w:cs="Times New Roman"/>
          <w:b w:val="0"/>
          <w:i w:val="0"/>
          <w:color w:val="000000"/>
          <w:sz w:val="24"/>
        </w:rPr>
        <w:t>The work followed five broad stages:</w:t>
      </w:r>
    </w:p>
    <w:p>
      <w:pPr>
        <w:keepNext w:val="0"/>
        <w:keepLines w:val="0"/>
        <w:spacing w:line="360" w:lineRule="auto" w:after="160" w:before="0"/>
        <w:jc w:val="both"/>
      </w:pPr>
      <w:r>
        <w:rPr>
          <w:rFonts w:ascii="Times New Roman" w:hAnsi="Times New Roman" w:cs="Times New Roman"/>
          <w:b w:val="0"/>
          <w:i w:val="0"/>
          <w:color w:val="000000"/>
          <w:sz w:val="24"/>
        </w:rPr>
        <w:t>1. Problem and literature analysis, covering informal finance, existing platforms, multi-tenancy, RBAC, digital payments, AI reporting, and predictive analytics.</w:t>
      </w:r>
    </w:p>
    <w:p>
      <w:pPr>
        <w:keepNext w:val="0"/>
        <w:keepLines w:val="0"/>
        <w:spacing w:line="360" w:lineRule="auto" w:after="160" w:before="0"/>
        <w:jc w:val="both"/>
      </w:pPr>
      <w:r>
        <w:rPr>
          <w:rFonts w:ascii="Times New Roman" w:hAnsi="Times New Roman" w:cs="Times New Roman"/>
          <w:b w:val="0"/>
          <w:i w:val="0"/>
          <w:color w:val="000000"/>
          <w:sz w:val="24"/>
        </w:rPr>
        <w:t>2. Requirements identification, based on the problems observed in manual family fund administration and the gaps established in Chapter Two.</w:t>
      </w:r>
    </w:p>
    <w:p>
      <w:pPr>
        <w:keepNext w:val="0"/>
        <w:keepLines w:val="0"/>
        <w:spacing w:line="360" w:lineRule="auto" w:after="160" w:before="0"/>
        <w:jc w:val="both"/>
      </w:pPr>
      <w:r>
        <w:rPr>
          <w:rFonts w:ascii="Times New Roman" w:hAnsi="Times New Roman" w:cs="Times New Roman"/>
          <w:b w:val="0"/>
          <w:i w:val="0"/>
          <w:color w:val="000000"/>
          <w:sz w:val="24"/>
        </w:rPr>
        <w:t>3. System design, including architecture, data design, user roles, process flows, interface structure, payment allocation, and security controls.</w:t>
      </w:r>
    </w:p>
    <w:p>
      <w:pPr>
        <w:keepNext w:val="0"/>
        <w:keepLines w:val="0"/>
        <w:spacing w:line="360" w:lineRule="auto" w:after="160" w:before="0"/>
        <w:jc w:val="both"/>
      </w:pPr>
      <w:r>
        <w:rPr>
          <w:rFonts w:ascii="Times New Roman" w:hAnsi="Times New Roman" w:cs="Times New Roman"/>
          <w:b w:val="0"/>
          <w:i w:val="0"/>
          <w:color w:val="000000"/>
          <w:sz w:val="24"/>
        </w:rPr>
        <w:t>4. Incremental implementation, where authentication, family management, contributions, payments, expenses, reports, reminders, subscriptions, AI features, and the predictive pipeline were developed in modules.</w:t>
      </w:r>
    </w:p>
    <w:p>
      <w:pPr>
        <w:keepNext w:val="0"/>
        <w:keepLines w:val="0"/>
        <w:spacing w:line="360" w:lineRule="auto" w:after="160" w:before="0"/>
        <w:jc w:val="both"/>
      </w:pPr>
      <w:r>
        <w:rPr>
          <w:rFonts w:ascii="Times New Roman" w:hAnsi="Times New Roman" w:cs="Times New Roman"/>
          <w:b w:val="0"/>
          <w:i w:val="0"/>
          <w:color w:val="000000"/>
          <w:sz w:val="24"/>
        </w:rPr>
        <w:t>5. Validation planning, where the critical behaviours were mapped to tests and acceptance checks, especially tenant isolation, role enforcement, payment allocation, report accuracy, AI response control, and predictive data/evaluation gates.</w:t>
      </w:r>
    </w:p>
    <w:p>
      <w:pPr>
        <w:keepNext w:val="0"/>
        <w:keepLines w:val="0"/>
        <w:spacing w:line="360" w:lineRule="auto" w:after="160" w:before="0"/>
        <w:jc w:val="both"/>
      </w:pPr>
      <w:r>
        <w:rPr>
          <w:rFonts w:ascii="Times New Roman" w:hAnsi="Times New Roman" w:cs="Times New Roman"/>
          <w:b w:val="0"/>
          <w:i w:val="0"/>
          <w:color w:val="000000"/>
          <w:sz w:val="24"/>
        </w:rPr>
        <w:t>This approach allows the project to remain honest about its scope. AI assistant and report-summary features are treated as implemented system features where supported by the application. Predictive analytics uses logistic regression with training-prevalence and previous-period-late baselines, but training and activation remain evidence-dependent because meaningful prediction requires an authorised dataset with adequate history and class variation.</w:t>
      </w:r>
    </w:p>
    <w:p>
      <w:pPr>
        <w:pStyle w:val="Heading3"/>
        <w:spacing w:line="360" w:lineRule="auto" w:before="240" w:after="120"/>
        <w:jc w:val="both"/>
      </w:pPr>
      <w:r>
        <w:rPr>
          <w:rFonts w:ascii="Times New Roman" w:hAnsi="Times New Roman" w:cs="Times New Roman"/>
          <w:b/>
          <w:i w:val="0"/>
          <w:color w:val="000000"/>
          <w:sz w:val="24"/>
        </w:rPr>
        <w:t>3.3 Analysis of Existing System</w:t>
      </w:r>
    </w:p>
    <w:p>
      <w:pPr>
        <w:keepNext w:val="0"/>
        <w:keepLines w:val="0"/>
        <w:spacing w:line="360" w:lineRule="auto" w:after="160" w:before="0"/>
        <w:jc w:val="both"/>
      </w:pPr>
      <w:r>
        <w:rPr>
          <w:rFonts w:ascii="Times New Roman" w:hAnsi="Times New Roman" w:cs="Times New Roman"/>
          <w:b w:val="0"/>
          <w:i w:val="0"/>
          <w:color w:val="000000"/>
          <w:sz w:val="24"/>
        </w:rPr>
        <w:t>The existing system is the manual or semi-digital method commonly used by families to manage contribution funds. In this arrangement, a family appoints a treasurer or financial secretary. Members send contributions through cash, bank transfer, or informal handover. The financial secretary records payments in a notebook, a spreadsheet, a phone note, or a WhatsApp message thread. Reports are given verbally, posted as text summaries, or shared as screenshots.</w:t>
      </w:r>
    </w:p>
    <w:p>
      <w:pPr>
        <w:keepNext w:val="0"/>
        <w:keepLines w:val="0"/>
        <w:spacing w:line="360" w:lineRule="auto" w:after="160" w:before="0"/>
        <w:jc w:val="both"/>
      </w:pPr>
      <w:r>
        <w:rPr>
          <w:rFonts w:ascii="Times New Roman" w:hAnsi="Times New Roman" w:cs="Times New Roman"/>
          <w:b w:val="0"/>
          <w:i w:val="0"/>
          <w:color w:val="000000"/>
          <w:sz w:val="24"/>
        </w:rPr>
        <w:t>This existing process has several weaknesses. First, records are fragmented. A payment may exist in a bank alert, a WhatsApp screenshot, and a handwritten note, but those pieces may not agree. Second, roles are informal. A family may know who the financial secretary is, but the tools being used do not technically prevent other people from editing a spreadsheet or forwarding wrong information. Third, partial and lump-sum payments are difficult to allocate consistently. Fourth, expense records are often separate from contribution records, making it hard to calculate the true fund balance. Fifth, reporting depends on manual effort, so reports may be delayed, incomplete, or written in a way that ordinary members cannot interpret.</w:t>
      </w:r>
    </w:p>
    <w:p>
      <w:pPr>
        <w:keepNext w:val="0"/>
        <w:keepLines w:val="0"/>
        <w:spacing w:line="360" w:lineRule="auto" w:after="160" w:before="0"/>
        <w:jc w:val="both"/>
      </w:pPr>
      <w:r>
        <w:rPr>
          <w:rFonts w:ascii="Times New Roman" w:hAnsi="Times New Roman" w:cs="Times New Roman"/>
          <w:b w:val="0"/>
          <w:i w:val="0"/>
          <w:color w:val="000000"/>
          <w:sz w:val="24"/>
        </w:rPr>
        <w:t>Figure 3.1 summarises the existing manual family fund process.</w:t>
      </w:r>
    </w:p>
    <w:p>
      <w:pPr>
        <w:keepNext/>
        <w:keepLines w:val="0"/>
        <w:spacing w:line="360" w:lineRule="auto" w:after="160" w:before="0"/>
        <w:jc w:val="center"/>
      </w:pPr>
      <w:r>
        <w:rPr>
          <w:rFonts w:ascii="Times New Roman" w:hAnsi="Times New Roman" w:cs="Times New Roman"/>
          <w:b/>
          <w:i w:val="0"/>
          <w:color w:val="000000"/>
          <w:sz w:val="24"/>
        </w:rPr>
        <w:t>Figure 3.1: Existing Manual Family Fund Process</w:t>
      </w:r>
    </w:p>
    <w:p>
      <w:pPr>
        <w:keepLines/>
        <w:jc w:val="center"/>
      </w:pPr>
      <w:r>
        <w:drawing>
          <wp:inline xmlns:a="http://schemas.openxmlformats.org/drawingml/2006/main" xmlns:pic="http://schemas.openxmlformats.org/drawingml/2006/picture">
            <wp:extent cx="5760720" cy="2592324"/>
            <wp:docPr id="1" name="Picture 1"/>
            <wp:cNvGraphicFramePr>
              <a:graphicFrameLocks noChangeAspect="1"/>
            </wp:cNvGraphicFramePr>
            <a:graphic>
              <a:graphicData uri="http://schemas.openxmlformats.org/drawingml/2006/picture">
                <pic:pic>
                  <pic:nvPicPr>
                    <pic:cNvPr id="0" name="chapter-3-existing-system-flow.png"/>
                    <pic:cNvPicPr/>
                  </pic:nvPicPr>
                  <pic:blipFill>
                    <a:blip r:embed="rId9"/>
                    <a:stretch>
                      <a:fillRect/>
                    </a:stretch>
                  </pic:blipFill>
                  <pic:spPr>
                    <a:xfrm>
                      <a:off x="0" y="0"/>
                      <a:ext cx="5760720" cy="2592324"/>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The major bottleneck in the existing system is that the family record depends too much on one person's manual discipline. Even when the person is honest, the process does not provide enough structure for verification, audit, payment allocation, or tenant-level privacy. These weaknesses justify the need for a purpose-built system.</w:t>
      </w:r>
    </w:p>
    <w:p>
      <w:pPr>
        <w:pStyle w:val="Heading3"/>
        <w:spacing w:line="360" w:lineRule="auto" w:before="240" w:after="120"/>
        <w:jc w:val="both"/>
      </w:pPr>
      <w:r>
        <w:rPr>
          <w:rFonts w:ascii="Times New Roman" w:hAnsi="Times New Roman" w:cs="Times New Roman"/>
          <w:b/>
          <w:i w:val="0"/>
          <w:color w:val="000000"/>
          <w:sz w:val="24"/>
        </w:rPr>
        <w:t>3.4 Proposed System Overview</w:t>
      </w:r>
    </w:p>
    <w:p>
      <w:pPr>
        <w:keepNext w:val="0"/>
        <w:keepLines w:val="0"/>
        <w:spacing w:line="360" w:lineRule="auto" w:after="160" w:before="0"/>
        <w:jc w:val="both"/>
      </w:pPr>
      <w:r>
        <w:rPr>
          <w:rFonts w:ascii="Times New Roman" w:hAnsi="Times New Roman" w:cs="Times New Roman"/>
          <w:b w:val="0"/>
          <w:i w:val="0"/>
          <w:color w:val="000000"/>
          <w:sz w:val="24"/>
        </w:rPr>
        <w:t>The proposed system is FamilyFunds, a multi-tenant web application for family contribution fund management. Each family operates in its own workspace, while the platform uses shared infrastructure. Users are assigned roles that determine what they can see and do. The system records members, contribution categories, monthly obligations, payments, expenses, adjustments, reminders, reports, subscription plans, and AI assistant interactions.</w:t>
      </w:r>
    </w:p>
    <w:p>
      <w:pPr>
        <w:keepNext w:val="0"/>
        <w:keepLines w:val="0"/>
        <w:spacing w:line="360" w:lineRule="auto" w:after="160" w:before="0"/>
        <w:jc w:val="both"/>
      </w:pPr>
      <w:r>
        <w:rPr>
          <w:rFonts w:ascii="Times New Roman" w:hAnsi="Times New Roman" w:cs="Times New Roman"/>
          <w:b w:val="0"/>
          <w:i w:val="0"/>
          <w:color w:val="000000"/>
          <w:sz w:val="24"/>
        </w:rPr>
        <w:t>FamilyFunds resolves the problems in the existing system by moving the authoritative record into a structured PostgreSQL database. It also introduces role-based access control, Paystack payment support, deterministic oldest-balance-first payment allocation, automated contribution generation, reminders, and clear reports. AI assistance is added as a controlled interface for answering permitted questions and summarising reports in plain language.</w:t>
      </w:r>
    </w:p>
    <w:p>
      <w:pPr>
        <w:keepNext/>
        <w:keepLines w:val="0"/>
        <w:spacing w:line="360" w:lineRule="auto" w:after="160" w:before="0"/>
        <w:jc w:val="center"/>
      </w:pPr>
      <w:r>
        <w:rPr>
          <w:rFonts w:ascii="Times New Roman" w:hAnsi="Times New Roman" w:cs="Times New Roman"/>
          <w:b/>
          <w:i w:val="0"/>
          <w:color w:val="000000"/>
          <w:sz w:val="24"/>
        </w:rPr>
        <w:t>Table 3.1: Summary of Proposed System Features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645"/>
        <w:gridCol w:w="5261"/>
      </w:tblGrid>
      <w:tr>
        <w:trPr>
          <w:tblHeader w:val="true"/>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Feature Area</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Description</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Multi-tenant family workspaces</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Each family has a logically isolated workspace within the same application.</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Role-based access control</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 Administrator, Financial Secretary, Member, and Platform Super Administrator have separate permissions.</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Contribution categories</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Families define monthly contribution amounts for groups such as employed members, students, or other categories.</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Monthly contribution generation</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The system creates contribution obligations for paying members based on category and due date.</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recording</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Authorised users record offline payments, while members can initiate online payments through Paystack.</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allocation</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Payments are applied to the oldest outstanding balances first.</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Expenses and adjustments</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 spending, donations, corrections, and other balance movements are recorded.</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Reminders</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Email, browser push, and WhatsApp-related reminder flows support follow-up.</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Reports</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Monthly and annual reports show collections, balances, expenses, and member status.</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AI assistant and summaries</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The assistant answers role-permitted questions and supports plain-language report summaries.</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analytics</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An activation-gated logistic regression component estimates late-payment risk only after data and evaluation requirements are satisfied.</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Security controls</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Email verification, password hashing, two-factor authentication, passkeys, signed invitations, policies, and tenant scoping protect the system.</w:t>
            </w:r>
          </w:p>
        </w:tc>
      </w:tr>
    </w:tbl>
    <w:p/>
    <w:p>
      <w:pPr>
        <w:keepNext w:val="0"/>
        <w:keepLines w:val="0"/>
        <w:spacing w:line="360" w:lineRule="auto" w:after="160" w:before="0"/>
        <w:jc w:val="both"/>
      </w:pPr>
      <w:r>
        <w:rPr>
          <w:rFonts w:ascii="Times New Roman" w:hAnsi="Times New Roman" w:cs="Times New Roman"/>
          <w:b w:val="0"/>
          <w:i w:val="0"/>
          <w:color w:val="000000"/>
          <w:sz w:val="24"/>
        </w:rPr>
        <w:t>Bank reconciliation was not part of the original requirement set above. It emerged during later Agile iterations when immutable receipts, expenses, adjustments, provider settlements, and imported bank transactions needed a governed way to be compared. Chapter Four therefore reports reconciliation as a post-design extension rather than presenting it retrospectively as an original requirement.</w:t>
      </w:r>
    </w:p>
    <w:p>
      <w:pPr>
        <w:pStyle w:val="Heading3"/>
        <w:spacing w:line="360" w:lineRule="auto" w:before="240" w:after="120"/>
        <w:jc w:val="both"/>
      </w:pPr>
      <w:r>
        <w:rPr>
          <w:rFonts w:ascii="Times New Roman" w:hAnsi="Times New Roman" w:cs="Times New Roman"/>
          <w:b/>
          <w:i w:val="0"/>
          <w:color w:val="000000"/>
          <w:sz w:val="24"/>
        </w:rPr>
        <w:t>3.5 System Requirements</w:t>
      </w:r>
    </w:p>
    <w:p>
      <w:pPr>
        <w:keepNext w:val="0"/>
        <w:keepLines w:val="0"/>
        <w:spacing w:line="360" w:lineRule="auto" w:after="160" w:before="0"/>
        <w:jc w:val="both"/>
      </w:pPr>
      <w:r>
        <w:rPr>
          <w:rFonts w:ascii="Times New Roman" w:hAnsi="Times New Roman" w:cs="Times New Roman"/>
          <w:b w:val="0"/>
          <w:i w:val="0"/>
          <w:color w:val="000000"/>
          <w:sz w:val="24"/>
        </w:rPr>
        <w:t>System requirements define what the system must do and the qualities it must maintain while doing so. The requirements below are written to be testable because vague requirements such as "the system should be fast" do not help implementation or validation.</w:t>
      </w:r>
    </w:p>
    <w:p>
      <w:pPr>
        <w:pStyle w:val="Heading4"/>
        <w:spacing w:line="360" w:lineRule="auto" w:before="240" w:after="120"/>
        <w:jc w:val="both"/>
      </w:pPr>
      <w:r>
        <w:rPr>
          <w:rFonts w:ascii="Times New Roman" w:hAnsi="Times New Roman" w:cs="Times New Roman"/>
          <w:b/>
          <w:i w:val="0"/>
          <w:color w:val="000000"/>
          <w:sz w:val="24"/>
        </w:rPr>
        <w:t>3.5.1 Functional Requirements</w:t>
      </w:r>
    </w:p>
    <w:p>
      <w:pPr>
        <w:keepNext/>
        <w:keepLines w:val="0"/>
        <w:spacing w:line="360" w:lineRule="auto" w:after="160" w:before="0"/>
        <w:jc w:val="center"/>
      </w:pPr>
      <w:r>
        <w:rPr>
          <w:rFonts w:ascii="Times New Roman" w:hAnsi="Times New Roman" w:cs="Times New Roman"/>
          <w:b/>
          <w:i w:val="0"/>
          <w:color w:val="000000"/>
          <w:sz w:val="24"/>
        </w:rPr>
        <w:t>Table 3.2: Functional Requirements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10"/>
        <w:gridCol w:w="2304"/>
        <w:gridCol w:w="3183"/>
        <w:gridCol w:w="2409"/>
      </w:tblGrid>
      <w:tr>
        <w:trPr>
          <w:tblHeader w:val="true"/>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ID</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Requirement</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Description</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Main Actor</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User authentication</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Users shall register, log in, verify email, reset passwords, and manage account security.</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All users</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FR2</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workspace creation</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 family administrator shall create and configure a family workspace.</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FR3</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 invitation</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allow administrators to invite members using secure invitation links.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FR4</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Role assignment</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support Family Admin, Financial Secretary, Member, and Platform Super Admin roles.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FR5</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Contribution category setup</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Administrators shall define contribution categories and monthly amounts.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FR6</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Monthly contribution generation</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generate monthly obligations for paying members.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System</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FR7</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Contribution status tracking</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show unpaid, partially paid, paid, and overdue statuses.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All authorised users</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FR8</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Manual payment recording</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officers shall record cash, transfer, or offline payments.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FR9</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Online payment processing</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Members shall initiate online payments through Paystack where enabled.</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FR10</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Payment verification</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verify Paystack transactions before marking them successful.</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System</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FR11</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Payment allocation</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allocate payments to the oldest outstanding contribution balances first.</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System</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FR12</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Expense recording</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users shall record family expenses with amount, date, description, and recorder.</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FR13</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Fund adjustment recording</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users shall record donations, corrections, and other non-contribution balance movements.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FR14</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Reports</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generate monthly and annual reports for contributions, payments, expenses, adjustments, and balances.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FR15</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 dashboard</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Members shall view personal balances, payment history, and contribution status.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FR16</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Reminders</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users shall send or trigger contribution reminders through supported channels.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FR17</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Subscription management</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Families shall access platform plans with member limits and feature availability.</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FR18</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assistant</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assistant shall answer questions using permitted family data and role-aware tools.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users</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FR19</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report summary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support plain-language summaries of financial reports.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FR20</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analytics</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officers shall receive an advisory due-date-outstanding result only from a versioned model that passed the defined gates: unavailable for zero to two mature periods, pooled non-individualised baseline for three to five, experimental logistic score for six to eleven, and standard logistic score for twelve or more; a missing, stale, corrupt, incompatible, or ineligible model shall remain unavailable.</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bl>
    <w:p/>
    <w:p>
      <w:pPr>
        <w:pStyle w:val="Heading4"/>
        <w:spacing w:line="360" w:lineRule="auto" w:before="240" w:after="120"/>
        <w:jc w:val="both"/>
      </w:pPr>
      <w:r>
        <w:rPr>
          <w:rFonts w:ascii="Times New Roman" w:hAnsi="Times New Roman" w:cs="Times New Roman"/>
          <w:b/>
          <w:i w:val="0"/>
          <w:color w:val="000000"/>
          <w:sz w:val="24"/>
        </w:rPr>
        <w:t>3.5.2 Non-Functional Requirements</w:t>
      </w:r>
    </w:p>
    <w:p>
      <w:pPr>
        <w:keepNext/>
        <w:keepLines w:val="0"/>
        <w:spacing w:line="360" w:lineRule="auto" w:after="160" w:before="0"/>
        <w:jc w:val="center"/>
      </w:pPr>
      <w:r>
        <w:rPr>
          <w:rFonts w:ascii="Times New Roman" w:hAnsi="Times New Roman" w:cs="Times New Roman"/>
          <w:b/>
          <w:i w:val="0"/>
          <w:color w:val="000000"/>
          <w:sz w:val="24"/>
        </w:rPr>
        <w:t>Table 3.3: Non-Functional Requirements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10"/>
        <w:gridCol w:w="1527"/>
        <w:gridCol w:w="3183"/>
        <w:gridCol w:w="3186"/>
      </w:tblGrid>
      <w:tr>
        <w:trPr>
          <w:tblHeader w:val="true"/>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ID</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Category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Requirement</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Expected Measure</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Security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 user shall access only records belonging to the user's family tenant.</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Cross-family access attempts are denied.</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NFR2</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Security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Sensitive actions shall be restricted by role.</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Members cannot record payments or alter family settings.</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NFR3</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Security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User accounts shall support strong authentication controls.</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Email verification, 2FA, passkeys, and password hashing are available.</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NFR4</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Reliability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Payment allocation shall be deterministic.</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same payment history produces the same balances.</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NFR5</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Reliability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Paystack callbacks shall not create duplicate successful payments.</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Repeated callback events do not double-record payments.</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NFR6</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Usability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Common workflows shall be usable on mobile and desktop browsers.</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Key pages remain responsive and readable.</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NFR7</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Usability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Reports shall be understandable to non-accounting users.</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Summary text and tables use clear labels and plain language.</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NFR8</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Performance</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Dashboard and report pages shall remain responsive for ordinary family sizes.</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Common pages load within an acceptable time during testing.</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NFR9</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Maintainability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Modules shall remain separated by responsibility.</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Authentication, payments, reports, and AI logic are not mixed into one layer.</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NFR10</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Auditability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Financial records shall store relevant dates, amounts, users, and relationships.</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Transactions can be reviewed and reconciled.</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NFR11</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Privacy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features shall use only the data needed for the user's request.</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Prompts and tool calls avoid unnecessary personal exposure.</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NFR12</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Availability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deployed system shall support HTTPS, queues, scheduler, and backups.</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Required services are configured in deployment.</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NFR13</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Model governance</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output shall be reproducible and activation-gated.</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Dataset schema, feature version, split, coefficients, baselines, and evaluation artefacts are recorded before activation.</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NFR14</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Model safety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output shall be advisory, role-restricted, and honest about insufficient history.</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Predictions do not trigger automatic penalties and unavailable cases show a clear reason.</w:t>
            </w:r>
          </w:p>
        </w:tc>
      </w:tr>
    </w:tbl>
    <w:p/>
    <w:p>
      <w:pPr>
        <w:pStyle w:val="Heading4"/>
        <w:spacing w:line="360" w:lineRule="auto" w:before="240" w:after="120"/>
        <w:jc w:val="both"/>
      </w:pPr>
      <w:r>
        <w:rPr>
          <w:rFonts w:ascii="Times New Roman" w:hAnsi="Times New Roman" w:cs="Times New Roman"/>
          <w:b/>
          <w:i w:val="0"/>
          <w:color w:val="000000"/>
          <w:sz w:val="24"/>
        </w:rPr>
        <w:t>3.5.3 Deployment Requirements</w:t>
      </w:r>
    </w:p>
    <w:p>
      <w:pPr>
        <w:keepNext/>
        <w:keepLines w:val="0"/>
        <w:spacing w:line="360" w:lineRule="auto" w:after="160" w:before="0"/>
        <w:jc w:val="center"/>
      </w:pPr>
      <w:r>
        <w:rPr>
          <w:rFonts w:ascii="Times New Roman" w:hAnsi="Times New Roman" w:cs="Times New Roman"/>
          <w:b/>
          <w:i w:val="0"/>
          <w:color w:val="000000"/>
          <w:sz w:val="24"/>
        </w:rPr>
        <w:t>Table 3.4: Deployment Requirements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70"/>
        <w:gridCol w:w="5636"/>
      </w:tblGrid>
      <w:tr>
        <w:trPr>
          <w:tblHeader w:val="true"/>
          <w:cantSplit w:val="true"/>
        </w:trPr>
        <w:tc>
          <w:tcPr>
            <w:tcW w:type="dxa" w:w="327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Requirement Type</w:t>
            </w:r>
          </w:p>
        </w:tc>
        <w:tc>
          <w:tcPr>
            <w:tcW w:type="dxa" w:w="563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Requirement</w:t>
            </w:r>
          </w:p>
        </w:tc>
      </w:tr>
      <w:tr>
        <w:trPr>
          <w:cantSplit w:val="true"/>
        </w:trPr>
        <w:tc>
          <w:tcPr>
            <w:tcW w:type="dxa" w:w="32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Runtime</w:t>
            </w:r>
          </w:p>
        </w:tc>
        <w:tc>
          <w:tcPr>
            <w:tcW w:type="dxa" w:w="563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PHP 8.4 or later with required Laravel extensions</w:t>
            </w:r>
          </w:p>
        </w:tc>
      </w:tr>
      <w:tr>
        <w:trPr>
          <w:cantSplit w:val="true"/>
        </w:trPr>
        <w:tc>
          <w:tcPr>
            <w:tcW w:type="dxa" w:w="32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Dependency tools</w:t>
            </w:r>
          </w:p>
        </w:tc>
        <w:tc>
          <w:tcPr>
            <w:tcW w:type="dxa" w:w="563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Composer, Node.js, npm, and Vite build process</w:t>
            </w:r>
          </w:p>
        </w:tc>
      </w:tr>
      <w:tr>
        <w:trPr>
          <w:cantSplit w:val="true"/>
        </w:trPr>
        <w:tc>
          <w:tcPr>
            <w:tcW w:type="dxa" w:w="32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Database</w:t>
            </w:r>
          </w:p>
        </w:tc>
        <w:tc>
          <w:tcPr>
            <w:tcW w:type="dxa" w:w="563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PostgreSQL database with secure credentials and backups</w:t>
            </w:r>
          </w:p>
        </w:tc>
      </w:tr>
      <w:tr>
        <w:trPr>
          <w:cantSplit w:val="true"/>
        </w:trPr>
        <w:tc>
          <w:tcPr>
            <w:tcW w:type="dxa" w:w="32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Web server</w:t>
            </w:r>
          </w:p>
        </w:tc>
        <w:tc>
          <w:tcPr>
            <w:tcW w:type="dxa" w:w="563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HTTPS-enabled Nginx, Apache, Laravel Cloud, or equivalent platform</w:t>
            </w:r>
          </w:p>
        </w:tc>
      </w:tr>
      <w:tr>
        <w:trPr>
          <w:cantSplit w:val="true"/>
        </w:trPr>
        <w:tc>
          <w:tcPr>
            <w:tcW w:type="dxa" w:w="32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Background processing</w:t>
            </w:r>
          </w:p>
        </w:tc>
        <w:tc>
          <w:tcPr>
            <w:tcW w:type="dxa" w:w="563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Queue worker and Laravel scheduler for jobs and reminders</w:t>
            </w:r>
          </w:p>
        </w:tc>
      </w:tr>
      <w:tr>
        <w:trPr>
          <w:cantSplit w:val="true"/>
        </w:trPr>
        <w:tc>
          <w:tcPr>
            <w:tcW w:type="dxa" w:w="32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Environment configuration</w:t>
            </w:r>
          </w:p>
        </w:tc>
        <w:tc>
          <w:tcPr>
            <w:tcW w:type="dxa" w:w="563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.env variables for database, mail, Paystack, AI provider, WhatsApp-related settings, and app keys</w:t>
            </w:r>
          </w:p>
        </w:tc>
      </w:tr>
      <w:tr>
        <w:trPr>
          <w:cantSplit w:val="true"/>
        </w:trPr>
        <w:tc>
          <w:tcPr>
            <w:tcW w:type="dxa" w:w="32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Security</w:t>
            </w:r>
          </w:p>
        </w:tc>
        <w:tc>
          <w:tcPr>
            <w:tcW w:type="dxa" w:w="563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HTTPS, password hashing, signed URLs, webhook validation, and restricted credentials</w:t>
            </w:r>
          </w:p>
        </w:tc>
      </w:tr>
      <w:tr>
        <w:trPr>
          <w:cantSplit w:val="true"/>
        </w:trPr>
        <w:tc>
          <w:tcPr>
            <w:tcW w:type="dxa" w:w="32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runtime</w:t>
            </w:r>
          </w:p>
        </w:tc>
        <w:tc>
          <w:tcPr>
            <w:tcW w:type="dxa" w:w="563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Versioned logistic-regression training and inference components, with activation disabled until model evidence is complete</w:t>
            </w:r>
          </w:p>
        </w:tc>
      </w:tr>
    </w:tbl>
    <w:p/>
    <w:p>
      <w:pPr>
        <w:pStyle w:val="Heading3"/>
        <w:spacing w:line="360" w:lineRule="auto" w:before="240" w:after="120"/>
        <w:jc w:val="both"/>
      </w:pPr>
      <w:r>
        <w:rPr>
          <w:rFonts w:ascii="Times New Roman" w:hAnsi="Times New Roman" w:cs="Times New Roman"/>
          <w:b/>
          <w:i w:val="0"/>
          <w:color w:val="000000"/>
          <w:sz w:val="24"/>
        </w:rPr>
        <w:t>3.6 Data Collection Methods</w:t>
      </w:r>
    </w:p>
    <w:p>
      <w:pPr>
        <w:keepNext w:val="0"/>
        <w:keepLines w:val="0"/>
        <w:spacing w:line="360" w:lineRule="auto" w:after="160" w:before="0"/>
        <w:jc w:val="both"/>
      </w:pPr>
      <w:r>
        <w:rPr>
          <w:rFonts w:ascii="Times New Roman" w:hAnsi="Times New Roman" w:cs="Times New Roman"/>
          <w:b w:val="0"/>
          <w:i w:val="0"/>
          <w:color w:val="000000"/>
          <w:sz w:val="24"/>
        </w:rPr>
        <w:t>This project does not rely on a formal questionnaire or invented survey data. The data used for the methodology came from four honest sources. The first source was literature and document analysis, including studies on informal finance, digital financial inclusion, SaaS multi-tenancy, RBAC, digital payments, AI reporting, and predictive analytics. The second source was observation of typical family fund administration: how members are added, how contribution amounts are agreed, how payments are announced, and how balances are reconciled. The third source was analysis of existing tools such as PiggyVest, Cowrywise, CreditClan, Lendsqr, WhatsApp, and spreadsheets. The fourth source was the system's own development artefacts: routes, controllers, models, migrations, diagrams, requirements, and test scenarios.</w:t>
      </w:r>
    </w:p>
    <w:p>
      <w:pPr>
        <w:keepNext w:val="0"/>
        <w:keepLines w:val="0"/>
        <w:spacing w:line="360" w:lineRule="auto" w:after="160" w:before="0"/>
        <w:jc w:val="both"/>
      </w:pPr>
      <w:r>
        <w:rPr>
          <w:rFonts w:ascii="Times New Roman" w:hAnsi="Times New Roman" w:cs="Times New Roman"/>
          <w:b w:val="0"/>
          <w:i w:val="0"/>
          <w:color w:val="000000"/>
          <w:sz w:val="24"/>
        </w:rPr>
        <w:t>For AI and predictive features, the relevant data is system-generated family fund data such as contribution periods, obligation-creation timestamps, due dates, expected amounts, amounts paid by the due date, payment counts, and first/full-settlement timestamps. No personal data is invented for the study. Predictive training requires a separately authorised, de-identified export whose provenance, digest, time window, schema, consent basis, and point-in-time correctness can be recorded. Because the locked twelve-column export cannot encode the time-varying effect of a later financial reversal, its provenance policy also requires histories containing reversed allocations to be excluded upstream; the minimum-data gate is then applied to the remaining histories. No such private CSV is present in this repository. Where sample data is used for software testing or demonstration, it is treated as test data and is not used to support real-world model-performance claims.</w:t>
      </w:r>
    </w:p>
    <w:p>
      <w:pPr>
        <w:pStyle w:val="Heading3"/>
        <w:spacing w:line="360" w:lineRule="auto" w:before="240" w:after="120"/>
        <w:jc w:val="both"/>
      </w:pPr>
      <w:r>
        <w:rPr>
          <w:rFonts w:ascii="Times New Roman" w:hAnsi="Times New Roman" w:cs="Times New Roman"/>
          <w:b/>
          <w:i w:val="0"/>
          <w:color w:val="000000"/>
          <w:sz w:val="24"/>
        </w:rPr>
        <w:t>3.7 Population and Sampling</w:t>
      </w:r>
    </w:p>
    <w:p>
      <w:pPr>
        <w:keepNext w:val="0"/>
        <w:keepLines w:val="0"/>
        <w:spacing w:line="360" w:lineRule="auto" w:after="160" w:before="0"/>
        <w:jc w:val="both"/>
      </w:pPr>
      <w:r>
        <w:rPr>
          <w:rFonts w:ascii="Times New Roman" w:hAnsi="Times New Roman" w:cs="Times New Roman"/>
          <w:b w:val="0"/>
          <w:i w:val="0"/>
          <w:color w:val="000000"/>
          <w:sz w:val="24"/>
        </w:rPr>
        <w:t>The study is mainly a system-development project, so it does not use a statistical population or probability sampling method. The relevant user population for design purposes consists of the people who normally participate in a family contribution fund: family administrators, financial secretaries, ordinary members, and the platform administrator.</w:t>
      </w:r>
    </w:p>
    <w:p>
      <w:pPr>
        <w:keepNext w:val="0"/>
        <w:keepLines w:val="0"/>
        <w:spacing w:line="360" w:lineRule="auto" w:after="160" w:before="0"/>
        <w:jc w:val="both"/>
      </w:pPr>
      <w:r>
        <w:rPr>
          <w:rFonts w:ascii="Times New Roman" w:hAnsi="Times New Roman" w:cs="Times New Roman"/>
          <w:b w:val="0"/>
          <w:i w:val="0"/>
          <w:color w:val="000000"/>
          <w:sz w:val="24"/>
        </w:rPr>
        <w:t>Validation scenarios are selected purposively because the aim is to test whether the artefact behaves correctly in the most important use cases. The selected scenarios include creating a family, inviting members, assigning roles, generating contributions, recording partial payments, initiating Paystack payments, viewing dashboards, sending reminders, generating reports, using AI assistance, preventing cross-family access, rejecting invalid predictive inputs, and showing unavailable or pooled predictive states when history is insufficient. This sampling approach is appropriate because correctness is judged by system behaviour under realistic workflows, not by generalising survey responses.</w:t>
      </w:r>
    </w:p>
    <w:p>
      <w:pPr>
        <w:pStyle w:val="Heading3"/>
        <w:spacing w:line="360" w:lineRule="auto" w:before="240" w:after="120"/>
        <w:jc w:val="both"/>
      </w:pPr>
      <w:r>
        <w:rPr>
          <w:rFonts w:ascii="Times New Roman" w:hAnsi="Times New Roman" w:cs="Times New Roman"/>
          <w:b/>
          <w:i w:val="0"/>
          <w:color w:val="000000"/>
          <w:sz w:val="24"/>
        </w:rPr>
        <w:t>3.8 System Architecture / Design</w:t>
      </w:r>
    </w:p>
    <w:p>
      <w:pPr>
        <w:keepNext w:val="0"/>
        <w:keepLines w:val="0"/>
        <w:spacing w:line="360" w:lineRule="auto" w:after="160" w:before="0"/>
        <w:jc w:val="both"/>
      </w:pPr>
      <w:r>
        <w:rPr>
          <w:rFonts w:ascii="Times New Roman" w:hAnsi="Times New Roman" w:cs="Times New Roman"/>
          <w:b w:val="0"/>
          <w:i w:val="0"/>
          <w:color w:val="000000"/>
          <w:sz w:val="24"/>
        </w:rPr>
        <w:t>FamilyFunds is designed as a layered, modular monolith. The frontend layer uses Vue.js and Inertia.js to present dashboards, forms, reports, settings, AI chat screens, and predictive advisory states. The application layer uses Laravel controllers, requests, services, policies, jobs, commands, and AI tools. The data layer uses PostgreSQL to store families, users, contributions, payments, expenses, adjustments, plans, notifications, passkeys, WhatsApp-related messages, AI conversations, payment-risk model metadata, and immutable predictions. A separate offline Python package validates authorised exports, trains and evaluates logistic regression, and produces a portable artefact for Laravel. External services include Paystack for payments and subscriptions, mail and messaging channels for communication, and AI providers for assistant functions.</w:t>
      </w:r>
    </w:p>
    <w:p>
      <w:pPr>
        <w:keepNext w:val="0"/>
        <w:keepLines w:val="0"/>
        <w:spacing w:line="360" w:lineRule="auto" w:after="160" w:before="0"/>
        <w:jc w:val="both"/>
      </w:pPr>
      <w:r>
        <w:rPr>
          <w:rFonts w:ascii="Times New Roman" w:hAnsi="Times New Roman" w:cs="Times New Roman"/>
          <w:b w:val="0"/>
          <w:i w:val="0"/>
          <w:color w:val="000000"/>
          <w:sz w:val="24"/>
        </w:rPr>
        <w:t>Figure 3.2 shows the high-level architecture.</w:t>
      </w:r>
    </w:p>
    <w:p>
      <w:pPr>
        <w:keepNext/>
        <w:keepLines w:val="0"/>
        <w:spacing w:line="360" w:lineRule="auto" w:after="160" w:before="0"/>
        <w:jc w:val="center"/>
      </w:pPr>
      <w:r>
        <w:rPr>
          <w:rFonts w:ascii="Times New Roman" w:hAnsi="Times New Roman" w:cs="Times New Roman"/>
          <w:b/>
          <w:i w:val="0"/>
          <w:color w:val="000000"/>
          <w:sz w:val="24"/>
        </w:rPr>
        <w:t>Figure 3.2: System Architecture Diagram</w:t>
      </w:r>
    </w:p>
    <w:p>
      <w:pPr>
        <w:keepLines/>
        <w:jc w:val="center"/>
      </w:pPr>
      <w:r>
        <w:drawing>
          <wp:inline xmlns:a="http://schemas.openxmlformats.org/drawingml/2006/main" xmlns:pic="http://schemas.openxmlformats.org/drawingml/2006/picture">
            <wp:extent cx="5760720" cy="3152231"/>
            <wp:docPr id="2" name="Picture 2"/>
            <wp:cNvGraphicFramePr>
              <a:graphicFrameLocks noChangeAspect="1"/>
            </wp:cNvGraphicFramePr>
            <a:graphic>
              <a:graphicData uri="http://schemas.openxmlformats.org/drawingml/2006/picture">
                <pic:pic>
                  <pic:nvPicPr>
                    <pic:cNvPr id="0" name="slide-05-system-architecture-full-trimmed.png"/>
                    <pic:cNvPicPr/>
                  </pic:nvPicPr>
                  <pic:blipFill>
                    <a:blip r:embed="rId10"/>
                    <a:stretch>
                      <a:fillRect/>
                    </a:stretch>
                  </pic:blipFill>
                  <pic:spPr>
                    <a:xfrm>
                      <a:off x="0" y="0"/>
                      <a:ext cx="5760720" cy="3152231"/>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The architecture uses shared-schema multi-tenancy. Each family-specific record carries a family_id where appropriate. Middleware, policies, validation, and query scoping enforce the boundary. This strategy keeps the system practical for many small family groups while still maintaining logical separation. The design also keeps external services outside the authority of the application. Paystack verifies transactions, but Laravel decides how verified payments affect contribution records. The AI provider generates language, but Laravel controls permissions, tools, and data access.</w:t>
      </w:r>
    </w:p>
    <w:p>
      <w:pPr>
        <w:pStyle w:val="Heading3"/>
        <w:spacing w:line="360" w:lineRule="auto" w:before="240" w:after="120"/>
        <w:jc w:val="both"/>
      </w:pPr>
      <w:r>
        <w:rPr>
          <w:rFonts w:ascii="Times New Roman" w:hAnsi="Times New Roman" w:cs="Times New Roman"/>
          <w:b/>
          <w:i w:val="0"/>
          <w:color w:val="000000"/>
          <w:sz w:val="24"/>
        </w:rPr>
        <w:t>3.9 Use Case / UML Diagrams</w:t>
      </w:r>
    </w:p>
    <w:p>
      <w:pPr>
        <w:keepNext w:val="0"/>
        <w:keepLines w:val="0"/>
        <w:spacing w:line="360" w:lineRule="auto" w:after="160" w:before="0"/>
        <w:jc w:val="both"/>
      </w:pPr>
      <w:r>
        <w:rPr>
          <w:rFonts w:ascii="Times New Roman" w:hAnsi="Times New Roman" w:cs="Times New Roman"/>
          <w:b w:val="0"/>
          <w:i w:val="0"/>
          <w:color w:val="000000"/>
          <w:sz w:val="24"/>
        </w:rPr>
        <w:t>The system uses UML-style and process diagrams to explain the main actors, workflows, and data relationships. The diagrams are used because the system contains several roles, many related entities, and financial processes that are easier to verify visually than through prose alone.</w:t>
      </w:r>
    </w:p>
    <w:p>
      <w:pPr>
        <w:keepNext w:val="0"/>
        <w:keepLines w:val="0"/>
        <w:spacing w:line="360" w:lineRule="auto" w:after="160" w:before="0"/>
        <w:jc w:val="both"/>
      </w:pPr>
      <w:r>
        <w:rPr>
          <w:rFonts w:ascii="Times New Roman" w:hAnsi="Times New Roman" w:cs="Times New Roman"/>
          <w:b w:val="0"/>
          <w:i w:val="0"/>
          <w:color w:val="000000"/>
          <w:sz w:val="24"/>
        </w:rPr>
        <w:t>Figure 3.3 presents the use case diagram.</w:t>
      </w:r>
    </w:p>
    <w:p>
      <w:pPr>
        <w:keepNext/>
        <w:keepLines w:val="0"/>
        <w:spacing w:line="360" w:lineRule="auto" w:after="160" w:before="0"/>
        <w:jc w:val="center"/>
      </w:pPr>
      <w:r>
        <w:rPr>
          <w:rFonts w:ascii="Times New Roman" w:hAnsi="Times New Roman" w:cs="Times New Roman"/>
          <w:b/>
          <w:i w:val="0"/>
          <w:color w:val="000000"/>
          <w:sz w:val="24"/>
        </w:rPr>
        <w:t>Figure 3.3: Use Case Diagram</w:t>
      </w:r>
    </w:p>
    <w:p>
      <w:pPr>
        <w:keepLines/>
        <w:jc w:val="center"/>
      </w:pPr>
      <w:r>
        <w:drawing>
          <wp:inline xmlns:a="http://schemas.openxmlformats.org/drawingml/2006/main" xmlns:pic="http://schemas.openxmlformats.org/drawingml/2006/picture">
            <wp:extent cx="5760720" cy="4053307"/>
            <wp:docPr id="3" name="Picture 3"/>
            <wp:cNvGraphicFramePr>
              <a:graphicFrameLocks noChangeAspect="1"/>
            </wp:cNvGraphicFramePr>
            <a:graphic>
              <a:graphicData uri="http://schemas.openxmlformats.org/drawingml/2006/picture">
                <pic:pic>
                  <pic:nvPicPr>
                    <pic:cNvPr id="0" name="slide-06-use-case-diagram-full-trimmed.png"/>
                    <pic:cNvPicPr/>
                  </pic:nvPicPr>
                  <pic:blipFill>
                    <a:blip r:embed="rId11"/>
                    <a:stretch>
                      <a:fillRect/>
                    </a:stretch>
                  </pic:blipFill>
                  <pic:spPr>
                    <a:xfrm>
                      <a:off x="0" y="0"/>
                      <a:ext cx="5760720" cy="4053307"/>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The main human actors are Platform Super Administrator, Family Administrator, Financial Secretary, and Member. The Platform Super Administrator manages platform-wide oversight. The Family Administrator manages the family workspace, members, settings, contribution categories, subscriptions, and reports. The Financial Secretary records payments, expenses, adjustments, reminders, and reports. Members view their own status and pay contributions. External actors include Paystack and AI providers, but they support rather than control the system.</w:t>
      </w:r>
    </w:p>
    <w:p>
      <w:pPr>
        <w:keepNext w:val="0"/>
        <w:keepLines w:val="0"/>
        <w:spacing w:line="360" w:lineRule="auto" w:after="160" w:before="0"/>
        <w:jc w:val="both"/>
      </w:pPr>
      <w:r>
        <w:rPr>
          <w:rFonts w:ascii="Times New Roman" w:hAnsi="Times New Roman" w:cs="Times New Roman"/>
          <w:b w:val="0"/>
          <w:i w:val="0"/>
          <w:color w:val="000000"/>
          <w:sz w:val="24"/>
        </w:rPr>
        <w:t>The payment allocation process is one of the most important workflows because it affects member balances and family trust. Figure 3.4 presents the activity/flowchart view in readable panels.</w:t>
      </w:r>
    </w:p>
    <w:p>
      <w:pPr>
        <w:keepNext/>
        <w:keepLines w:val="0"/>
        <w:spacing w:line="360" w:lineRule="auto" w:after="160" w:before="0"/>
        <w:jc w:val="center"/>
      </w:pPr>
      <w:r>
        <w:rPr>
          <w:rFonts w:ascii="Times New Roman" w:hAnsi="Times New Roman" w:cs="Times New Roman"/>
          <w:b/>
          <w:i w:val="0"/>
          <w:color w:val="000000"/>
          <w:sz w:val="24"/>
        </w:rPr>
        <w:t>Figure 3.4a: Payment Allocation Flowchart, Panel 1</w:t>
      </w:r>
    </w:p>
    <w:p>
      <w:pPr>
        <w:keepLines/>
        <w:jc w:val="center"/>
      </w:pPr>
      <w:r>
        <w:drawing>
          <wp:inline xmlns:a="http://schemas.openxmlformats.org/drawingml/2006/main" xmlns:pic="http://schemas.openxmlformats.org/drawingml/2006/picture">
            <wp:extent cx="5760720" cy="4416552"/>
            <wp:docPr id="4" name="Picture 4"/>
            <wp:cNvGraphicFramePr>
              <a:graphicFrameLocks noChangeAspect="1"/>
            </wp:cNvGraphicFramePr>
            <a:graphic>
              <a:graphicData uri="http://schemas.openxmlformats.org/drawingml/2006/picture">
                <pic:pic>
                  <pic:nvPicPr>
                    <pic:cNvPr id="0" name="slide-07-payment-allocation-flowchart-panel-1.png"/>
                    <pic:cNvPicPr/>
                  </pic:nvPicPr>
                  <pic:blipFill>
                    <a:blip r:embed="rId12"/>
                    <a:stretch>
                      <a:fillRect/>
                    </a:stretch>
                  </pic:blipFill>
                  <pic:spPr>
                    <a:xfrm>
                      <a:off x="0" y="0"/>
                      <a:ext cx="5760720" cy="4416552"/>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3.4b: Payment Allocation Flowchart, Panel 2</w:t>
      </w:r>
    </w:p>
    <w:p>
      <w:pPr>
        <w:keepLines/>
        <w:jc w:val="center"/>
      </w:pPr>
      <w:r>
        <w:drawing>
          <wp:inline xmlns:a="http://schemas.openxmlformats.org/drawingml/2006/main" xmlns:pic="http://schemas.openxmlformats.org/drawingml/2006/picture">
            <wp:extent cx="5760720" cy="4737232"/>
            <wp:docPr id="5" name="Picture 5"/>
            <wp:cNvGraphicFramePr>
              <a:graphicFrameLocks noChangeAspect="1"/>
            </wp:cNvGraphicFramePr>
            <a:graphic>
              <a:graphicData uri="http://schemas.openxmlformats.org/drawingml/2006/picture">
                <pic:pic>
                  <pic:nvPicPr>
                    <pic:cNvPr id="0" name="slide-07-payment-allocation-flowchart-panel-2.png"/>
                    <pic:cNvPicPr/>
                  </pic:nvPicPr>
                  <pic:blipFill>
                    <a:blip r:embed="rId13"/>
                    <a:stretch>
                      <a:fillRect/>
                    </a:stretch>
                  </pic:blipFill>
                  <pic:spPr>
                    <a:xfrm>
                      <a:off x="0" y="0"/>
                      <a:ext cx="5760720" cy="4737232"/>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3.4c: Payment Allocation Flowchart, Panel 3</w:t>
      </w:r>
    </w:p>
    <w:p>
      <w:pPr>
        <w:keepLines/>
        <w:jc w:val="center"/>
      </w:pPr>
      <w:r>
        <w:drawing>
          <wp:inline xmlns:a="http://schemas.openxmlformats.org/drawingml/2006/main" xmlns:pic="http://schemas.openxmlformats.org/drawingml/2006/picture">
            <wp:extent cx="5760720" cy="3840480"/>
            <wp:docPr id="6" name="Picture 6"/>
            <wp:cNvGraphicFramePr>
              <a:graphicFrameLocks noChangeAspect="1"/>
            </wp:cNvGraphicFramePr>
            <a:graphic>
              <a:graphicData uri="http://schemas.openxmlformats.org/drawingml/2006/picture">
                <pic:pic>
                  <pic:nvPicPr>
                    <pic:cNvPr id="0" name="slide-07-payment-allocation-flowchart-panel-3.png"/>
                    <pic:cNvPicPr/>
                  </pic:nvPicPr>
                  <pic:blipFill>
                    <a:blip r:embed="rId14"/>
                    <a:stretch>
                      <a:fillRect/>
                    </a:stretch>
                  </pic:blipFill>
                  <pic:spPr>
                    <a:xfrm>
                      <a:off x="0" y="0"/>
                      <a:ext cx="5760720" cy="3840480"/>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The class-style model is represented by the main domain entities: Family, User, FamilyCategory, Contribution, Payment, Expense, FundAdjustment, PlatformPlan, PaystackTransaction, Passkey, Notification, WhatsAppMessage, AgentConversation, AgentConversationMessage, PaymentRiskModelVersion, and PaymentRiskPrediction. The sequence-style processes include invitation acceptance, contribution generation, manual payment recording, Paystack payment verification, reminder sending, report generation, AI assistant response generation, model installation, and advisory scoring.</w:t>
      </w:r>
    </w:p>
    <w:p>
      <w:pPr>
        <w:pStyle w:val="Heading3"/>
        <w:spacing w:line="360" w:lineRule="auto" w:before="240" w:after="120"/>
        <w:jc w:val="both"/>
      </w:pPr>
      <w:r>
        <w:rPr>
          <w:rFonts w:ascii="Times New Roman" w:hAnsi="Times New Roman" w:cs="Times New Roman"/>
          <w:b/>
          <w:i w:val="0"/>
          <w:color w:val="000000"/>
          <w:sz w:val="24"/>
        </w:rPr>
        <w:t>3.10 Database Design</w:t>
      </w:r>
    </w:p>
    <w:p>
      <w:pPr>
        <w:keepNext w:val="0"/>
        <w:keepLines w:val="0"/>
        <w:spacing w:line="360" w:lineRule="auto" w:after="160" w:before="0"/>
        <w:jc w:val="both"/>
      </w:pPr>
      <w:r>
        <w:rPr>
          <w:rFonts w:ascii="Times New Roman" w:hAnsi="Times New Roman" w:cs="Times New Roman"/>
          <w:b w:val="0"/>
          <w:i w:val="0"/>
          <w:color w:val="000000"/>
          <w:sz w:val="24"/>
        </w:rPr>
        <w:t>The database design uses PostgreSQL as the relational database. The design is centred on the family tenant. Tables that contain family-specific data include a family_id field or are connected through another family-owned entity. This supports shared-schema multi-tenancy while keeping relationships clear.</w:t>
      </w:r>
    </w:p>
    <w:p>
      <w:pPr>
        <w:keepNext w:val="0"/>
        <w:keepLines w:val="0"/>
        <w:spacing w:line="360" w:lineRule="auto" w:after="160" w:before="0"/>
        <w:jc w:val="both"/>
      </w:pPr>
      <w:r>
        <w:rPr>
          <w:rFonts w:ascii="Times New Roman" w:hAnsi="Times New Roman" w:cs="Times New Roman"/>
          <w:b w:val="0"/>
          <w:i w:val="0"/>
          <w:color w:val="000000"/>
          <w:sz w:val="24"/>
        </w:rPr>
        <w:t>Figure 3.5 shows the entity-relationship diagram.</w:t>
      </w:r>
    </w:p>
    <w:p>
      <w:pPr>
        <w:keepNext/>
        <w:keepLines w:val="0"/>
        <w:spacing w:line="360" w:lineRule="auto" w:after="160" w:before="0"/>
        <w:jc w:val="center"/>
      </w:pPr>
      <w:r>
        <w:rPr>
          <w:rFonts w:ascii="Times New Roman" w:hAnsi="Times New Roman" w:cs="Times New Roman"/>
          <w:b/>
          <w:i w:val="0"/>
          <w:color w:val="000000"/>
          <w:sz w:val="24"/>
        </w:rPr>
        <w:t>Figure 3.5: Entity-Relationship Diagram</w:t>
      </w:r>
    </w:p>
    <w:p>
      <w:pPr>
        <w:keepLines/>
        <w:jc w:val="center"/>
      </w:pPr>
      <w:r>
        <w:drawing>
          <wp:inline xmlns:a="http://schemas.openxmlformats.org/drawingml/2006/main" xmlns:pic="http://schemas.openxmlformats.org/drawingml/2006/picture">
            <wp:extent cx="5760720" cy="4968621"/>
            <wp:docPr id="7" name="Picture 7"/>
            <wp:cNvGraphicFramePr>
              <a:graphicFrameLocks noChangeAspect="1"/>
            </wp:cNvGraphicFramePr>
            <a:graphic>
              <a:graphicData uri="http://schemas.openxmlformats.org/drawingml/2006/picture">
                <pic:pic>
                  <pic:nvPicPr>
                    <pic:cNvPr id="0" name="chapter-3-entity-relationship-diagram.png"/>
                    <pic:cNvPicPr/>
                  </pic:nvPicPr>
                  <pic:blipFill>
                    <a:blip r:embed="rId15"/>
                    <a:stretch>
                      <a:fillRect/>
                    </a:stretch>
                  </pic:blipFill>
                  <pic:spPr>
                    <a:xfrm>
                      <a:off x="0" y="0"/>
                      <a:ext cx="5760720" cy="4968621"/>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Table 3.5: Major Database Entities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94"/>
        <w:gridCol w:w="3356"/>
        <w:gridCol w:w="3356"/>
      </w:tblGrid>
      <w:tr>
        <w:trPr>
          <w:tblHeader w:val="true"/>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Entity</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Purpose</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Key Relationship</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families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family workspace settings, currency, due day, status, billing, and bank details.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Has many users, categories, contributions, expenses, adjustments, invitations, and transactions.</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users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account, role, family membership, category, authentication, and profile data.</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may belong to a family category.</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family_categories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contribution tiers and monthly amounts.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may be assigned to users.</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family_invitations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invitation email, role, token, expiry, and acceptance status.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inviter.</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contributions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monthly contribution obligations and statuses.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user; receives payments.</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payment amounts applied to contribution obligations.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contribution and recorded-by user.</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expenses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family spending records.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recorded-by user.</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fund_adjustments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donations, corrections, and non-contribution balance changes.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recorded-by user.</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paystack_transactions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online payment and subscription transaction references.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user.</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platform_plans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subscription plan names, prices, limits, and features.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Used by families for subscription management.</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passkeys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WebAuthn credential information.</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user.</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notifications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application notifications.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Linked to notifiable users.</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whatsapp_messages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inbound and outbound WhatsApp-related communication.</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Linked to family and user where applicable.</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agent_conversations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AI assistant conversation sessions.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user.</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agent_conversation_messages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AI messages, tool calls, tool results, and metadata.</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an AI conversation.</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payment_risk_model_versions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immutable model schema, checksum, training window, threshold, dataset summary, metrics, and activation state.</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Has many payment-risk predictions.</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payment_risk_predictions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immutable contribution-cutoff advisories, history tier, feature hash, model version, and factors.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membership, contribution, and model version.</w:t>
            </w:r>
          </w:p>
        </w:tc>
      </w:tr>
    </w:tbl>
    <w:p/>
    <w:p>
      <w:pPr>
        <w:keepNext w:val="0"/>
        <w:keepLines w:val="0"/>
        <w:spacing w:line="360" w:lineRule="auto" w:after="160" w:before="0"/>
        <w:jc w:val="both"/>
      </w:pPr>
      <w:r>
        <w:rPr>
          <w:rFonts w:ascii="Times New Roman" w:hAnsi="Times New Roman" w:cs="Times New Roman"/>
          <w:b w:val="0"/>
          <w:i w:val="0"/>
          <w:color w:val="000000"/>
          <w:sz w:val="24"/>
        </w:rPr>
        <w:t>The database design supports financial traceability by separating obligations from payments. A contribution records what a member owes for a period. A payment records money applied to that obligation. This separation is important because one incoming amount can be split across more than one contribution.</w:t>
      </w:r>
    </w:p>
    <w:p>
      <w:pPr>
        <w:pStyle w:val="Heading3"/>
        <w:spacing w:line="360" w:lineRule="auto" w:before="240" w:after="120"/>
        <w:jc w:val="both"/>
      </w:pPr>
      <w:r>
        <w:rPr>
          <w:rFonts w:ascii="Times New Roman" w:hAnsi="Times New Roman" w:cs="Times New Roman"/>
          <w:b/>
          <w:i w:val="0"/>
          <w:color w:val="000000"/>
          <w:sz w:val="24"/>
        </w:rPr>
        <w:t>3.11 Algorithm / Model Design</w:t>
      </w:r>
    </w:p>
    <w:p>
      <w:pPr>
        <w:keepNext w:val="0"/>
        <w:keepLines w:val="0"/>
        <w:spacing w:line="360" w:lineRule="auto" w:after="160" w:before="0"/>
        <w:jc w:val="both"/>
      </w:pPr>
      <w:r>
        <w:rPr>
          <w:rFonts w:ascii="Times New Roman" w:hAnsi="Times New Roman" w:cs="Times New Roman"/>
          <w:b w:val="0"/>
          <w:i w:val="0"/>
          <w:color w:val="000000"/>
          <w:sz w:val="24"/>
        </w:rPr>
        <w:t>The main algorithm in the system is the oldest-balance-first payment allocation algorithm. It handles manual and verified online payments in a consistent way.</w:t>
      </w:r>
    </w:p>
    <w:p>
      <w:pPr>
        <w:keepNext/>
        <w:keepLines w:val="0"/>
        <w:spacing w:line="360" w:lineRule="auto" w:after="160" w:before="0"/>
        <w:jc w:val="center"/>
      </w:pPr>
      <w:r>
        <w:rPr>
          <w:rFonts w:ascii="Times New Roman" w:hAnsi="Times New Roman" w:cs="Times New Roman"/>
          <w:b/>
          <w:i w:val="0"/>
          <w:color w:val="000000"/>
          <w:sz w:val="24"/>
        </w:rPr>
        <w:t>Table 3.6: Oldest-Balance-First Payment Allocation Algorithm</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34"/>
        <w:gridCol w:w="7372"/>
      </w:tblGrid>
      <w:tr>
        <w:trPr>
          <w:tblHeader w:val="true"/>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Step</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Operation</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1</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Receive the member, payment amount, payment channel, and transaction details.</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Retrieve the member's unpaid and partially paid contributions, ordered from oldest to newest.</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For each contribution, calculate the outstanding balance.</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Apply the available payment amount to the oldest outstanding balance.</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Mark the contribution as paid if the balance reaches zero, or partially paid if a balance remains.</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Continue until the payment amount is exhausted or all outstanding balances are cleared.</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7</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If an overpayment remains, apply it according to the system's advance-payment rules or record it for review.</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8</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 payment records and update contribution statuses for reporting.</w:t>
            </w:r>
          </w:p>
        </w:tc>
      </w:tr>
    </w:tbl>
    <w:p/>
    <w:p>
      <w:pPr>
        <w:keepNext w:val="0"/>
        <w:keepLines w:val="0"/>
        <w:spacing w:line="360" w:lineRule="auto" w:after="160" w:before="0"/>
        <w:jc w:val="both"/>
      </w:pPr>
      <w:r>
        <w:rPr>
          <w:rFonts w:ascii="Times New Roman" w:hAnsi="Times New Roman" w:cs="Times New Roman"/>
          <w:b w:val="0"/>
          <w:i w:val="0"/>
          <w:color w:val="000000"/>
          <w:sz w:val="24"/>
        </w:rPr>
        <w:t>The AI assistant model is designed as a tool-aware assistant. The user's role and family context are checked before tools are used. Read-only questions, such as contribution summaries or fund balances, return information from permitted records. Write-related actions, such as recording expenses or payments through an assistant tool, require explicit confirmation and role permission.</w:t>
      </w:r>
    </w:p>
    <w:p>
      <w:pPr>
        <w:keepNext w:val="0"/>
        <w:keepLines w:val="0"/>
        <w:spacing w:line="360" w:lineRule="auto" w:after="160" w:before="0"/>
        <w:jc w:val="both"/>
      </w:pPr>
      <w:r>
        <w:rPr>
          <w:rFonts w:ascii="Times New Roman" w:hAnsi="Times New Roman" w:cs="Times New Roman"/>
          <w:b w:val="0"/>
          <w:i w:val="0"/>
          <w:color w:val="000000"/>
          <w:sz w:val="24"/>
        </w:rPr>
        <w:t>The predictive component is a binary logistic regression classifier for the outcome "overdue" versus "on time," where overdue means that the system still recorded an outstanding balance at the end of the obligation's due date. The implementation uses fourteen point-in-time features: expected amount, days available before the due date, calendar month and quarter, previous mature-period count, three-period, six-period and lifetime on-time rates, prior partial-payment rate, mean and median recorded settlement delay, prior outstanding count and amount, and overdue streak. Within the locked export, “prior outstanding amount” has the reproducible meaning of the due-date residual summed only for prior obligations that were still unsettled strictly before the target cutoff; later partial amounts cannot be reconstructed from the approved columns. Every feature must be computable strictly before the target obligation's creation-time cutoff; direct identity fields and future target-period payment information are excluded.</w:t>
      </w:r>
    </w:p>
    <w:p>
      <w:pPr>
        <w:keepNext w:val="0"/>
        <w:keepLines w:val="0"/>
        <w:spacing w:line="360" w:lineRule="auto" w:after="160" w:before="0"/>
        <w:jc w:val="both"/>
      </w:pPr>
      <w:r>
        <w:rPr>
          <w:rFonts w:ascii="Times New Roman" w:hAnsi="Times New Roman" w:cs="Times New Roman"/>
          <w:b w:val="0"/>
          <w:i w:val="0"/>
          <w:color w:val="000000"/>
          <w:sz w:val="24"/>
        </w:rPr>
        <w:t>The approved evaluation is chronological: complete contribution periods are assigned 60% to training, 20% to validation, and 20% to a held-out future-like partition. Standardisation and an L2, class-balanced logistic regression are fitted on training data only. The threshold is selected on validation data by maximising overdue-class F1 subject to at least 0.70 recall, and the untouched partition is then used once for final evaluation. Logistic regression is compared with a training-prevalence baseline and a previous-period-late baseline. Accuracy is reported with balanced accuracy, overdue precision, recall and F1, ROC-AUC, PR-AUC, Brier score, bootstrap intervals, class distribution, and a confusion matrix because raw accuracy can be misleading when most members pay on time (Hussin Adam Khatir &amp; Bee, 2022; Robisco &amp; Carbó Martínez, 2022). Dataset schema, feature version, coefficients, intercept, decision threshold, and evaluation artefacts are versioned with the model. If the dataset lacks adequate history, both outcome classes, a valid held-out period, or improvement over the two baselines, training or activation fails closed and the interface reports that prediction is unavailable.</w:t>
      </w:r>
    </w:p>
    <w:p>
      <w:pPr>
        <w:pStyle w:val="Heading3"/>
        <w:spacing w:line="360" w:lineRule="auto" w:before="240" w:after="120"/>
        <w:jc w:val="both"/>
      </w:pPr>
      <w:r>
        <w:rPr>
          <w:rFonts w:ascii="Times New Roman" w:hAnsi="Times New Roman" w:cs="Times New Roman"/>
          <w:b/>
          <w:i w:val="0"/>
          <w:color w:val="000000"/>
          <w:sz w:val="24"/>
        </w:rPr>
        <w:t>3.12 Tools and Technologies</w:t>
      </w:r>
    </w:p>
    <w:p>
      <w:pPr>
        <w:keepNext w:val="0"/>
        <w:keepLines w:val="0"/>
        <w:spacing w:line="360" w:lineRule="auto" w:after="160" w:before="0"/>
        <w:jc w:val="both"/>
      </w:pPr>
      <w:r>
        <w:rPr>
          <w:rFonts w:ascii="Times New Roman" w:hAnsi="Times New Roman" w:cs="Times New Roman"/>
          <w:b w:val="0"/>
          <w:i w:val="0"/>
          <w:color w:val="000000"/>
          <w:sz w:val="24"/>
        </w:rPr>
        <w:t>The project uses tools selected for practicality, maintainability, and compatibility with the application requirements.</w:t>
      </w:r>
    </w:p>
    <w:p>
      <w:pPr>
        <w:keepNext/>
        <w:keepLines w:val="0"/>
        <w:spacing w:line="360" w:lineRule="auto" w:after="160" w:before="0"/>
        <w:jc w:val="center"/>
      </w:pPr>
      <w:r>
        <w:rPr>
          <w:rFonts w:ascii="Times New Roman" w:hAnsi="Times New Roman" w:cs="Times New Roman"/>
          <w:b/>
          <w:i w:val="0"/>
          <w:color w:val="000000"/>
          <w:sz w:val="24"/>
        </w:rPr>
        <w:t>Table 3.7: Tools and Technologies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15"/>
        <w:gridCol w:w="3373"/>
        <w:gridCol w:w="3618"/>
      </w:tblGrid>
      <w:tr>
        <w:trPr>
          <w:tblHeader w:val="true"/>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Category</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Tool/Technology</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Purpose</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Backend language</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PHP 8.4</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Main server-side language.</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Backend framework</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13</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Routing, controllers, validation, queues, scheduler, policies, models, and services.</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Frontend framework</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Vue.js 3</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User interface pages, dashboards, forms, and interactive components.</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Server-client bridge</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Inertia.js 3</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Connects Laravel routes to Vue pages without a separate REST API.</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Database</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PostgreSQL</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Relational storage for family, user, contribution, payment, expense, and AI records.</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Styling</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Tailwind CSS 4</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Responsive interface styling.</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Authentication</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Fortify</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Login, registration, password reset, email verification, and two-factor support.</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Passwordless access</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WebAuthn/passkeys</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Strong browser-based authentication.</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gateway</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Paystack</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Online contribution payments and subscription billing.</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AI integration</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AI SDK</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Assistant responses, tool calling, and provider integration.</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method</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Logistic regression</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Interpretable late-payment probability with activation and evidence gates.</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training</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Python 3.12, scikit-learn, NumPy, Matplotlib</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Offline validation, feature engineering, chronological training, evaluation, and evidence charts.</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Feature flags</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Pennant</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Controlled release of features such as AI assistance.</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Testing</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Pest PHP</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Automated tests for models, features, policies, payments, reports, and AI tools.</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Build tool</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Vite</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Frontend asset compilation and development server.</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Version control</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Git</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Source tracking and collaboration.</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Code quality</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Pint, ESLint, Prettier</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Formatting and static code quality.</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Development tools</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Composer, Node.js, npm</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Dependency management and project tooling.</w:t>
            </w:r>
          </w:p>
        </w:tc>
      </w:tr>
    </w:tbl>
    <w:p/>
    <w:p>
      <w:pPr>
        <w:keepNext w:val="0"/>
        <w:keepLines w:val="0"/>
        <w:spacing w:line="360" w:lineRule="auto" w:after="160" w:before="0"/>
        <w:jc w:val="both"/>
      </w:pPr>
      <w:r>
        <w:rPr>
          <w:rFonts w:ascii="Times New Roman" w:hAnsi="Times New Roman" w:cs="Times New Roman"/>
          <w:b w:val="0"/>
          <w:i w:val="0"/>
          <w:color w:val="000000"/>
          <w:sz w:val="24"/>
        </w:rPr>
        <w:t>Laravel was selected because it provides mature support for routing, validation, queues, scheduled commands, notifications, policies, and Eloquent models. Vue and Inertia were selected because they allow a modern single-page experience without forcing the project to maintain a separate API layer. PostgreSQL was selected as the stated database technology because the project requires reliable relational storage, constraints, and query support. Paystack fits the Nigerian payment context. The Laravel AI SDK keeps assistant features inside the application's own permission and tool structure.</w:t>
      </w:r>
    </w:p>
    <w:p>
      <w:pPr>
        <w:pStyle w:val="Heading3"/>
        <w:spacing w:line="360" w:lineRule="auto" w:before="240" w:after="120"/>
        <w:jc w:val="both"/>
      </w:pPr>
      <w:r>
        <w:rPr>
          <w:rFonts w:ascii="Times New Roman" w:hAnsi="Times New Roman" w:cs="Times New Roman"/>
          <w:b/>
          <w:i w:val="0"/>
          <w:color w:val="000000"/>
          <w:sz w:val="24"/>
        </w:rPr>
        <w:t>3.13 Ethical Considerations</w:t>
      </w:r>
    </w:p>
    <w:p>
      <w:pPr>
        <w:keepNext w:val="0"/>
        <w:keepLines w:val="0"/>
        <w:spacing w:line="360" w:lineRule="auto" w:after="160" w:before="0"/>
        <w:jc w:val="both"/>
      </w:pPr>
      <w:r>
        <w:rPr>
          <w:rFonts w:ascii="Times New Roman" w:hAnsi="Times New Roman" w:cs="Times New Roman"/>
          <w:b w:val="0"/>
          <w:i w:val="0"/>
          <w:color w:val="000000"/>
          <w:sz w:val="24"/>
        </w:rPr>
        <w:t>The project handles financial and personal information, so ethical considerations are central to the design. The first concern is privacy. A family member's contribution history, payment status, phone number, email address, and role should not be exposed to another family or to unauthorised members of the same family. Tenant isolation and RBAC are therefore ethical safeguards as well as technical features.</w:t>
      </w:r>
    </w:p>
    <w:p>
      <w:pPr>
        <w:keepNext w:val="0"/>
        <w:keepLines w:val="0"/>
        <w:spacing w:line="360" w:lineRule="auto" w:after="160" w:before="0"/>
        <w:jc w:val="both"/>
      </w:pPr>
      <w:r>
        <w:rPr>
          <w:rFonts w:ascii="Times New Roman" w:hAnsi="Times New Roman" w:cs="Times New Roman"/>
          <w:b w:val="0"/>
          <w:i w:val="0"/>
          <w:color w:val="000000"/>
          <w:sz w:val="24"/>
        </w:rPr>
        <w:t>The second concern is consent and transparency. Members should understand that their records are being stored in a digital system for family fund management. If AI summaries or assistant features are used, users should understand that the AI is a support tool and not an independent auditor or financial adviser.</w:t>
      </w:r>
    </w:p>
    <w:p>
      <w:pPr>
        <w:keepNext w:val="0"/>
        <w:keepLines w:val="0"/>
        <w:spacing w:line="360" w:lineRule="auto" w:after="160" w:before="0"/>
        <w:jc w:val="both"/>
      </w:pPr>
      <w:r>
        <w:rPr>
          <w:rFonts w:ascii="Times New Roman" w:hAnsi="Times New Roman" w:cs="Times New Roman"/>
          <w:b w:val="0"/>
          <w:i w:val="0"/>
          <w:color w:val="000000"/>
          <w:sz w:val="24"/>
        </w:rPr>
        <w:t>The third concern is data minimisation. The system should collect only data needed for contribution management, payment processing, reminders, reporting, authentication, and authorised AI assistance. AI prompts should avoid sending unnecessary personal data to external providers.</w:t>
      </w:r>
    </w:p>
    <w:p>
      <w:pPr>
        <w:keepNext w:val="0"/>
        <w:keepLines w:val="0"/>
        <w:spacing w:line="360" w:lineRule="auto" w:after="160" w:before="0"/>
        <w:jc w:val="both"/>
      </w:pPr>
      <w:r>
        <w:rPr>
          <w:rFonts w:ascii="Times New Roman" w:hAnsi="Times New Roman" w:cs="Times New Roman"/>
          <w:b w:val="0"/>
          <w:i w:val="0"/>
          <w:color w:val="000000"/>
          <w:sz w:val="24"/>
        </w:rPr>
        <w:t>The fourth concern is security. Password hashing, email verification, two-factor authentication, passkeys, signed invitation links, webhook validation, HTTPS deployment, and secure environment variables are required to protect users. The design should also comply with applicable Nigerian data protection expectations, including responsible processing and protection of personal data under the Nigeria Data Protection Act 2023.</w:t>
      </w:r>
    </w:p>
    <w:p>
      <w:pPr>
        <w:keepNext w:val="0"/>
        <w:keepLines w:val="0"/>
        <w:spacing w:line="360" w:lineRule="auto" w:after="160" w:before="0"/>
        <w:jc w:val="both"/>
      </w:pPr>
      <w:r>
        <w:rPr>
          <w:rFonts w:ascii="Times New Roman" w:hAnsi="Times New Roman" w:cs="Times New Roman"/>
          <w:b w:val="0"/>
          <w:i w:val="0"/>
          <w:color w:val="000000"/>
          <w:sz w:val="24"/>
        </w:rPr>
        <w:t>The predictive component introduces a separate fairness and dignity concern. A late-payment estimate is an advisory signal for authorised officers, not a factual label about a member's character and not a basis for automatic sanctions. The interface must explain data sufficiency and model version, restrict access by role, avoid exposing another family's history, and provide an unavailable state rather than manufacturing confidence from sparse data.</w:t>
      </w:r>
    </w:p>
    <w:p>
      <w:pPr>
        <w:keepNext w:val="0"/>
        <w:keepLines w:val="0"/>
        <w:spacing w:line="360" w:lineRule="auto" w:after="160" w:before="0"/>
        <w:jc w:val="both"/>
      </w:pPr>
      <w:r>
        <w:rPr>
          <w:rFonts w:ascii="Times New Roman" w:hAnsi="Times New Roman" w:cs="Times New Roman"/>
          <w:b w:val="0"/>
          <w:i w:val="0"/>
          <w:color w:val="000000"/>
          <w:sz w:val="24"/>
        </w:rPr>
        <w:t>The fifth concern is intellectual property. The project uses open-source frameworks and libraries such as Laravel, Vue, Inertia, Tailwind CSS, and Pest according to their licences. External services such as Paystack and AI providers are used through their documented APIs and configuration requirements.</w:t>
      </w:r>
    </w:p>
    <w:p>
      <w:pPr>
        <w:pStyle w:val="Heading3"/>
        <w:spacing w:line="360" w:lineRule="auto" w:before="240" w:after="120"/>
        <w:jc w:val="both"/>
      </w:pPr>
      <w:r>
        <w:rPr>
          <w:rFonts w:ascii="Times New Roman" w:hAnsi="Times New Roman" w:cs="Times New Roman"/>
          <w:b/>
          <w:i w:val="0"/>
          <w:color w:val="000000"/>
          <w:sz w:val="24"/>
        </w:rPr>
        <w:t>3.14 Summary of the Chapter</w:t>
      </w:r>
    </w:p>
    <w:p>
      <w:pPr>
        <w:keepNext w:val="0"/>
        <w:keepLines w:val="0"/>
        <w:spacing w:line="360" w:lineRule="auto" w:after="160" w:before="0"/>
        <w:jc w:val="both"/>
      </w:pPr>
      <w:r>
        <w:rPr>
          <w:rFonts w:ascii="Times New Roman" w:hAnsi="Times New Roman" w:cs="Times New Roman"/>
          <w:b w:val="0"/>
          <w:i w:val="0"/>
          <w:color w:val="000000"/>
          <w:sz w:val="24"/>
        </w:rPr>
        <w:t>This chapter described the methodology used for FamilyFunds. It adopted an applied system-development design and an Agile iterative approach because the project solves a practical problem whose requirements become clearer through design and implementation. The chapter analysed the existing manual system, introduced the proposed system, specified functional and non-functional requirements, explained the data collection method, clarified the non-survey sampling approach, and described the architecture, diagrams, database design, algorithms, activation-gated logistic regression design, tools, and ethical considerations.</w:t>
      </w:r>
    </w:p>
    <w:p>
      <w:pPr>
        <w:keepNext w:val="0"/>
        <w:keepLines w:val="0"/>
        <w:spacing w:line="360" w:lineRule="auto" w:after="160" w:before="0"/>
        <w:jc w:val="both"/>
      </w:pPr>
      <w:r>
        <w:rPr>
          <w:rFonts w:ascii="Times New Roman" w:hAnsi="Times New Roman" w:cs="Times New Roman"/>
          <w:b w:val="0"/>
          <w:i w:val="0"/>
          <w:color w:val="000000"/>
          <w:sz w:val="24"/>
        </w:rPr>
        <w:t>The methodology shows how the project moves from the literature gap in Chapter Two to a concrete system design. Chapter Four will present how the designed modules were implemented, tested, and validated against the requirements stated in this chapter.</w:t>
      </w:r>
    </w:p>
    <w:p>
      <w:pPr>
        <w:pStyle w:val="Heading1"/>
        <w:pageBreakBefore/>
        <w:spacing w:line="360" w:lineRule="auto" w:before="360" w:after="120"/>
        <w:jc w:val="center"/>
      </w:pPr>
      <w:r>
        <w:rPr>
          <w:rFonts w:ascii="Times New Roman" w:hAnsi="Times New Roman" w:cs="Times New Roman"/>
          <w:b/>
          <w:i w:val="0"/>
          <w:color w:val="000000"/>
          <w:sz w:val="32"/>
        </w:rPr>
        <w:t>CHAPTER FOUR</w:t>
      </w:r>
    </w:p>
    <w:p>
      <w:pPr>
        <w:pStyle w:val="Heading2"/>
        <w:spacing w:line="360" w:lineRule="auto" w:before="360" w:after="120"/>
        <w:jc w:val="center"/>
      </w:pPr>
      <w:r>
        <w:rPr>
          <w:rFonts w:ascii="Times New Roman" w:hAnsi="Times New Roman" w:cs="Times New Roman"/>
          <w:b/>
          <w:i w:val="0"/>
          <w:color w:val="000000"/>
          <w:sz w:val="28"/>
        </w:rPr>
        <w:t>SYSTEM IMPLEMENTATION AND TESTING</w:t>
      </w:r>
    </w:p>
    <w:p>
      <w:pPr>
        <w:pStyle w:val="Heading3"/>
        <w:spacing w:line="360" w:lineRule="auto" w:before="240" w:after="120"/>
        <w:jc w:val="both"/>
      </w:pPr>
      <w:r>
        <w:rPr>
          <w:rFonts w:ascii="Times New Roman" w:hAnsi="Times New Roman" w:cs="Times New Roman"/>
          <w:b/>
          <w:i w:val="0"/>
          <w:color w:val="000000"/>
          <w:sz w:val="24"/>
        </w:rPr>
        <w:t>4.1 Implementation of the System Design</w:t>
      </w:r>
    </w:p>
    <w:p>
      <w:pPr>
        <w:pStyle w:val="Heading4"/>
        <w:spacing w:line="360" w:lineRule="auto" w:before="240" w:after="120"/>
        <w:jc w:val="both"/>
      </w:pPr>
      <w:r>
        <w:rPr>
          <w:rFonts w:ascii="Times New Roman" w:hAnsi="Times New Roman" w:cs="Times New Roman"/>
          <w:b/>
          <w:i w:val="0"/>
          <w:color w:val="000000"/>
          <w:sz w:val="24"/>
        </w:rPr>
        <w:t>4.1.1 Introduction to the Chapter</w:t>
      </w:r>
    </w:p>
    <w:p>
      <w:pPr>
        <w:keepNext w:val="0"/>
        <w:keepLines w:val="0"/>
        <w:spacing w:line="360" w:lineRule="auto" w:after="160" w:before="0"/>
        <w:jc w:val="both"/>
      </w:pPr>
      <w:r>
        <w:rPr>
          <w:rFonts w:ascii="Times New Roman" w:hAnsi="Times New Roman" w:cs="Times New Roman"/>
          <w:b w:val="0"/>
          <w:i w:val="0"/>
          <w:color w:val="000000"/>
          <w:sz w:val="24"/>
        </w:rPr>
        <w:t>This chapter reports how the FamilyFunds design described in Chapter Three is represented in the application and how that representation will be validated. It separates three kinds of evidence that must not be confused. The first is static implementation evidence, such as a named service, policy, migration, page, or automated test in the repository. The second is executed evidence, such as the output of a fresh test, build, browser, performance, or security run against the final revision. The third is external evidence, such as a live AI-provider response, hosted deployment check, populated screenshot, or predictive-model evaluation that depends on data or services outside the source tree.</w:t>
      </w:r>
    </w:p>
    <w:p>
      <w:pPr>
        <w:keepNext w:val="0"/>
        <w:keepLines w:val="0"/>
        <w:spacing w:line="360" w:lineRule="auto" w:after="160" w:before="0"/>
        <w:jc w:val="both"/>
      </w:pPr>
      <w:r>
        <w:rPr>
          <w:rFonts w:ascii="Times New Roman" w:hAnsi="Times New Roman" w:cs="Times New Roman"/>
          <w:b w:val="0"/>
          <w:i w:val="0"/>
          <w:color w:val="000000"/>
          <w:sz w:val="24"/>
        </w:rPr>
        <w:t>The repository provides substantial static evidence for the conventional system modules and the predictive implementation pipeline. Fresh post-change evidence was executed on 11 August 2026. The canonical local quality gate passed 1,420 Pest tests with 6,902 assertions and 100.0% PHP coverage in 19.170 seconds; the same gate passed PHPStan, Pint, Prettier, ESLint, and the client and server-side-rendering builds. Its locked Python stage passed 66 machine-learning tests with 100% statement coverage. Focused checks additionally passed 138 Laravel payment-risk tests with 440 assertions and 100% coverage across the 16 payment-risk PHP files; the same 138 tests and 440 assertions passed against a disposable PostgreSQL database; five focused Chromium browser tests passed with 82 assertions; and a combined local payment-risk, subscription, and package-script check passed 171 tests with 517 assertions. These focused results overlap the canonical suite and are therefore not added into one artificial total. Hosted checks, the 14 report screenshots, live AI verification, performance measurements, and authorised-data predictive training remain Partially Met or Not Executed. Commit a699a821 is a pre-change hosted baseline and is not accepted as final Chapter Four evidence.</w:t>
      </w:r>
    </w:p>
    <w:p>
      <w:pPr>
        <w:pStyle w:val="Heading4"/>
        <w:spacing w:line="360" w:lineRule="auto" w:before="240" w:after="120"/>
        <w:jc w:val="both"/>
      </w:pPr>
      <w:r>
        <w:rPr>
          <w:rFonts w:ascii="Times New Roman" w:hAnsi="Times New Roman" w:cs="Times New Roman"/>
          <w:b/>
          <w:i w:val="0"/>
          <w:color w:val="000000"/>
          <w:sz w:val="24"/>
        </w:rPr>
        <w:t>4.1.2 Implementation and Evidence Environment</w:t>
      </w:r>
    </w:p>
    <w:p>
      <w:pPr>
        <w:keepNext w:val="0"/>
        <w:keepLines w:val="0"/>
        <w:spacing w:line="360" w:lineRule="auto" w:after="160" w:before="0"/>
        <w:jc w:val="both"/>
      </w:pPr>
      <w:r>
        <w:rPr>
          <w:rFonts w:ascii="Times New Roman" w:hAnsi="Times New Roman" w:cs="Times New Roman"/>
          <w:b w:val="0"/>
          <w:i w:val="0"/>
          <w:color w:val="000000"/>
          <w:sz w:val="24"/>
        </w:rPr>
        <w:t>The development environment was inspected directly for this report track. FamilyFunds remains a modular Laravel application with a Vue/Inertia interface, PostgreSQL data design, background jobs, scheduled commands, external payment and messaging integrations, and a controlled AI layer. The local computer, installed command-line versions, and disposable PostgreSQL integration environment can be reported now. The final hosted revision, deployment-service state, browser version, live provider behaviour, and authorised predictive-training environment still require external evidence.</w:t>
      </w:r>
    </w:p>
    <w:p>
      <w:pPr>
        <w:keepNext/>
        <w:keepLines w:val="0"/>
        <w:spacing w:line="360" w:lineRule="auto" w:after="160" w:before="0"/>
        <w:jc w:val="center"/>
      </w:pPr>
      <w:r>
        <w:rPr>
          <w:rFonts w:ascii="Times New Roman" w:hAnsi="Times New Roman" w:cs="Times New Roman"/>
          <w:b/>
          <w:i w:val="0"/>
          <w:color w:val="000000"/>
          <w:sz w:val="24"/>
        </w:rPr>
        <w:t>Table 4.1: Implementation and Evidence Environment</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33"/>
        <w:gridCol w:w="2424"/>
        <w:gridCol w:w="2424"/>
        <w:gridCol w:w="2425"/>
      </w:tblGrid>
      <w:tr>
        <w:trPr>
          <w:tblHeader w:val="true"/>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Area</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Current evidence</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Purpose</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Evidence status</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Development computer</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Apple MacBook Pro, Apple M5 Pro, 15 CPU cores, 24 GB RAM, arm64</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Local development and document preparation</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Observed</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Operating system</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macOS 26.6</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Local host environment</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Observed</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PHP runtime</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PHP 8.5.8</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Laravel application runtime</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Observed</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Composer</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Composer 2.10.1</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PHP dependency management</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Observed</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Backend framework</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Laravel 13.24.0</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Routing, policies, models, jobs, services, and commands</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Observed from installed dependencies</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Frontend runtime and tools</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Node.js 24.15.0, npm 11.14.1, Vite 8.2.1</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Vue build and browser assets</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Observed</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Frontend frameworks</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Vue 3.5.41, Inertia Vue 3.6.1, Tailwind CSS 4.3.3</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Responsive application interface</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Observed from installed dependencies</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Testing</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Pest 5.0.4 with Laravel and browser plugins; canonical local run passed 1,420 tests/6,902 assertions at 100.0% PHP coverage; focused runs passed 138 payment-risk tests/440 assertions, 5 browser tests/82 assertions, and 171 combined tests/517 assertions</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Unit, feature, integration, and browser specifications</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Post-change local gate passed; hosted gate pending</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Database</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PostgreSQL 18.4 on arm64, including a disposable migrated integration database</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Persistent family and financial records</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Migration smoke and focused payment-risk integration passed: 138 tests/440 assertions</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Hosted environment</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HTTPS application with queues, scheduler, backups, and monitoring required</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Deployment and operations</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 for final revision</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provider</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Provider- and model-configurable Laravel AI integration</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Controlled assistant and summary generation</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Live evidence Not Executed</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runtime</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Python 3.12.3 package plus Laravel artefact installation and scoring services</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Logistic regression with training-prevalence and previous-period-late baselines</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66 Python tests passed at 100% coverage; authorised-data training Not Executed</w:t>
            </w:r>
          </w:p>
        </w:tc>
      </w:tr>
    </w:tbl>
    <w:p/>
    <w:p>
      <w:pPr>
        <w:keepNext w:val="0"/>
        <w:keepLines w:val="0"/>
        <w:spacing w:line="360" w:lineRule="auto" w:after="160" w:before="0"/>
        <w:jc w:val="both"/>
      </w:pPr>
      <w:r>
        <w:rPr>
          <w:rFonts w:ascii="Times New Roman" w:hAnsi="Times New Roman" w:cs="Times New Roman"/>
          <w:b w:val="0"/>
          <w:i w:val="0"/>
          <w:color w:val="000000"/>
          <w:sz w:val="24"/>
        </w:rPr>
        <w:t>No authorised private predictive-training CSV matching the twelve-column contract is present in docs/project-report or the supplied project evidence. Consequently, no dataset row count, class distribution, coefficient, threshold, accuracy value, confusion matrix, or prediction screenshot is reported. The model must remain inactive until an authorised dataset is supplied and the PRED evidence gates in Section 4.3 are completed.</w:t>
      </w:r>
    </w:p>
    <w:p>
      <w:pPr>
        <w:pStyle w:val="Heading4"/>
        <w:spacing w:line="360" w:lineRule="auto" w:before="240" w:after="120"/>
        <w:jc w:val="both"/>
      </w:pPr>
      <w:r>
        <w:rPr>
          <w:rFonts w:ascii="Times New Roman" w:hAnsi="Times New Roman" w:cs="Times New Roman"/>
          <w:b/>
          <w:i w:val="0"/>
          <w:color w:val="000000"/>
          <w:sz w:val="24"/>
        </w:rPr>
        <w:t>4.1.3 Design-to-Implementation Traceability</w:t>
      </w:r>
    </w:p>
    <w:p>
      <w:pPr>
        <w:keepNext w:val="0"/>
        <w:keepLines w:val="0"/>
        <w:spacing w:line="360" w:lineRule="auto" w:after="160" w:before="0"/>
        <w:jc w:val="both"/>
      </w:pPr>
      <w:r>
        <w:rPr>
          <w:rFonts w:ascii="Times New Roman" w:hAnsi="Times New Roman" w:cs="Times New Roman"/>
          <w:b w:val="0"/>
          <w:i w:val="0"/>
          <w:color w:val="000000"/>
          <w:sz w:val="24"/>
        </w:rPr>
        <w:t>The design in Chapter Three is realised through request middleware, policies, Eloquent models, domain services, controllers, queued jobs, scheduled commands, Vue pages, and automated tests. Shared-schema multi-tenancy is not enforced by a single mechanism. The active family is resolved from the authenticated membership and route context; family-owned queries include family identifiers; policies test membership and role; validation constrains identifiers to the current family; and feature tests exercise cross-family rejection. This layered approach is important because financial isolation would be fragile if it depended only on a hidden form value or one global query scope.</w:t>
      </w:r>
    </w:p>
    <w:p>
      <w:pPr>
        <w:keepNext w:val="0"/>
        <w:keepLines w:val="0"/>
        <w:spacing w:line="360" w:lineRule="auto" w:after="160" w:before="0"/>
        <w:jc w:val="both"/>
      </w:pPr>
      <w:r>
        <w:rPr>
          <w:rFonts w:ascii="Times New Roman" w:hAnsi="Times New Roman" w:cs="Times New Roman"/>
          <w:b w:val="0"/>
          <w:i w:val="0"/>
          <w:color w:val="000000"/>
          <w:sz w:val="24"/>
        </w:rPr>
        <w:t>Financial correctness is similarly distributed. Monthly contribution obligations remain separate from payment receipts and allocation rows. PaymentAllocationService creates an immutable receipt batch, locks the family and membership records, orders incomplete contributions from oldest to newest, allocates the available amount, and limits advance allocation. Paystack processing verifies signatures and references before settlement, while reporting uses shared query logic so displayed, CSV, PDF, receipt, and scheduled outputs can be compared against the same totals.</w:t>
      </w:r>
    </w:p>
    <w:p>
      <w:pPr>
        <w:keepNext w:val="0"/>
        <w:keepLines w:val="0"/>
        <w:spacing w:line="360" w:lineRule="auto" w:after="160" w:before="0"/>
        <w:jc w:val="both"/>
      </w:pPr>
      <w:r>
        <w:rPr>
          <w:rFonts w:ascii="Times New Roman" w:hAnsi="Times New Roman" w:cs="Times New Roman"/>
          <w:b w:val="0"/>
          <w:i w:val="0"/>
          <w:color w:val="000000"/>
          <w:sz w:val="24"/>
        </w:rPr>
        <w:t>The implementation also distinguishes authoritative application decisions from external-service observations. Paystack may attest to a transaction, a mail provider may accept a message, and an AI provider may return generated text, but none of those services owns the family ledger or its permissions. Laravel validates the external response, maps it to a known family-owned record, and applies a domain service or rejects the request. This boundary makes external failures recoverable: a provider timeout should leave a pending job or failed delivery record, not a half-written receipt. The same principle applies to the predictive component. A calculated probability is advisory evidence; it cannot create an expense, alter an obligation, block a member, or override an officer's governed decision.</w:t>
      </w:r>
    </w:p>
    <w:p>
      <w:pPr>
        <w:keepNext w:val="0"/>
        <w:keepLines w:val="0"/>
        <w:spacing w:line="360" w:lineRule="auto" w:after="160" w:before="0"/>
        <w:jc w:val="both"/>
      </w:pPr>
      <w:r>
        <w:rPr>
          <w:rFonts w:ascii="Times New Roman" w:hAnsi="Times New Roman" w:cs="Times New Roman"/>
          <w:b w:val="0"/>
          <w:i w:val="0"/>
          <w:color w:val="000000"/>
          <w:sz w:val="24"/>
        </w:rPr>
        <w:t>The database design has grown beyond the entities shown in the original ER diagram. Membership history, payment batches, reversals, report artifacts, report deliveries, bank transactions, reconciliation periods and links, provider settlements, and retention state support requirements that became clearer during implementation. Chapter Three has been amended only where necessary to acknowledge these outcomes. Chapter Four retains the distinction between the original design and later extensions so an examiner can follow the real development path rather than a retrospective idealisation.</w:t>
      </w:r>
    </w:p>
    <w:p>
      <w:pPr>
        <w:keepNext/>
        <w:keepLines w:val="0"/>
        <w:spacing w:line="360" w:lineRule="auto" w:after="160" w:before="0"/>
        <w:jc w:val="center"/>
      </w:pPr>
      <w:r>
        <w:rPr>
          <w:rFonts w:ascii="Times New Roman" w:hAnsi="Times New Roman" w:cs="Times New Roman"/>
          <w:b/>
          <w:i w:val="0"/>
          <w:color w:val="000000"/>
          <w:sz w:val="24"/>
        </w:rPr>
        <w:t>Table 4.2: Design-to-Implementation Traceability</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72"/>
        <w:gridCol w:w="2444"/>
        <w:gridCol w:w="2444"/>
        <w:gridCol w:w="2446"/>
      </w:tblGrid>
      <w:tr>
        <w:trPr>
          <w:tblHeader w:val="true"/>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Design area</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Principal implementation evidence</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Verification evidence located</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Current conclusion</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 isolation</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context middleware, membership routing, family-aware policies and queries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FamilyMembershipRoutingTest, policy tests, AI tool isolation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in the canonical local suite</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Roles and permissions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Role helpers, policies, middleware, request authorisation</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RoleAccessTest, member and policy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in the canonical local suite</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Contributions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Contribution model, generation command/controller, category history</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Generation, status, due-date, and Phase One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in the canonical local suite</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Payment allocation</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PaymentAllocationService, immutable batches and allocations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Allocation, balance-first, partial and advance-payment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in the canonical local suite</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Paystack</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Service, webhook job/processor, settlement service</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Service, webhook, ledger, fee, and idempotency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 live gateway not executed</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Expenses and adjustments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Controllers, policies, reversal actions, observers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CRUD, policy, model, reversal, and AI tool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in the canonical local suite</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Reporting</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Shared review query, private artifacts, receipts, schedules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Monthly, annual, Phase Three reporting and scheduled-report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 rendered final artifacts pending</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Notifications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Email, Web Push, WhatsApp channels and reminder commands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Manual reminder, channel, webhook, and notification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 delivery not executed</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Authentication</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Fortify flows, 2FA, passkeys, password and verification settings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Authentication, passkey, 2FA, reset, and verification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in the canonical local suite; report capture pending</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Controlled AI</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assistant, sub-agents, role-aware tools, confirm-first writes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agent, tool, middleware, and chat feature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 live provider evidence not executed</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analytics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Offline Python validation/training/evaluation package; portable artefact; Laravel validation, storage and scoring services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66 Python tests at 100% coverage; 138 Laravel tests/440 assertions at 100% payment-risk-file coverage; PostgreSQL and browser reruns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 software checks passed, but private-data training and activation Not Executed</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Reconciliation extension</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Imports, bank transactions, periods, matching, links, settlements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Phase Four and reconciliation unit/browser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Post-design extension; local automated checks passed</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Retention and recovery</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Archive, restore, purge, legal hold, backup configuration</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Phase Three retention and backup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 hosted recovery drill not executed</w:t>
            </w:r>
          </w:p>
        </w:tc>
      </w:tr>
    </w:tbl>
    <w:p/>
    <w:p>
      <w:pPr>
        <w:keepNext w:val="0"/>
        <w:keepLines w:val="0"/>
        <w:spacing w:line="360" w:lineRule="auto" w:after="160" w:before="0"/>
        <w:jc w:val="both"/>
      </w:pPr>
      <w:r>
        <w:rPr>
          <w:rFonts w:ascii="Times New Roman" w:hAnsi="Times New Roman" w:cs="Times New Roman"/>
          <w:b w:val="0"/>
          <w:i w:val="0"/>
          <w:color w:val="000000"/>
          <w:sz w:val="24"/>
        </w:rPr>
        <w:t>Reconciliation deserves explicit treatment because it was added after the original Chapter Three requirement set. Iterative development exposed a gap between application records and external bank statements: a verified receipt, expense, adjustment, or provider settlement could be internally valid yet still require comparison with an imported transaction. The later reconciliation workspace introduced import batches, bank transactions, controlled matching, immutable links, closeable periods, and provider-settlement grouping. This is an Agile post-design extension that improves auditability; it is not presented as an original FR that existed before implementation.</w:t>
      </w:r>
    </w:p>
    <w:p>
      <w:pPr>
        <w:pStyle w:val="Heading3"/>
        <w:spacing w:line="360" w:lineRule="auto" w:before="240" w:after="120"/>
        <w:jc w:val="both"/>
      </w:pPr>
      <w:r>
        <w:rPr>
          <w:rFonts w:ascii="Times New Roman" w:hAnsi="Times New Roman" w:cs="Times New Roman"/>
          <w:b/>
          <w:i w:val="0"/>
          <w:color w:val="000000"/>
          <w:sz w:val="24"/>
        </w:rPr>
        <w:t>4.2 Module Integration and Coding</w:t>
      </w:r>
    </w:p>
    <w:p>
      <w:pPr>
        <w:pStyle w:val="Heading4"/>
        <w:spacing w:line="360" w:lineRule="auto" w:before="240" w:after="120"/>
        <w:jc w:val="both"/>
      </w:pPr>
      <w:r>
        <w:rPr>
          <w:rFonts w:ascii="Times New Roman" w:hAnsi="Times New Roman" w:cs="Times New Roman"/>
          <w:b/>
          <w:i w:val="0"/>
          <w:color w:val="000000"/>
          <w:sz w:val="24"/>
        </w:rPr>
        <w:t>4.2.1 Tenancy, Membership, and Role Governance</w:t>
      </w:r>
    </w:p>
    <w:p>
      <w:pPr>
        <w:keepNext w:val="0"/>
        <w:keepLines w:val="0"/>
        <w:spacing w:line="360" w:lineRule="auto" w:after="160" w:before="0"/>
        <w:jc w:val="both"/>
      </w:pPr>
      <w:r>
        <w:rPr>
          <w:rFonts w:ascii="Times New Roman" w:hAnsi="Times New Roman" w:cs="Times New Roman"/>
          <w:b w:val="0"/>
          <w:i w:val="0"/>
          <w:color w:val="000000"/>
          <w:sz w:val="24"/>
        </w:rPr>
        <w:t>FamilyFunds supports users who may belong to more than one family while operating within one current family context at a time. Membership records carry the family-specific role, contribution category, lifecycle state, and display information. Route middleware resolves the selected family, and policies make the final decision for protected records. An ordinary member can inspect personal contributions and payment history, while family administrators and financial secretaries receive wider operational views according to their duties. Platform administration is kept separate from family operations.</w:t>
      </w:r>
    </w:p>
    <w:p>
      <w:pPr>
        <w:keepNext w:val="0"/>
        <w:keepLines w:val="0"/>
        <w:spacing w:line="360" w:lineRule="auto" w:after="160" w:before="0"/>
        <w:jc w:val="both"/>
      </w:pPr>
      <w:r>
        <w:rPr>
          <w:rFonts w:ascii="Times New Roman" w:hAnsi="Times New Roman" w:cs="Times New Roman"/>
          <w:b w:val="0"/>
          <w:i w:val="0"/>
          <w:color w:val="000000"/>
          <w:sz w:val="24"/>
        </w:rPr>
        <w:t>The membership model avoids storing all authority as one global property of the user. A person can therefore be a financial secretary in one family and an ordinary member in another without one role leaking across the boundary. Category assignments are dated so that a future contribution-rate change does not rewrite the amount that applied to an older obligation. Invitation acceptance attaches the user to the intended family only after token, expiry, identity, role, and category rules have been checked. Archive state is also membership-aware, allowing a person's relationship with one family to change without deleting the global account or unrelated memberships.</w:t>
      </w:r>
    </w:p>
    <w:p>
      <w:pPr>
        <w:keepNext w:val="0"/>
        <w:keepLines w:val="0"/>
        <w:spacing w:line="360" w:lineRule="auto" w:after="160" w:before="0"/>
        <w:jc w:val="both"/>
      </w:pPr>
      <w:r>
        <w:rPr>
          <w:rFonts w:ascii="Times New Roman" w:hAnsi="Times New Roman" w:cs="Times New Roman"/>
          <w:b w:val="0"/>
          <w:i w:val="0"/>
          <w:color w:val="000000"/>
          <w:sz w:val="24"/>
        </w:rPr>
        <w:t>This design introduces more joins than a single family_id column on the user record, but it better represents the domain and supports auditability. Compatibility mirrors remain for earlier records, while backfill and routing tests protect the transition. The final evidence run must exercise both a single-family member and a person with multiple memberships because cross-context behaviour is where role leakage would be most likely.</w:t>
      </w:r>
    </w:p>
    <w:p>
      <w:pPr>
        <w:keepNext w:val="0"/>
        <w:keepLines w:val="0"/>
        <w:spacing w:line="360" w:lineRule="auto" w:after="160" w:before="0"/>
        <w:jc w:val="both"/>
      </w:pPr>
      <w:r>
        <w:rPr>
          <w:rFonts w:ascii="Times New Roman" w:hAnsi="Times New Roman" w:cs="Times New Roman"/>
          <w:b w:val="0"/>
          <w:i w:val="0"/>
          <w:color w:val="000000"/>
          <w:sz w:val="24"/>
        </w:rPr>
        <w:t>Listing 4.1 shows the small but important context-binding step. It does not, by itself, authorise access; downstream membership checks, policies, validation, and scoped queries remain necessary.</w:t>
      </w:r>
    </w:p>
    <w:p>
      <w:pPr>
        <w:keepNext/>
        <w:keepLines w:val="0"/>
        <w:spacing w:line="360" w:lineRule="auto" w:after="160" w:before="0"/>
        <w:jc w:val="center"/>
      </w:pPr>
      <w:r>
        <w:rPr>
          <w:rFonts w:ascii="Times New Roman" w:hAnsi="Times New Roman" w:cs="Times New Roman"/>
          <w:b/>
          <w:i w:val="0"/>
          <w:color w:val="000000"/>
          <w:sz w:val="24"/>
        </w:rPr>
        <w:t>Listing 4.1: Family Context Binding</w:t>
      </w:r>
    </w:p>
    <w:p>
      <w:pPr>
        <w:keepLines/>
        <w:spacing w:line="240" w:lineRule="auto" w:before="60" w:after="200"/>
        <w:jc w:val="left"/>
        <w:pBdr>
          <w:top w:val="single" w:sz="8" w:space="6" w:color="000000"/>
          <w:left w:val="single" w:sz="8" w:space="6" w:color="000000"/>
          <w:bottom w:val="single" w:sz="8" w:space="6" w:color="000000"/>
          <w:right w:val="single" w:sz="8" w:space="6" w:color="000000"/>
        </w:pBdr>
      </w:pPr>
      <w:r>
        <w:rPr>
          <w:rFonts w:ascii="Courier New" w:hAnsi="Courier New" w:cs="Courier New"/>
          <w:b w:val="0"/>
          <w:i w:val="0"/>
          <w:color w:val="000000"/>
          <w:sz w:val="20"/>
        </w:rPr>
        <w:t>if ($user) {</w:t>
        <w:br/>
        <w:t xml:space="preserve">    $family = $user-&gt;currentFamily ?? $user-&gt;family;</w:t>
        <w:br/>
        <w:br/>
        <w:t xml:space="preserve">    if ($family instanceof Family) {</w:t>
        <w:br/>
        <w:t xml:space="preserve">        app()-&gt;instance('current-family', $family);</w:t>
        <w:br/>
        <w:t xml:space="preserve">        app()-&gt;instance(Family::class, $family);</w:t>
        <w:br/>
        <w:t xml:space="preserve">    }</w:t>
        <w:br/>
        <w:t>}</w:t>
      </w:r>
    </w:p>
    <w:p>
      <w:pPr>
        <w:pStyle w:val="Heading4"/>
        <w:spacing w:line="360" w:lineRule="auto" w:before="240" w:after="120"/>
        <w:jc w:val="both"/>
      </w:pPr>
      <w:r>
        <w:rPr>
          <w:rFonts w:ascii="Times New Roman" w:hAnsi="Times New Roman" w:cs="Times New Roman"/>
          <w:b/>
          <w:i w:val="0"/>
          <w:color w:val="000000"/>
          <w:sz w:val="24"/>
        </w:rPr>
        <w:t>4.2.2 Contributions and Oldest-Balance-First Allocation</w:t>
      </w:r>
    </w:p>
    <w:p>
      <w:pPr>
        <w:keepNext w:val="0"/>
        <w:keepLines w:val="0"/>
        <w:spacing w:line="360" w:lineRule="auto" w:after="160" w:before="0"/>
        <w:jc w:val="both"/>
      </w:pPr>
      <w:r>
        <w:rPr>
          <w:rFonts w:ascii="Times New Roman" w:hAnsi="Times New Roman" w:cs="Times New Roman"/>
          <w:b w:val="0"/>
          <w:i w:val="0"/>
          <w:color w:val="000000"/>
          <w:sz w:val="24"/>
        </w:rPr>
        <w:t>Contribution categories define monthly expectations for memberships. Generation creates dated obligations, while status logic distinguishes unpaid, partially paid, paid, and overdue records. A receipt is modelled separately from its allocation lines, allowing one incoming amount to satisfy several months while preserving the amount, recorder, source, reference, and receipt number. The allocation service uses a transaction and row locks to prevent concurrent writes from producing inconsistent balances. Existing incomplete contributions are ordered chronologically; any permitted remainder can create future obligations only within the defined advance-payment limit.</w:t>
      </w:r>
    </w:p>
    <w:p>
      <w:pPr>
        <w:keepNext/>
        <w:keepLines w:val="0"/>
        <w:spacing w:line="360" w:lineRule="auto" w:after="160" w:before="0"/>
        <w:jc w:val="center"/>
      </w:pPr>
      <w:r>
        <w:rPr>
          <w:rFonts w:ascii="Times New Roman" w:hAnsi="Times New Roman" w:cs="Times New Roman"/>
          <w:b/>
          <w:i w:val="0"/>
          <w:color w:val="000000"/>
          <w:sz w:val="24"/>
        </w:rPr>
        <w:t>Listing 4.2: Oldest-Balance-First Payment Allocation</w:t>
      </w:r>
    </w:p>
    <w:p>
      <w:pPr>
        <w:keepLines/>
        <w:spacing w:line="240" w:lineRule="auto" w:before="60" w:after="200"/>
        <w:jc w:val="left"/>
        <w:pBdr>
          <w:top w:val="single" w:sz="8" w:space="6" w:color="000000"/>
          <w:left w:val="single" w:sz="8" w:space="6" w:color="000000"/>
          <w:bottom w:val="single" w:sz="8" w:space="6" w:color="000000"/>
          <w:right w:val="single" w:sz="8" w:space="6" w:color="000000"/>
        </w:pBdr>
      </w:pPr>
      <w:r>
        <w:rPr>
          <w:rFonts w:ascii="Courier New" w:hAnsi="Courier New" w:cs="Courier New"/>
          <w:b w:val="0"/>
          <w:i w:val="0"/>
          <w:color w:val="000000"/>
          <w:sz w:val="20"/>
        </w:rPr>
        <w:t>$contributions = Contribution::query()</w:t>
        <w:br/>
        <w:t xml:space="preserve">    -&gt;forUser($member)</w:t>
        <w:br/>
        <w:t xml:space="preserve">    -&gt;where('family_id', $family-&gt;id)</w:t>
        <w:br/>
        <w:t xml:space="preserve">    -&gt;where(fn ($query) =&gt; $query-&gt;incomplete())</w:t>
        <w:br/>
        <w:t xml:space="preserve">    -&gt;oldestFirst()</w:t>
        <w:br/>
        <w:t xml:space="preserve">    -&gt;lockForUpdate()</w:t>
        <w:br/>
        <w:t xml:space="preserve">    -&gt;get();</w:t>
        <w:br/>
        <w:br/>
        <w:t>foreach ($contributions as $contribution) {</w:t>
        <w:br/>
        <w:t xml:space="preserve">    $remainingAmount = $this-&gt;allocateLine(</w:t>
        <w:br/>
        <w:t xml:space="preserve">        $batch,</w:t>
        <w:br/>
        <w:t xml:space="preserve">        $contribution,</w:t>
        <w:br/>
        <w:t xml:space="preserve">        $remainingAmount,</w:t>
        <w:br/>
        <w:t xml:space="preserve">        $paidAt,</w:t>
        <w:br/>
        <w:t xml:space="preserve">        $recordedBy,</w:t>
        <w:br/>
        <w:t xml:space="preserve">        $notes,</w:t>
        <w:br/>
        <w:t xml:space="preserve">        $replaces,</w:t>
        <w:br/>
        <w:t xml:space="preserve">    );</w:t>
        <w:br/>
        <w:br/>
        <w:t xml:space="preserve">    if ($remainingAmount === 0) {</w:t>
        <w:br/>
        <w:t xml:space="preserve">        return 0;</w:t>
        <w:br/>
        <w:t xml:space="preserve">    }</w:t>
        <w:br/>
        <w:t>}</w:t>
      </w:r>
    </w:p>
    <w:p>
      <w:pPr>
        <w:keepNext w:val="0"/>
        <w:keepLines w:val="0"/>
        <w:spacing w:line="360" w:lineRule="auto" w:after="160" w:before="0"/>
        <w:jc w:val="both"/>
      </w:pPr>
      <w:r>
        <w:rPr>
          <w:rFonts w:ascii="Times New Roman" w:hAnsi="Times New Roman" w:cs="Times New Roman"/>
          <w:b w:val="0"/>
          <w:i w:val="0"/>
          <w:color w:val="000000"/>
          <w:sz w:val="24"/>
        </w:rPr>
        <w:t>The listing omits receipt creation and future-period handling so that the core ordering decision remains visible. The full implementation also validates family membership, uses idempotency keys, assigns sequential receipt numbers, supports corrections through replacement batches, and rejects money that would exceed the six-month advance limit.</w:t>
      </w:r>
    </w:p>
    <w:p>
      <w:pPr>
        <w:pStyle w:val="Heading4"/>
        <w:spacing w:line="360" w:lineRule="auto" w:before="240" w:after="120"/>
        <w:jc w:val="both"/>
      </w:pPr>
      <w:r>
        <w:rPr>
          <w:rFonts w:ascii="Times New Roman" w:hAnsi="Times New Roman" w:cs="Times New Roman"/>
          <w:b/>
          <w:i w:val="0"/>
          <w:color w:val="000000"/>
          <w:sz w:val="24"/>
        </w:rPr>
        <w:t>4.2.3 Paystack, Expenses, Adjustments, Reports, and Notifications</w:t>
      </w:r>
    </w:p>
    <w:p>
      <w:pPr>
        <w:keepNext w:val="0"/>
        <w:keepLines w:val="0"/>
        <w:spacing w:line="360" w:lineRule="auto" w:after="160" w:before="0"/>
        <w:jc w:val="both"/>
      </w:pPr>
      <w:r>
        <w:rPr>
          <w:rFonts w:ascii="Times New Roman" w:hAnsi="Times New Roman" w:cs="Times New Roman"/>
          <w:b w:val="0"/>
          <w:i w:val="0"/>
          <w:color w:val="000000"/>
          <w:sz w:val="24"/>
        </w:rPr>
        <w:t>Paystack is integrated as an external processor rather than the authority for family balances. A transaction is initialised within the application, and a signed callback or queued webhook is matched to a known reference before the settlement service is invoked. Duplicate success events must not create duplicate receipts. Amount mismatches, unknown references, missing data, and invalid signatures follow explicit rejection or ignore paths.</w:t>
      </w:r>
    </w:p>
    <w:p>
      <w:pPr>
        <w:keepNext/>
        <w:keepLines w:val="0"/>
        <w:spacing w:line="360" w:lineRule="auto" w:after="160" w:before="0"/>
        <w:jc w:val="center"/>
      </w:pPr>
      <w:r>
        <w:rPr>
          <w:rFonts w:ascii="Times New Roman" w:hAnsi="Times New Roman" w:cs="Times New Roman"/>
          <w:b/>
          <w:i w:val="0"/>
          <w:color w:val="000000"/>
          <w:sz w:val="24"/>
        </w:rPr>
        <w:t>Listing 4.3: Paystack Webhook Reference Verification</w:t>
      </w:r>
    </w:p>
    <w:p>
      <w:pPr>
        <w:keepLines/>
        <w:spacing w:line="240" w:lineRule="auto" w:before="60" w:after="200"/>
        <w:jc w:val="left"/>
        <w:pBdr>
          <w:top w:val="single" w:sz="8" w:space="6" w:color="000000"/>
          <w:left w:val="single" w:sz="8" w:space="6" w:color="000000"/>
          <w:bottom w:val="single" w:sz="8" w:space="6" w:color="000000"/>
          <w:right w:val="single" w:sz="8" w:space="6" w:color="000000"/>
        </w:pBdr>
      </w:pPr>
      <w:r>
        <w:rPr>
          <w:rFonts w:ascii="Courier New" w:hAnsi="Courier New" w:cs="Courier New"/>
          <w:b w:val="0"/>
          <w:i w:val="0"/>
          <w:color w:val="000000"/>
          <w:sz w:val="20"/>
        </w:rPr>
        <w:t>$reference = $data['reference'] ?? null;</w:t>
        <w:br/>
        <w:br/>
        <w:t>if (! is_string($reference) || $reference === '') {</w:t>
        <w:br/>
        <w:t xml:space="preserve">    return;</w:t>
        <w:br/>
        <w:t>}</w:t>
        <w:br/>
        <w:br/>
        <w:t>if (! PaystackTransaction::query()-&gt;where('reference', $reference)-&gt;exists()) {</w:t>
        <w:br/>
        <w:t xml:space="preserve">    Log::info('Paystack webhook ignored an unknown transaction reference.', [</w:t>
        <w:br/>
        <w:t xml:space="preserve">        'reference' =&gt; $reference,</w:t>
        <w:br/>
        <w:t xml:space="preserve">    ]);</w:t>
        <w:br/>
        <w:br/>
        <w:t xml:space="preserve">    return;</w:t>
        <w:br/>
        <w:t>}</w:t>
        <w:br/>
        <w:br/>
        <w:t>$this-&gt;settlementService-&gt;settle($reference, $data);</w:t>
      </w:r>
    </w:p>
    <w:p>
      <w:pPr>
        <w:keepNext w:val="0"/>
        <w:keepLines w:val="0"/>
        <w:spacing w:line="360" w:lineRule="auto" w:after="160" w:before="0"/>
        <w:jc w:val="both"/>
      </w:pPr>
      <w:r>
        <w:rPr>
          <w:rFonts w:ascii="Times New Roman" w:hAnsi="Times New Roman" w:cs="Times New Roman"/>
          <w:b w:val="0"/>
          <w:i w:val="0"/>
          <w:color w:val="000000"/>
          <w:sz w:val="24"/>
        </w:rPr>
        <w:t>Expenses and fund adjustments use immutable financial records plus explicit reversal or correction actions. Reports draw from contribution, receipt, allocation, expense, adjustment, and reversal data. Private artifacts store their family, requester, type, format, normalised filter hash, path, size, and expiry. CSV cells are sanitised to reduce spreadsheet-formula risk; PDFs and receipts use A4 output; signed recipient links expire. Scheduled jobs can create and deliver the same report definitions without introducing a separate calculation path.</w:t>
      </w:r>
    </w:p>
    <w:p>
      <w:pPr>
        <w:keepNext w:val="0"/>
        <w:keepLines w:val="0"/>
        <w:spacing w:line="360" w:lineRule="auto" w:after="160" w:before="0"/>
        <w:jc w:val="both"/>
      </w:pPr>
      <w:r>
        <w:rPr>
          <w:rFonts w:ascii="Times New Roman" w:hAnsi="Times New Roman" w:cs="Times New Roman"/>
          <w:b w:val="0"/>
          <w:i w:val="0"/>
          <w:color w:val="000000"/>
          <w:sz w:val="24"/>
        </w:rPr>
        <w:t>Separating receipt batches from allocation lines also clarifies reports. A family's cash receipt should appear once at its full value, while a member statement may need the individual month-by-month allocation lines. Reversals must remove the effective financial impact without deleting the historical record. The shared review service is intended to keep these interpretations consistent across screen, CSV, PDF, receipt, and scheduled delivery. The Phase Three reporting specifications are valuable static evidence because they compare these surfaces, but the final report must still render and inspect representative PDF and CSV outputs after all current changes.</w:t>
      </w:r>
    </w:p>
    <w:p>
      <w:pPr>
        <w:keepNext w:val="0"/>
        <w:keepLines w:val="0"/>
        <w:spacing w:line="360" w:lineRule="auto" w:after="160" w:before="0"/>
        <w:jc w:val="both"/>
      </w:pPr>
      <w:r>
        <w:rPr>
          <w:rFonts w:ascii="Times New Roman" w:hAnsi="Times New Roman" w:cs="Times New Roman"/>
          <w:b w:val="0"/>
          <w:i w:val="0"/>
          <w:color w:val="000000"/>
          <w:sz w:val="24"/>
        </w:rPr>
        <w:t>Report artifacts are private by default. An authenticated, authorised requester may download an artifact through policy checks, while a recipient link uses a time-limited signature. The path is stored on the local private disk rather than a public asset directory. This matters academically because “a report was generated” is incomplete evidence if the report leaks another family or can be guessed indefinitely. The final screenshot set should show the report interface and access controls without exposing real family names, phone numbers, email addresses, bank references, or personal contribution histories.</w:t>
      </w:r>
    </w:p>
    <w:p>
      <w:pPr>
        <w:keepNext w:val="0"/>
        <w:keepLines w:val="0"/>
        <w:spacing w:line="360" w:lineRule="auto" w:after="160" w:before="0"/>
        <w:jc w:val="both"/>
      </w:pPr>
      <w:r>
        <w:rPr>
          <w:rFonts w:ascii="Times New Roman" w:hAnsi="Times New Roman" w:cs="Times New Roman"/>
          <w:b w:val="0"/>
          <w:i w:val="0"/>
          <w:color w:val="000000"/>
          <w:sz w:val="24"/>
        </w:rPr>
        <w:t>Reminder workflows select unpaid or partially paid obligations and support the configured email, browser-push, and WhatsApp-related channels. Delivery state is operational evidence and cannot be established from source alone. The current report therefore records channel and command coverage as partial while leaving actual message delivery for the final evidence run.</w:t>
      </w:r>
    </w:p>
    <w:p>
      <w:pPr>
        <w:pStyle w:val="Heading4"/>
        <w:spacing w:line="360" w:lineRule="auto" w:before="240" w:after="120"/>
        <w:jc w:val="both"/>
      </w:pPr>
      <w:r>
        <w:rPr>
          <w:rFonts w:ascii="Times New Roman" w:hAnsi="Times New Roman" w:cs="Times New Roman"/>
          <w:b/>
          <w:i w:val="0"/>
          <w:color w:val="000000"/>
          <w:sz w:val="24"/>
        </w:rPr>
        <w:t>4.2.4 Controlled AI Assistant and Report Summaries</w:t>
      </w:r>
    </w:p>
    <w:p>
      <w:pPr>
        <w:keepNext w:val="0"/>
        <w:keepLines w:val="0"/>
        <w:spacing w:line="360" w:lineRule="auto" w:after="160" w:before="0"/>
        <w:jc w:val="both"/>
      </w:pPr>
      <w:r>
        <w:rPr>
          <w:rFonts w:ascii="Times New Roman" w:hAnsi="Times New Roman" w:cs="Times New Roman"/>
          <w:b w:val="0"/>
          <w:i w:val="0"/>
          <w:color w:val="000000"/>
          <w:sz w:val="24"/>
        </w:rPr>
        <w:t>The assistant coordinates specialist agents for contribution, expense, balance, member-status, invitation, generation, and write workflows. Tools query current family data rather than relying on model memory. Their availability is filtered by role. Write operations follow a preview-and-confirm pattern: the initial tool call returns a human-readable description and the same details needed for execution; only a later confirmed call can mutate records. This reduces accidental changes and keeps Laravel policies, validation, and domain services in authority over the language model.</w:t>
      </w:r>
    </w:p>
    <w:p>
      <w:pPr>
        <w:keepNext/>
        <w:keepLines w:val="0"/>
        <w:spacing w:line="360" w:lineRule="auto" w:after="160" w:before="0"/>
        <w:jc w:val="center"/>
      </w:pPr>
      <w:r>
        <w:rPr>
          <w:rFonts w:ascii="Times New Roman" w:hAnsi="Times New Roman" w:cs="Times New Roman"/>
          <w:b/>
          <w:i w:val="0"/>
          <w:color w:val="000000"/>
          <w:sz w:val="24"/>
        </w:rPr>
        <w:t>Listing 4.4: Confirm-First AI Write Governance</w:t>
      </w:r>
    </w:p>
    <w:p>
      <w:pPr>
        <w:keepLines/>
        <w:spacing w:line="240" w:lineRule="auto" w:before="60" w:after="200"/>
        <w:jc w:val="left"/>
        <w:pBdr>
          <w:top w:val="single" w:sz="8" w:space="6" w:color="000000"/>
          <w:left w:val="single" w:sz="8" w:space="6" w:color="000000"/>
          <w:bottom w:val="single" w:sz="8" w:space="6" w:color="000000"/>
          <w:right w:val="single" w:sz="8" w:space="6" w:color="000000"/>
        </w:pBdr>
      </w:pPr>
      <w:r>
        <w:rPr>
          <w:rFonts w:ascii="Courier New" w:hAnsi="Courier New" w:cs="Courier New"/>
          <w:b w:val="0"/>
          <w:i w:val="0"/>
          <w:color w:val="000000"/>
          <w:sz w:val="20"/>
        </w:rPr>
        <w:t>if (! $confirmed) {</w:t>
        <w:br/>
        <w:t xml:space="preserve">    return json_encode([</w:t>
        <w:br/>
        <w:t xml:space="preserve">        'status' =&gt; 'confirmation_required',</w:t>
        <w:br/>
        <w:t xml:space="preserve">        'message' =&gt; "I'll record a payment of {$formattedAmount} for {$member-&gt;name}. Please confirm to proceed.",</w:t>
        <w:br/>
        <w:t xml:space="preserve">        'details' =&gt; [</w:t>
        <w:br/>
        <w:t xml:space="preserve">            'member' =&gt; $member-&gt;name,</w:t>
        <w:br/>
        <w:t xml:space="preserve">            'amount' =&gt; $amount,</w:t>
        <w:br/>
        <w:t xml:space="preserve">            'paid_at' =&gt; $paidAt,</w:t>
        <w:br/>
        <w:t xml:space="preserve">        ],</w:t>
        <w:br/>
        <w:t xml:space="preserve">    ], JSON_THROW_ON_ERROR);</w:t>
        <w:br/>
        <w:t>}</w:t>
      </w:r>
    </w:p>
    <w:p>
      <w:pPr>
        <w:keepNext w:val="0"/>
        <w:keepLines w:val="0"/>
        <w:spacing w:line="360" w:lineRule="auto" w:after="160" w:before="0"/>
        <w:jc w:val="both"/>
      </w:pPr>
      <w:r>
        <w:rPr>
          <w:rFonts w:ascii="Times New Roman" w:hAnsi="Times New Roman" w:cs="Times New Roman"/>
          <w:b w:val="0"/>
          <w:i w:val="0"/>
          <w:color w:val="000000"/>
          <w:sz w:val="24"/>
        </w:rPr>
        <w:t>Static feature tests cover role-aware tools, family isolation, validation, preview responses, and confirmed execution. They do not prove the quality of a live model response. No provider-backed conversation or final report-summary example was executed for this document revision, so live AI relevance, latency, and wording remain Not Executed.</w:t>
      </w:r>
    </w:p>
    <w:p>
      <w:pPr>
        <w:pStyle w:val="Heading4"/>
        <w:spacing w:line="360" w:lineRule="auto" w:before="240" w:after="120"/>
        <w:jc w:val="both"/>
      </w:pPr>
      <w:r>
        <w:rPr>
          <w:rFonts w:ascii="Times New Roman" w:hAnsi="Times New Roman" w:cs="Times New Roman"/>
          <w:b/>
          <w:i w:val="0"/>
          <w:color w:val="000000"/>
          <w:sz w:val="24"/>
        </w:rPr>
        <w:t>4.2.5 Reconciliation as a Post-Design Extension</w:t>
      </w:r>
    </w:p>
    <w:p>
      <w:pPr>
        <w:keepNext w:val="0"/>
        <w:keepLines w:val="0"/>
        <w:spacing w:line="360" w:lineRule="auto" w:after="160" w:before="0"/>
        <w:jc w:val="both"/>
      </w:pPr>
      <w:r>
        <w:rPr>
          <w:rFonts w:ascii="Times New Roman" w:hAnsi="Times New Roman" w:cs="Times New Roman"/>
          <w:b w:val="0"/>
          <w:i w:val="0"/>
          <w:color w:val="000000"/>
          <w:sz w:val="24"/>
        </w:rPr>
        <w:t>The reconciliation workspace accepts bank-transaction imports, preserves import and period state, proposes candidate internal records, supports explicit links, and locks closed periods. Exact automatic matching is deliberately narrow. A credit is automatically linked only where reference and amount produce one unique unmatched candidate; ambiguity produces suggestions for officer review. Date-and-amount proximity is useful for suggestions but is not sufficient for an automatic authoritative link.</w:t>
      </w:r>
    </w:p>
    <w:p>
      <w:pPr>
        <w:keepNext w:val="0"/>
        <w:keepLines w:val="0"/>
        <w:spacing w:line="360" w:lineRule="auto" w:after="160" w:before="0"/>
        <w:jc w:val="both"/>
      </w:pPr>
      <w:r>
        <w:rPr>
          <w:rFonts w:ascii="Times New Roman" w:hAnsi="Times New Roman" w:cs="Times New Roman"/>
          <w:b w:val="0"/>
          <w:i w:val="0"/>
          <w:color w:val="000000"/>
          <w:sz w:val="24"/>
        </w:rPr>
        <w:t>Provider settlements are distinguished from member receipts so that a net bank deposit is not incorrectly matched to a gross contribution. Closed-period guards prevent late mutation unless an authorised reopening process is completed. These behaviours extend the original fund-management design while maintaining its role, tenant, audit, and immutability principles.</w:t>
      </w:r>
    </w:p>
    <w:p>
      <w:pPr>
        <w:pStyle w:val="Heading4"/>
        <w:spacing w:line="360" w:lineRule="auto" w:before="240" w:after="120"/>
        <w:jc w:val="both"/>
      </w:pPr>
      <w:r>
        <w:rPr>
          <w:rFonts w:ascii="Times New Roman" w:hAnsi="Times New Roman" w:cs="Times New Roman"/>
          <w:b/>
          <w:i w:val="0"/>
          <w:color w:val="000000"/>
          <w:sz w:val="24"/>
        </w:rPr>
        <w:t>4.2.6 Predictive Analytics Implementation Contract</w:t>
      </w:r>
    </w:p>
    <w:p>
      <w:pPr>
        <w:keepNext w:val="0"/>
        <w:keepLines w:val="0"/>
        <w:spacing w:line="360" w:lineRule="auto" w:after="160" w:before="0"/>
        <w:jc w:val="both"/>
      </w:pPr>
      <w:r>
        <w:rPr>
          <w:rFonts w:ascii="Times New Roman" w:hAnsi="Times New Roman" w:cs="Times New Roman"/>
          <w:b w:val="0"/>
          <w:i w:val="0"/>
          <w:color w:val="000000"/>
          <w:sz w:val="24"/>
        </w:rPr>
        <w:t>The predictive component is implemented as two connected parts. An offline Python 3.12 package accepts a separately authorised CSV and provenance file, validates them, creates point-in-time features, performs a chronological split, fits and evaluates the approved model, and emits a portable JSON artefact and checksumed evidence files. Laravel validates that artefact again, stores it on a private disk, records immutable model-version metadata, permits activation only when all gates pass, and scores family-owned contribution targets. This separation keeps private training material and Python dependencies out of web requests while allowing deterministic PHP inference.</w:t>
      </w:r>
    </w:p>
    <w:p>
      <w:pPr>
        <w:keepNext w:val="0"/>
        <w:keepLines w:val="0"/>
        <w:spacing w:line="360" w:lineRule="auto" w:after="160" w:before="0"/>
        <w:jc w:val="both"/>
      </w:pPr>
      <w:r>
        <w:rPr>
          <w:rFonts w:ascii="Times New Roman" w:hAnsi="Times New Roman" w:cs="Times New Roman"/>
          <w:b w:val="0"/>
          <w:i w:val="0"/>
          <w:color w:val="000000"/>
          <w:sz w:val="24"/>
        </w:rPr>
        <w:t>The approved predictive method is logistic regression only. The target is a binary overdue/on-time outcome for a contribution period: an obligation is overdue when the system still recorded an outstanding balance at the end of its due date. The fourteen implemented features are expected amount, days until due, calendar month and quarter, number of previous mature periods, three-period, six-period and lifetime on-time rates, previous partial-payment rate, mean and median recorded settlement delay, previous outstanding count and amount, and overdue streak. The outstanding-amount feature is operationally the due-date residual summed only for prior obligations still unsettled strictly before the scoring cutoff; this keeps offline and Laravel reconstruction identical under the locked twelve-column export. All features are constructed from data recorded strictly before the target obligation's creation-time cutoff. Direct identity attributes and target-period outcome data are excluded.</w:t>
      </w:r>
    </w:p>
    <w:p>
      <w:pPr>
        <w:keepNext w:val="0"/>
        <w:keepLines w:val="0"/>
        <w:spacing w:line="360" w:lineRule="auto" w:after="160" w:before="0"/>
        <w:jc w:val="both"/>
      </w:pPr>
      <w:r>
        <w:rPr>
          <w:rFonts w:ascii="Times New Roman" w:hAnsi="Times New Roman" w:cs="Times New Roman"/>
          <w:b w:val="0"/>
          <w:i w:val="0"/>
          <w:color w:val="000000"/>
          <w:sz w:val="24"/>
        </w:rPr>
        <w:t>The input contract is deliberately strict. The uncommitted source must be storage/app/private/payment-risk/source/member-periods.csv and contain exactly: family_key, member_key, obligation_key, period_start, obligation_created_at, due_date, expected_amount_minor, amount_paid_by_due_minor, first_payment_recorded_at, fully_paid_recorded_at, payment_count_by_due, and is_backfilled. The three opaque pseudonymous keys support grouping and split integrity only; they are never predictors. The CSV digest must match its provenance JSON. Provenance records whether consent, de-identification and point-in-time correctness were confirmed. Because this fixed export cannot express the time-varying effect of later reversals, it also requires the explicit system_known_by_cutoff_no_reversed_allocations policy: histories containing reversed allocations must be excluded upstream before the minimum-data gate is applied. Backfilled obligations, incomplete periods, PII or extra columns, contradictory payment timestamps, duplicate obligations/member-periods, negative amounts, impossible chronology, non-mature outcomes, and obligations created fewer than seven days before their due date are rejected. The default quality gates require at least 500 valid rows, 50 distinct member histories, 12 complete periods, and 100 rows in each outcome class. Synthetic provenance may exercise the software path but is always activation-ineligible and cannot support real-world performance claims. These are implemented rules, not claims about the unavailable private dataset.</w:t>
      </w:r>
    </w:p>
    <w:p>
      <w:pPr>
        <w:keepNext w:val="0"/>
        <w:keepLines w:val="0"/>
        <w:spacing w:line="360" w:lineRule="auto" w:after="160" w:before="0"/>
        <w:jc w:val="both"/>
      </w:pPr>
      <w:r>
        <w:rPr>
          <w:rFonts w:ascii="Times New Roman" w:hAnsi="Times New Roman" w:cs="Times New Roman"/>
          <w:b w:val="0"/>
          <w:i w:val="0"/>
          <w:color w:val="000000"/>
          <w:sz w:val="24"/>
        </w:rPr>
        <w:t>The label and prediction cutoff are fixed before data is examined. A feature such as “days late for the target period” would leak the answer because it becomes known only after the outcome window. By contrast, the previous mature periods' outcomes, settlement delays and outstanding amounts are available at the obligation-creation cutoff. The implemented artefact stores the ordered feature schema, standardisation means and scales, coefficients, intercept, threshold, training window, data-quality report, evaluation summary and human-readable factor labels so that training and inference cannot silently disagree.</w:t>
      </w:r>
    </w:p>
    <w:p>
      <w:pPr>
        <w:keepNext w:val="0"/>
        <w:keepLines w:val="0"/>
        <w:spacing w:line="360" w:lineRule="auto" w:after="160" w:before="0"/>
        <w:jc w:val="both"/>
      </w:pPr>
      <w:r>
        <w:rPr>
          <w:rFonts w:ascii="Times New Roman" w:hAnsi="Times New Roman" w:cs="Times New Roman"/>
          <w:b w:val="0"/>
          <w:i w:val="0"/>
          <w:color w:val="000000"/>
          <w:sz w:val="24"/>
        </w:rPr>
        <w:t>Chronological evaluation is required because a random row split could place later records for the same member in training while earlier records appear in testing. The implementation keeps whole contribution periods together and assigns the earliest 60% to training, the next 20% to validation, and the latest 20% to held-out evaluation. Standardisation and the class-balanced L2 logistic regression are fitted only on training data. The decision threshold is selected only on validation data by maximising overdue-class F1 subject to at least 0.70 overdue recall, with precision and threshold as deterministic tie-breakers. The latest partition is not consulted during fitting or selection.</w:t>
      </w:r>
    </w:p>
    <w:p>
      <w:pPr>
        <w:keepNext/>
        <w:keepLines w:val="0"/>
        <w:spacing w:line="360" w:lineRule="auto" w:after="160" w:before="0"/>
        <w:jc w:val="center"/>
      </w:pPr>
      <w:r>
        <w:rPr>
          <w:rFonts w:ascii="Times New Roman" w:hAnsi="Times New Roman" w:cs="Times New Roman"/>
          <w:b/>
          <w:i w:val="0"/>
          <w:color w:val="000000"/>
          <w:sz w:val="24"/>
        </w:rPr>
        <w:t>Listing 4.5: Logistic Regression Training</w:t>
      </w:r>
    </w:p>
    <w:p>
      <w:pPr>
        <w:keepLines/>
        <w:spacing w:line="240" w:lineRule="auto" w:before="60" w:after="200"/>
        <w:jc w:val="left"/>
        <w:pBdr>
          <w:top w:val="single" w:sz="8" w:space="6" w:color="000000"/>
          <w:left w:val="single" w:sz="8" w:space="6" w:color="000000"/>
          <w:bottom w:val="single" w:sz="8" w:space="6" w:color="000000"/>
          <w:right w:val="single" w:sz="8" w:space="6" w:color="000000"/>
        </w:pBdr>
      </w:pPr>
      <w:r>
        <w:rPr>
          <w:rFonts w:ascii="Courier New" w:hAnsi="Courier New" w:cs="Courier New"/>
          <w:b w:val="0"/>
          <w:i w:val="0"/>
          <w:color w:val="000000"/>
          <w:sz w:val="20"/>
        </w:rPr>
        <w:t>scaler = StandardScaler()</w:t>
        <w:br/>
        <w:t>training_features = scaler.fit_transform(split.training.features)</w:t>
        <w:br/>
        <w:t>classifier = LogisticRegression(</w:t>
        <w:br/>
        <w:t xml:space="preserve">    C=1.0,</w:t>
        <w:br/>
        <w:t xml:space="preserve">    class_weight="balanced",</w:t>
        <w:br/>
        <w:t xml:space="preserve">    max_iter=2_000,</w:t>
        <w:br/>
        <w:t xml:space="preserve">    penalty="l2",</w:t>
        <w:br/>
        <w:t xml:space="preserve">    random_state=RANDOM_SEED,</w:t>
        <w:br/>
        <w:t xml:space="preserve">    solver="liblinear",</w:t>
        <w:br/>
        <w:t>)</w:t>
        <w:br/>
        <w:t>classifier.fit(training_features, split.training.targets)</w:t>
        <w:br/>
        <w:t>validation_probabilities = classifier.predict_proba(</w:t>
        <w:br/>
        <w:t xml:space="preserve">    scaler.transform(split.validation.features)</w:t>
        <w:br/>
        <w:t>)[:, 1]</w:t>
        <w:br/>
        <w:t>threshold = select_validation_threshold(</w:t>
        <w:br/>
        <w:t xml:space="preserve">    split.validation.targets,</w:t>
        <w:br/>
        <w:t xml:space="preserve">    validation_probabilities,</w:t>
        <w:br/>
        <w:t>)</w:t>
        <w:br/>
        <w:t>held_out_probabilities = classifier.predict_proba(</w:t>
        <w:br/>
        <w:t xml:space="preserve">    scaler.transform(split.held_out.features)</w:t>
        <w:br/>
        <w:t>)[:, 1]</w:t>
      </w:r>
    </w:p>
    <w:p>
      <w:pPr>
        <w:keepNext w:val="0"/>
        <w:keepLines w:val="0"/>
        <w:spacing w:line="360" w:lineRule="auto" w:after="160" w:before="0"/>
        <w:jc w:val="both"/>
      </w:pPr>
      <w:r>
        <w:rPr>
          <w:rFonts w:ascii="Times New Roman" w:hAnsi="Times New Roman" w:cs="Times New Roman"/>
          <w:b w:val="0"/>
          <w:i w:val="0"/>
          <w:color w:val="000000"/>
          <w:sz w:val="24"/>
        </w:rPr>
        <w:t>Two baselines are computed on the same held-out partition. The training-prevalence baseline assigns every held-out record the late-class prevalence learned from the training partition. The previous-period-late baseline predicts late when the feature snapshot contains a positive overdue streak. Evaluation records accuracy, balanced accuracy, overdue precision, recall and F1, ROC-AUC, PR-AUC, Brier score, confusion matrix, and 95% bootstrap intervals. The training package also writes confusion-matrix, ROC, precision-recall, calibration and coefficient charts. No populated chart is included in this report because the authorised dataset has not been supplied.</w:t>
      </w:r>
    </w:p>
    <w:p>
      <w:pPr>
        <w:keepNext/>
        <w:keepLines w:val="0"/>
        <w:spacing w:line="360" w:lineRule="auto" w:after="160" w:before="0"/>
        <w:jc w:val="center"/>
      </w:pPr>
      <w:r>
        <w:rPr>
          <w:rFonts w:ascii="Times New Roman" w:hAnsi="Times New Roman" w:cs="Times New Roman"/>
          <w:b/>
          <w:i w:val="0"/>
          <w:color w:val="000000"/>
          <w:sz w:val="24"/>
        </w:rPr>
        <w:t>Listing 4.6: Baseline Comparison and Activation Gates</w:t>
      </w:r>
    </w:p>
    <w:p>
      <w:pPr>
        <w:keepLines/>
        <w:spacing w:line="240" w:lineRule="auto" w:before="60" w:after="200"/>
        <w:jc w:val="left"/>
        <w:pBdr>
          <w:top w:val="single" w:sz="8" w:space="6" w:color="000000"/>
          <w:left w:val="single" w:sz="8" w:space="6" w:color="000000"/>
          <w:bottom w:val="single" w:sz="8" w:space="6" w:color="000000"/>
          <w:right w:val="single" w:sz="8" w:space="6" w:color="000000"/>
        </w:pBdr>
      </w:pPr>
      <w:r>
        <w:rPr>
          <w:rFonts w:ascii="Courier New" w:hAnsi="Courier New" w:cs="Courier New"/>
          <w:b w:val="0"/>
          <w:i w:val="0"/>
          <w:color w:val="000000"/>
          <w:sz w:val="20"/>
        </w:rPr>
        <w:t>training_prevalence = float(np.mean(split.training.targets))</w:t>
        <w:br/>
        <w:t>prevalence_probabilities = np.full_like(</w:t>
        <w:br/>
        <w:t xml:space="preserve">    split.held_out.targets,</w:t>
        <w:br/>
        <w:t xml:space="preserve">    training_prevalence,</w:t>
        <w:br/>
        <w:t xml:space="preserve">    dtype=np.float64,</w:t>
        <w:br/>
        <w:t>)</w:t>
        <w:br/>
        <w:t>prevalence_baseline = _binary_metrics(</w:t>
        <w:br/>
        <w:t xml:space="preserve">    split.held_out.targets,</w:t>
        <w:br/>
        <w:t xml:space="preserve">    prevalence_probabilities,</w:t>
        <w:br/>
        <w:t xml:space="preserve">    0.5,</w:t>
        <w:br/>
        <w:t>)</w:t>
        <w:br/>
        <w:t>overdue_streak_index = FEATURE_NAMES.index("overdue_streak")</w:t>
        <w:br/>
        <w:t>previous_period_probabilities = (</w:t>
        <w:br/>
        <w:t xml:space="preserve">    split.held_out.features[:, overdue_streak_index] &gt; 0</w:t>
        <w:br/>
        <w:t>).astype(np.float64)</w:t>
        <w:br/>
        <w:t>previous_period_baseline = _binary_metrics(</w:t>
        <w:br/>
        <w:t xml:space="preserve">    split.held_out.targets,</w:t>
        <w:br/>
        <w:t xml:space="preserve">    previous_period_probabilities,</w:t>
        <w:br/>
        <w:t xml:space="preserve">    0.5,</w:t>
        <w:br/>
        <w:t>)</w:t>
        <w:br/>
        <w:br/>
        <w:t>activation_checks = {</w:t>
        <w:br/>
        <w:t xml:space="preserve">    "consented_anonymized_provenance": provenance.source_type == "consented_anonymized"</w:t>
        <w:br/>
        <w:t xml:space="preserve">    and provenance.consent_confirmed,</w:t>
        <w:br/>
        <w:t xml:space="preserve">    "data_quality_gate_passed": data_quality["gate_passed"],</w:t>
        <w:br/>
        <w:t xml:space="preserve">    "validation_recall_at_least_0_70": validation["recall_overdue"]</w:t>
        <w:br/>
        <w:t xml:space="preserve">    &gt;= MINIMUM_VALIDATION_RECALL,</w:t>
        <w:br/>
        <w:t xml:space="preserve">    "held_out_f1_beats_both_baselines": held_out["overdue_f1"] &gt; baseline_f1,</w:t>
        <w:br/>
        <w:t xml:space="preserve">    "held_out_balanced_accuracy_above_0_5": held_out["balanced_accuracy"] &gt; 0.5,</w:t>
        <w:br/>
        <w:t xml:space="preserve">    "held_out_brier_beats_training_prevalence": held_out["brier_score"]</w:t>
        <w:br/>
        <w:t xml:space="preserve">    &lt; prevalence_baseline["brier_score"],</w:t>
        <w:br/>
        <w:t>}</w:t>
      </w:r>
    </w:p>
    <w:p>
      <w:pPr>
        <w:keepNext w:val="0"/>
        <w:keepLines w:val="0"/>
        <w:spacing w:line="360" w:lineRule="auto" w:after="160" w:before="0"/>
        <w:jc w:val="both"/>
      </w:pPr>
      <w:r>
        <w:rPr>
          <w:rFonts w:ascii="Times New Roman" w:hAnsi="Times New Roman" w:cs="Times New Roman"/>
          <w:b w:val="0"/>
          <w:i w:val="0"/>
          <w:color w:val="000000"/>
          <w:sz w:val="24"/>
        </w:rPr>
        <w:t>Activation is intentionally stricter than successful fitting. The training command can produce a candidate artefact, but the Laravel installer continues to reject activation unless the Python decision and independent PHP checks agree. The private artefact is identified by schema and model versions, ordered features, SHA-256 digest, training window, trained timestamp, threshold, dataset summary and metrics. The repository refuses an overwritten version with a different digest, prevents mutation or deletion of installed metadata and predictions, accepts only one active version, revalidates the artefact before scoring, and rejects a stale training window.</w:t>
      </w:r>
    </w:p>
    <w:p>
      <w:pPr>
        <w:keepNext w:val="0"/>
        <w:keepLines w:val="0"/>
        <w:spacing w:line="360" w:lineRule="auto" w:after="160" w:before="0"/>
        <w:jc w:val="both"/>
      </w:pPr>
      <w:r>
        <w:rPr>
          <w:rFonts w:ascii="Times New Roman" w:hAnsi="Times New Roman" w:cs="Times New Roman"/>
          <w:b w:val="0"/>
          <w:i w:val="0"/>
          <w:color w:val="000000"/>
          <w:sz w:val="24"/>
        </w:rPr>
        <w:t>Runtime scoring also handles sparse history explicitly. Fewer than three mature periods produces an unavailable result; three to five periods use the training-prevalence pooled baseline instead of an individual probability; six to eleven periods are labelled experimental; and twelve or more periods receive a standard logistic advisory. The application records the immutable cutoff, history tier, feature-snapshot hash, model version, advisory band and top coefficient contributions. These results are designed for routine or priority review only and cannot directly penalise a member or mutate the ledger.</w:t>
      </w:r>
    </w:p>
    <w:p>
      <w:pPr>
        <w:keepNext w:val="0"/>
        <w:keepLines w:val="0"/>
        <w:spacing w:line="360" w:lineRule="auto" w:after="160" w:before="0"/>
        <w:jc w:val="both"/>
      </w:pPr>
      <w:r>
        <w:rPr>
          <w:rFonts w:ascii="Times New Roman" w:hAnsi="Times New Roman" w:cs="Times New Roman"/>
          <w:b w:val="0"/>
          <w:i w:val="0"/>
          <w:color w:val="000000"/>
          <w:sz w:val="24"/>
        </w:rPr>
        <w:t>The implemented interface is officer-only through the report permission, subscription entitlement and predictive feature flag. Its readiness state reports why no active model can be used, while a ready state exposes the version, training window, threshold, period/band filters, summary counts, member history tier, advisory band and explanatory factors. The page states that the output is not a credit score and cannot send reminders, restrict access, change contribution terms or automate an action. A focused Chromium run passed five tests with 82 assertions, covering administrator and financial-secretary access, member denial, tenant switching, refresh-safe filters, synthetic populated and unavailable states, keyboard use, dark mode and a 390-pixel layout without JavaScript, accessibility or smoke errors. This verifies the interface contract, but it does not replace the missing report screenshots or an authorised active-model result.</w:t>
      </w:r>
    </w:p>
    <w:p>
      <w:pPr>
        <w:keepNext w:val="0"/>
        <w:keepLines w:val="0"/>
        <w:spacing w:line="360" w:lineRule="auto" w:after="160" w:before="0"/>
        <w:jc w:val="both"/>
      </w:pPr>
      <w:r>
        <w:rPr>
          <w:rFonts w:ascii="Times New Roman" w:hAnsi="Times New Roman" w:cs="Times New Roman"/>
          <w:b w:val="0"/>
          <w:i w:val="0"/>
          <w:color w:val="000000"/>
          <w:sz w:val="24"/>
        </w:rPr>
        <w:t>No authorised private predictive-training CSV, executed training output, fitted coefficient set, candidate artefact, active model, or real-model populated predictive screenshot was available to this report task. The populated state used by the browser test was synthetic test state and is not model-performance evidence. It would be misleading to include representative coefficients or fabricated results. Listings 4.5 and 4.6 are repository implementation excerpts, not evidence that training or activation occurred. PRED-01–PRED-10 define the exact evidence that must be added after an authorised dataset is available.</w:t>
      </w:r>
    </w:p>
    <w:p>
      <w:pPr>
        <w:pStyle w:val="Heading4"/>
        <w:spacing w:line="360" w:lineRule="auto" w:before="240" w:after="120"/>
        <w:jc w:val="both"/>
      </w:pPr>
      <w:r>
        <w:rPr>
          <w:rFonts w:ascii="Times New Roman" w:hAnsi="Times New Roman" w:cs="Times New Roman"/>
          <w:b/>
          <w:i w:val="0"/>
          <w:color w:val="000000"/>
          <w:sz w:val="24"/>
        </w:rPr>
        <w:t>4.2.7 Interface and Screenshot Evidence Register</w:t>
      </w:r>
    </w:p>
    <w:p>
      <w:pPr>
        <w:keepNext w:val="0"/>
        <w:keepLines w:val="0"/>
        <w:spacing w:line="360" w:lineRule="auto" w:after="160" w:before="0"/>
        <w:jc w:val="both"/>
      </w:pPr>
      <w:r>
        <w:rPr>
          <w:rFonts w:ascii="Times New Roman" w:hAnsi="Times New Roman" w:cs="Times New Roman"/>
          <w:b w:val="0"/>
          <w:i w:val="0"/>
          <w:color w:val="000000"/>
          <w:sz w:val="24"/>
        </w:rPr>
        <w:t>The required interface sequence follows the user journey and the financial control flow rather than presenting disconnected pages. Each final image must come from an operating local or staging build with non-sensitive but populated records, must be annotated only where the feature is not self-evident, and must retain a descriptive Figure 4.x caption. Placeholder mockups and private production records are excluded.</w:t>
      </w:r>
    </w:p>
    <w:p>
      <w:pPr>
        <w:keepNext/>
        <w:keepLines w:val="0"/>
        <w:spacing w:line="360" w:lineRule="auto" w:after="160" w:before="0"/>
        <w:jc w:val="center"/>
      </w:pPr>
      <w:r>
        <w:rPr>
          <w:rFonts w:ascii="Times New Roman" w:hAnsi="Times New Roman" w:cs="Times New Roman"/>
          <w:b/>
          <w:i w:val="0"/>
          <w:color w:val="000000"/>
          <w:sz w:val="24"/>
        </w:rPr>
        <w:t>Table 4.3: Chapter Four Interface Evidence Register</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00"/>
        <w:gridCol w:w="3102"/>
        <w:gridCol w:w="1751"/>
        <w:gridCol w:w="3053"/>
      </w:tblGrid>
      <w:tr>
        <w:trPr>
          <w:tblHeader w:val="true"/>
          <w:cantSplit w:val="true"/>
        </w:trPr>
        <w:tc>
          <w:tcPr>
            <w:tcW w:type="dxa" w:w="100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Figure</w:t>
            </w:r>
          </w:p>
        </w:tc>
        <w:tc>
          <w:tcPr>
            <w:tcW w:type="dxa" w:w="310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Required running-system view</w:t>
            </w:r>
          </w:p>
        </w:tc>
        <w:tc>
          <w:tcPr>
            <w:tcW w:type="dxa" w:w="1751"/>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Primary requirements</w:t>
            </w:r>
          </w:p>
        </w:tc>
        <w:tc>
          <w:tcPr>
            <w:tcW w:type="dxa" w:w="305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Current status</w:t>
            </w:r>
          </w:p>
        </w:tc>
      </w:tr>
      <w:tr>
        <w:trPr>
          <w:cantSplit w:val="true"/>
        </w:trPr>
        <w:tc>
          <w:tcPr>
            <w:tcW w:type="dxa" w:w="10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4.1</w:t>
            </w:r>
          </w:p>
        </w:tc>
        <w:tc>
          <w:tcPr>
            <w:tcW w:type="dxa" w:w="31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Login and account-security entry</w:t>
            </w:r>
          </w:p>
        </w:tc>
        <w:tc>
          <w:tcPr>
            <w:tcW w:type="dxa" w:w="17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 NFR3</w:t>
            </w:r>
          </w:p>
        </w:tc>
        <w:tc>
          <w:tcPr>
            <w:tcW w:type="dxa" w:w="305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10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4.2</w:t>
            </w:r>
          </w:p>
        </w:tc>
        <w:tc>
          <w:tcPr>
            <w:tcW w:type="dxa" w:w="31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administrator dashboard</w:t>
            </w:r>
          </w:p>
        </w:tc>
        <w:tc>
          <w:tcPr>
            <w:tcW w:type="dxa" w:w="17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FR2, FR15</w:t>
            </w:r>
          </w:p>
        </w:tc>
        <w:tc>
          <w:tcPr>
            <w:tcW w:type="dxa" w:w="305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10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4.3</w:t>
            </w:r>
          </w:p>
        </w:tc>
        <w:tc>
          <w:tcPr>
            <w:tcW w:type="dxa" w:w="31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 invitation, role, and category management</w:t>
            </w:r>
          </w:p>
        </w:tc>
        <w:tc>
          <w:tcPr>
            <w:tcW w:type="dxa" w:w="17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FR3–FR5</w:t>
            </w:r>
          </w:p>
        </w:tc>
        <w:tc>
          <w:tcPr>
            <w:tcW w:type="dxa" w:w="305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10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4.4</w:t>
            </w:r>
          </w:p>
        </w:tc>
        <w:tc>
          <w:tcPr>
            <w:tcW w:type="dxa" w:w="31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Contribution generation and register with paid, partial, unpaid, and overdue states</w:t>
            </w:r>
          </w:p>
        </w:tc>
        <w:tc>
          <w:tcPr>
            <w:tcW w:type="dxa" w:w="17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FR6–FR7</w:t>
            </w:r>
          </w:p>
        </w:tc>
        <w:tc>
          <w:tcPr>
            <w:tcW w:type="dxa" w:w="305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10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4.5</w:t>
            </w:r>
          </w:p>
        </w:tc>
        <w:tc>
          <w:tcPr>
            <w:tcW w:type="dxa" w:w="31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Manual partial/lump-sum payment, oldest-first allocation, member statement, and receipt</w:t>
            </w:r>
          </w:p>
        </w:tc>
        <w:tc>
          <w:tcPr>
            <w:tcW w:type="dxa" w:w="17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FR8, FR11</w:t>
            </w:r>
          </w:p>
        </w:tc>
        <w:tc>
          <w:tcPr>
            <w:tcW w:type="dxa" w:w="305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10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4.6</w:t>
            </w:r>
          </w:p>
        </w:tc>
        <w:tc>
          <w:tcPr>
            <w:tcW w:type="dxa" w:w="31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Paystack payment initiation and verified application state</w:t>
            </w:r>
          </w:p>
        </w:tc>
        <w:tc>
          <w:tcPr>
            <w:tcW w:type="dxa" w:w="17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FR9–FR10</w:t>
            </w:r>
          </w:p>
        </w:tc>
        <w:tc>
          <w:tcPr>
            <w:tcW w:type="dxa" w:w="305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 external service required</w:t>
            </w:r>
          </w:p>
        </w:tc>
      </w:tr>
      <w:tr>
        <w:trPr>
          <w:cantSplit w:val="true"/>
        </w:trPr>
        <w:tc>
          <w:tcPr>
            <w:tcW w:type="dxa" w:w="10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4.7</w:t>
            </w:r>
          </w:p>
        </w:tc>
        <w:tc>
          <w:tcPr>
            <w:tcW w:type="dxa" w:w="31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Expense and fund-adjustment records</w:t>
            </w:r>
          </w:p>
        </w:tc>
        <w:tc>
          <w:tcPr>
            <w:tcW w:type="dxa" w:w="17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FR12–FR13</w:t>
            </w:r>
          </w:p>
        </w:tc>
        <w:tc>
          <w:tcPr>
            <w:tcW w:type="dxa" w:w="305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10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4.8</w:t>
            </w:r>
          </w:p>
        </w:tc>
        <w:tc>
          <w:tcPr>
            <w:tcW w:type="dxa" w:w="31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Monthly/annual reports, private exports, receipts, and report schedules</w:t>
            </w:r>
          </w:p>
        </w:tc>
        <w:tc>
          <w:tcPr>
            <w:tcW w:type="dxa" w:w="17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FR14</w:t>
            </w:r>
          </w:p>
        </w:tc>
        <w:tc>
          <w:tcPr>
            <w:tcW w:type="dxa" w:w="305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10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4.9</w:t>
            </w:r>
          </w:p>
        </w:tc>
        <w:tc>
          <w:tcPr>
            <w:tcW w:type="dxa" w:w="31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Reminder selection and delivery-history state</w:t>
            </w:r>
          </w:p>
        </w:tc>
        <w:tc>
          <w:tcPr>
            <w:tcW w:type="dxa" w:w="17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FR16</w:t>
            </w:r>
          </w:p>
        </w:tc>
        <w:tc>
          <w:tcPr>
            <w:tcW w:type="dxa" w:w="305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10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4.10</w:t>
            </w:r>
          </w:p>
        </w:tc>
        <w:tc>
          <w:tcPr>
            <w:tcW w:type="dxa" w:w="31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Subscription plan and family limits</w:t>
            </w:r>
          </w:p>
        </w:tc>
        <w:tc>
          <w:tcPr>
            <w:tcW w:type="dxa" w:w="17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FR17</w:t>
            </w:r>
          </w:p>
        </w:tc>
        <w:tc>
          <w:tcPr>
            <w:tcW w:type="dxa" w:w="305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10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4.11</w:t>
            </w:r>
          </w:p>
        </w:tc>
        <w:tc>
          <w:tcPr>
            <w:tcW w:type="dxa" w:w="31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grounded read plus preview-and-confirm write flow</w:t>
            </w:r>
          </w:p>
        </w:tc>
        <w:tc>
          <w:tcPr>
            <w:tcW w:type="dxa" w:w="17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FR18–FR19</w:t>
            </w:r>
          </w:p>
        </w:tc>
        <w:tc>
          <w:tcPr>
            <w:tcW w:type="dxa" w:w="305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 live provider required</w:t>
            </w:r>
          </w:p>
        </w:tc>
      </w:tr>
      <w:tr>
        <w:trPr>
          <w:cantSplit w:val="true"/>
        </w:trPr>
        <w:tc>
          <w:tcPr>
            <w:tcW w:type="dxa" w:w="10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4.12</w:t>
            </w:r>
          </w:p>
        </w:tc>
        <w:tc>
          <w:tcPr>
            <w:tcW w:type="dxa" w:w="31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Populated predictive-risk advisory with factors and model metadata</w:t>
            </w:r>
          </w:p>
        </w:tc>
        <w:tc>
          <w:tcPr>
            <w:tcW w:type="dxa" w:w="17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FR20, NFR13–NFR14</w:t>
            </w:r>
          </w:p>
        </w:tc>
        <w:tc>
          <w:tcPr>
            <w:tcW w:type="dxa" w:w="305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 authorised trained model required</w:t>
            </w:r>
          </w:p>
        </w:tc>
      </w:tr>
      <w:tr>
        <w:trPr>
          <w:cantSplit w:val="true"/>
        </w:trPr>
        <w:tc>
          <w:tcPr>
            <w:tcW w:type="dxa" w:w="10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4.13</w:t>
            </w:r>
          </w:p>
        </w:tc>
        <w:tc>
          <w:tcPr>
            <w:tcW w:type="dxa" w:w="31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insufficient-history or model-unavailable state</w:t>
            </w:r>
          </w:p>
        </w:tc>
        <w:tc>
          <w:tcPr>
            <w:tcW w:type="dxa" w:w="17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FR20, NFR13–NFR14</w:t>
            </w:r>
          </w:p>
        </w:tc>
        <w:tc>
          <w:tcPr>
            <w:tcW w:type="dxa" w:w="305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 running-system capture required</w:t>
            </w:r>
          </w:p>
        </w:tc>
      </w:tr>
      <w:tr>
        <w:trPr>
          <w:cantSplit w:val="true"/>
        </w:trPr>
        <w:tc>
          <w:tcPr>
            <w:tcW w:type="dxa" w:w="100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4.14</w:t>
            </w:r>
          </w:p>
        </w:tc>
        <w:tc>
          <w:tcPr>
            <w:tcW w:type="dxa" w:w="31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Reconciliation workspace with exact match and suggestion states</w:t>
            </w:r>
          </w:p>
        </w:tc>
        <w:tc>
          <w:tcPr>
            <w:tcW w:type="dxa" w:w="17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Post-design extension</w:t>
            </w:r>
          </w:p>
        </w:tc>
        <w:tc>
          <w:tcPr>
            <w:tcW w:type="dxa" w:w="305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bl>
    <w:p/>
    <w:p>
      <w:pPr>
        <w:pStyle w:val="Heading3"/>
        <w:spacing w:line="360" w:lineRule="auto" w:before="240" w:after="120"/>
        <w:jc w:val="both"/>
      </w:pPr>
      <w:r>
        <w:rPr>
          <w:rFonts w:ascii="Times New Roman" w:hAnsi="Times New Roman" w:cs="Times New Roman"/>
          <w:b/>
          <w:i w:val="0"/>
          <w:color w:val="000000"/>
          <w:sz w:val="24"/>
        </w:rPr>
        <w:t>4.3 Testing Strategy and Procedures</w:t>
      </w:r>
    </w:p>
    <w:p>
      <w:pPr>
        <w:pStyle w:val="Heading4"/>
        <w:spacing w:line="360" w:lineRule="auto" w:before="240" w:after="120"/>
        <w:jc w:val="both"/>
      </w:pPr>
      <w:r>
        <w:rPr>
          <w:rFonts w:ascii="Times New Roman" w:hAnsi="Times New Roman" w:cs="Times New Roman"/>
          <w:b/>
          <w:i w:val="0"/>
          <w:color w:val="000000"/>
          <w:sz w:val="24"/>
        </w:rPr>
        <w:t>4.3.1 Test Plan</w:t>
      </w:r>
    </w:p>
    <w:p>
      <w:pPr>
        <w:keepNext w:val="0"/>
        <w:keepLines w:val="0"/>
        <w:spacing w:line="360" w:lineRule="auto" w:after="160" w:before="0"/>
        <w:jc w:val="both"/>
      </w:pPr>
      <w:r>
        <w:rPr>
          <w:rFonts w:ascii="Times New Roman" w:hAnsi="Times New Roman" w:cs="Times New Roman"/>
          <w:b w:val="0"/>
          <w:i w:val="0"/>
          <w:color w:val="000000"/>
          <w:sz w:val="24"/>
        </w:rPr>
        <w:t>Testing is organised by risk. Unit tests isolate calculations and matching rules. Feature tests exercise routes, policies, validation, database changes, jobs, and service integration. Browser tests cover rendered user journeys and responsive behaviour. External integration tests fake or stub providers where deterministic automated proof is required; final live checks are reported separately because they depend on credentials, network access, and provider state. Security evidence includes cross-family denial, role denial, signature validation, signed-link expiry, immutable financial records, and confirmation-before-write behaviour. Performance evidence must measure a declared dataset and environment rather than relying on subjective impressions.</w:t>
      </w:r>
    </w:p>
    <w:p>
      <w:pPr>
        <w:keepNext w:val="0"/>
        <w:keepLines w:val="0"/>
        <w:spacing w:line="360" w:lineRule="auto" w:after="160" w:before="0"/>
        <w:jc w:val="both"/>
      </w:pPr>
      <w:r>
        <w:rPr>
          <w:rFonts w:ascii="Times New Roman" w:hAnsi="Times New Roman" w:cs="Times New Roman"/>
          <w:b w:val="0"/>
          <w:i w:val="0"/>
          <w:color w:val="000000"/>
          <w:sz w:val="24"/>
        </w:rPr>
        <w:t>Developer-authored automated tests are the only tester evidence currently identified. No peer-testing session, end-user acceptance session, usability survey, or controlled comparative user study is claimed. If those activities occur later, the participants, task script, consent treatment, sample size, and results must be recorded before they are discussed.</w:t>
      </w:r>
    </w:p>
    <w:p>
      <w:pPr>
        <w:keepNext w:val="0"/>
        <w:keepLines w:val="0"/>
        <w:spacing w:line="360" w:lineRule="auto" w:after="160" w:before="0"/>
        <w:jc w:val="both"/>
      </w:pPr>
      <w:r>
        <w:rPr>
          <w:rFonts w:ascii="Times New Roman" w:hAnsi="Times New Roman" w:cs="Times New Roman"/>
          <w:b w:val="0"/>
          <w:i w:val="0"/>
          <w:color w:val="000000"/>
          <w:sz w:val="24"/>
        </w:rPr>
        <w:t>The final verification sequence should minimise evidence drift. Focused machine-learning, Laravel, PostgreSQL and browser checks and the canonical local quality gate have been completed against the post-change worktree. The next evidence stage is to commit the reviewed revision, obtain a fresh hosted gate, seed or select a non-sensitive demonstration family, and exercise the screenshot journeys. Performance probes and live integrations must identify that same revision. If a later fix changes application behaviour, affected evidence must be repeated; an earlier successful screenshot or hosted run cannot certify a newer commit.</w:t>
      </w:r>
    </w:p>
    <w:p>
      <w:pPr>
        <w:keepNext w:val="0"/>
        <w:keepLines w:val="0"/>
        <w:spacing w:line="360" w:lineRule="auto" w:after="160" w:before="0"/>
        <w:jc w:val="both"/>
      </w:pPr>
      <w:r>
        <w:rPr>
          <w:rFonts w:ascii="Times New Roman" w:hAnsi="Times New Roman" w:cs="Times New Roman"/>
          <w:b w:val="0"/>
          <w:i w:val="0"/>
          <w:color w:val="000000"/>
          <w:sz w:val="24"/>
        </w:rPr>
        <w:t>For each TC row, the final “Actual” field should describe the observed state rather than repeat the expected result. A suitable entry might name a returned status, created record, denied response, unchanged count, or rendered total, together with its test or capture reference. A failed case should remain in the table with the failure, corrective action, and rerun result. This structure makes the test reproducible and avoids the weak statement that a page “works.”</w:t>
      </w:r>
    </w:p>
    <w:p>
      <w:pPr>
        <w:keepNext/>
        <w:keepLines w:val="0"/>
        <w:spacing w:line="360" w:lineRule="auto" w:after="160" w:before="0"/>
        <w:jc w:val="center"/>
      </w:pPr>
      <w:r>
        <w:rPr>
          <w:rFonts w:ascii="Times New Roman" w:hAnsi="Times New Roman" w:cs="Times New Roman"/>
          <w:b/>
          <w:i w:val="0"/>
          <w:color w:val="000000"/>
          <w:sz w:val="24"/>
        </w:rPr>
        <w:t>Table 4.4: Testing Strategy and Evidence Sources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76"/>
        <w:gridCol w:w="1990"/>
        <w:gridCol w:w="1990"/>
        <w:gridCol w:w="1990"/>
        <w:gridCol w:w="1860"/>
      </w:tblGrid>
      <w:tr>
        <w:trPr>
          <w:tblHeader w:val="true"/>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Test level</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Objective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Primary evidence source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Final evidence required</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Current status</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Unit</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Verify isolated allocation, fee, enum, matching, and configuration behaviour</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Pest and pytest unit specifications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local gate passed within 1,420 Pest tests/6,902 assertions at 100.0% PHP coverage; 66 Python tests passed at 100% coverage</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locally</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Feature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Verify authorised application workflows and persistence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Pest feature specifications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local gate passed; focused payment-risk suite also passed 138 tests/440 assertions at 100% payment-risk-file coverage</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locally</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Integration</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Verify payments, reports, jobs, channels, AI tools, and reconciliation boundaries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Service/feature specifications with fakes and PostgreSQL smoke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integrations passed; disposable PostgreSQL migration and focused rerun passed 138 tests/440 assertions</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locally; live providers remain separate</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Browser/system</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Verify complete responsive user journeys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Pest browser specifications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Focused predictive browser run passed 5 tests/82 assertions; report screenshots and wider system evidence pending</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Security</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Verify tenant, role, signature, immutable-record, and signed-link controls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Policies and negative-path specifications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local negative paths passed; focused predictive authorisation, tenant, immutability, and advisory-only paths also passed</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for automated scope</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External/live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Verify Paystack, message delivery, hosted services, and AI provider</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test accounts and hosted environment</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Time-stamped final observations</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Verify data contract, baselines, logistic regression, metrics, artefact, and activation</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PRED-01–PRED-10</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Software verification passed in Python, Laravel, PostgreSQL and Chromium; authorised CSV and evaluation artefacts absent</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Performance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Quantify response time and resource use against NFRs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Declared benchmark dataset/environment</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Raw results, summary table, and chart</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bl>
    <w:p/>
    <w:p>
      <w:pPr>
        <w:pStyle w:val="Heading4"/>
        <w:spacing w:line="360" w:lineRule="auto" w:before="240" w:after="120"/>
        <w:jc w:val="both"/>
      </w:pPr>
      <w:r>
        <w:rPr>
          <w:rFonts w:ascii="Times New Roman" w:hAnsi="Times New Roman" w:cs="Times New Roman"/>
          <w:b/>
          <w:i w:val="0"/>
          <w:color w:val="000000"/>
          <w:sz w:val="24"/>
        </w:rPr>
        <w:t>4.3.2 Structured System Test Cases</w:t>
      </w:r>
    </w:p>
    <w:p>
      <w:pPr>
        <w:keepNext w:val="0"/>
        <w:keepLines w:val="0"/>
        <w:spacing w:line="360" w:lineRule="auto" w:after="160" w:before="0"/>
        <w:jc w:val="both"/>
      </w:pPr>
      <w:r>
        <w:rPr>
          <w:rFonts w:ascii="Times New Roman" w:hAnsi="Times New Roman" w:cs="Times New Roman"/>
          <w:b w:val="0"/>
          <w:i w:val="0"/>
          <w:color w:val="000000"/>
          <w:sz w:val="24"/>
        </w:rPr>
        <w:t>The following cases cover the functional requirements and the major post-design controls. “Met” means the relevant deterministic checks passed in the fresh canonical local run. “Partially Met” means the automated portion passed but the case also requires external-provider, hosted, rendered, recovery, or performance evidence that was not executed. It does not convert an absent live observation into a pass.</w:t>
      </w:r>
    </w:p>
    <w:p>
      <w:pPr>
        <w:sectPr>
          <w:pgSz w:w="11906" w:h="16838"/>
          <w:pgMar w:top="1440" w:right="1440" w:bottom="1440" w:left="1440" w:header="720" w:footer="720" w:gutter="0"/>
          <w:cols w:space="720"/>
          <w:docGrid w:linePitch="360"/>
        </w:sectPr>
      </w:pPr>
    </w:p>
    <w:p>
      <w:pPr>
        <w:keepNext/>
        <w:keepLines w:val="0"/>
        <w:spacing w:line="360" w:lineRule="auto" w:after="160" w:before="0"/>
        <w:jc w:val="center"/>
      </w:pPr>
      <w:r>
        <w:rPr>
          <w:rFonts w:ascii="Times New Roman" w:hAnsi="Times New Roman" w:cs="Times New Roman"/>
          <w:b/>
          <w:i w:val="0"/>
          <w:color w:val="000000"/>
          <w:sz w:val="24"/>
        </w:rPr>
        <w:t>Table 4.5: Structured System Test Cases and Current Results</w:t>
      </w:r>
    </w:p>
    <w:tbl>
      <w:tblPr>
        <w:tblW w:type="dxa" w:w="13838"/>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32"/>
        <w:gridCol w:w="2311"/>
        <w:gridCol w:w="2311"/>
        <w:gridCol w:w="2311"/>
        <w:gridCol w:w="2311"/>
        <w:gridCol w:w="2311"/>
        <w:gridCol w:w="1251"/>
      </w:tblGrid>
      <w:tr>
        <w:trPr>
          <w:tblHeader w:val="true"/>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ID</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Test objective</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Preconditions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Test input(s)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Expected output</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Actual output/evidence</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Status</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TC-01</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Authenticate and route a verified user</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Registered verified account</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and invalid credentials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login reaches current family; invalid login is rejected</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Authentication, registration, reset, and email-verification cases passed in the canonical 1,420-test run</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TC-02</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Enforce 2FA and passkey ownership</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Authenticated account with security setup</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challenge, invalid challenge, another user's passkey</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challenge succeeds; invalid/foreign credential fails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Passkey, 2FA, challenge, and allowed-origin cases passed in the canonical run</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TC-03</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Create and switch isolated family workspaces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User with two memberships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Family slug/current-family switch</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Context changes only to a joined family</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Membership-routing, family-switching, and predictive tenant-switch browser cases passed</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TC-04</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Invite a member and assign permitted role/category</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Family administrator; active category</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expired, duplicate, and invalid-role invitations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Only valid invitation creates membership with permitted role/category</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Invitation and role/category cases passed; external message delivery was not exercised</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TC-05</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Prevent cross-family and ordinary-member administration</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Two families and roles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Foreign record URL and restricted form submission</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Request is denied without data exposure or mutation</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Role, policy, membership, report, AI-isolation, and predictive member-denial cases passed</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TC-06</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Generate monthly obligations without duplicates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Active paying memberships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Month generation repeated for same period</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One obligation per eligible membership/period</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Generation, category-history, and idempotency cases passed in the canonical run</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TC-07</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Calculate contribution status at boundaries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Paid, partial, unpaid, due, and overdue records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Amounts around balance and dates around due date</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Correct status and balance are shown</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Due-date, status, partial-payment, and dashboard cases passed in the canonical run</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TC-08</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Allocate partial and lump-sum payments oldest first</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Member with several incomplete months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 amount and multi-month amount</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Oldest balances receive money first; totals equal receipt</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Allocation, balance-first, and partial-payment cases passed in the canonical run</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TC-09</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Enforce advance-payment and invalid-amount limits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Member with current obligations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Zero, excessive, and within-limit future amounts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Invalid amounts fail; permitted amount allocates within limit</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Advance-limit and payment-allocation boundary cases passed in the canonical run</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TC-10</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Restrict manual payment recording by role</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Admin, secretary, and member accounts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Same valid payment request from each role</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Admin/secretary permitted; member denied</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Payment policy, request validation, and recording cases passed in the canonical run</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TC-11</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Verify Paystack before applying contribution</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Known initiated reference</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invalid-signature, unknown, duplicate, and mismatched events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Only valid known matching event settles once</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Deterministic service, webhook, ledger, fee, mismatch, and duplicate-processing cases passed; live gateway not executed</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TC-12</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Record and reverse expenses/adjustments immutably</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Authorised officer and existing record</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create, direct update, correction/reversal</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Create succeeds; direct mutation denied; reversal remains auditable</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CRUD, policy, observer, reversal, and governed AI-tool cases passed in the canonical run</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TC-13</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Generate consistent monthly/annual reports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Family with financial records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Same filters for screen, CSV, PDF, scheduled output</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Formats use identical shared totals and private access rules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Monthly, annual, Phase Three, export, private-artifact, and schedule cases passed; report screenshot capture remains pending</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TC-14</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Limit member dashboard/history to authorised records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Member and officer accounts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Own and another member's history</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Member sees own records; officer access follows role</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Dashboard, member-history, contribution, and payment-policy cases passed in the canonical run</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TC-15</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Send reminders only through eligible channels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Overdue contribution and configured/unconfigured channels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Email, push, WhatsApp, invalid selection</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eligible selection sends; unavailable choice is reported</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Reminder command, channel, notification, webhook, and MCP cases passed with fakes; external delivery not executed</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TC-16</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Enforce subscription features and member limits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Families on different plans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Feature request and add-member at/under limit</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Plan rules allow or reject consistently</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Subscription, strict Payment Risk entitlement, and plan-limit cases passed in the canonical run</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TC-17</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Keep AI reads tenant- and role-scoped</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Configured test user and family data</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Balance, contribution, expense, and member queries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Tools use only permitted family data</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AI tool, privacy, family-context, and role cases passed with deterministic fakes; live provider not executed</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TC-18</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Require confirmation and permission for AI writes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Officer/member accounts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Preview, confirmed repeat, unauthorised write</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Preview does not mutate; exact confirmed authorised request may execute</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AI preview, confirmation, idempotency, role, payment, expense, adjustment, generation, and invitation cases passed; live provider not executed</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TC-19</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Reconcile only unique exact matches automatically</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Imported credit with unique, ambiguous, and absent references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Match request for each case</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Unique exact candidate links; ambiguity remains suggested/unlinked</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Matching-service, Phase Four, and reconciliation-browser cases passed in the canonical run</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TC-20</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Guard closed reconciliation periods and provider settlements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Open/closed periods and settlement records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Mutation, close, reopen, settlement match</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Closed period blocks mutation; authorised reopen is auditable</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Period, mutation, reopening, provider-settlement, and browser cases passed in the canonical run</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TC-21</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Archive, retain, restore, and purge under policy</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Active and archived family/member records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Archive, restore, legal hold, expired retention</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Lifecycle follows retention and legal-hold rules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Archive, restore, retention, purge, legal-hold, and backup-configuration cases passed; hosted recovery drill not executed</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TC-22</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Demonstrate responsive hosted operation</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Final deployed revision with populated test family</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Mobile/desktop journeys, queues, scheduler, backup, /up and performance probes</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Pages are readable, services healthy, and declared thresholds met</w:t>
            </w:r>
          </w:p>
        </w:tc>
        <w:tc>
          <w:tcPr>
            <w:tcW w:type="dxa" w:w="231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Focused predictive Chromium run passed 5 tests/82 assertions, including 390-pixel and dark-mode checks; hosted SHA, report screenshots, service checks, and measurements are unavailable</w:t>
            </w:r>
          </w:p>
        </w:tc>
        <w:tc>
          <w:tcPr>
            <w:tcW w:type="dxa" w:w="125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bl>
    <w:p/>
    <w:p>
      <w:pPr>
        <w:sectPr>
          <w:pgSz w:w="16838" w:h="11906" w:orient="landscape"/>
          <w:pgMar w:top="1440" w:right="1440" w:bottom="1440" w:left="1440" w:header="720" w:footer="720" w:gutter="0"/>
          <w:cols w:space="720"/>
          <w:docGrid w:linePitch="360"/>
        </w:sectPr>
      </w:pPr>
    </w:p>
    <w:p>
      <w:pPr>
        <w:pStyle w:val="Heading4"/>
        <w:spacing w:line="360" w:lineRule="auto" w:before="240" w:after="120"/>
        <w:jc w:val="both"/>
      </w:pPr>
      <w:r>
        <w:rPr>
          <w:rFonts w:ascii="Times New Roman" w:hAnsi="Times New Roman" w:cs="Times New Roman"/>
          <w:b/>
          <w:i w:val="0"/>
          <w:color w:val="000000"/>
          <w:sz w:val="24"/>
        </w:rPr>
        <w:t>4.3.3 Predictive Test and Evidence Gates</w:t>
      </w:r>
    </w:p>
    <w:p>
      <w:pPr>
        <w:keepNext w:val="0"/>
        <w:keepLines w:val="0"/>
        <w:spacing w:line="360" w:lineRule="auto" w:after="160" w:before="0"/>
        <w:jc w:val="both"/>
      </w:pPr>
      <w:r>
        <w:rPr>
          <w:rFonts w:ascii="Times New Roman" w:hAnsi="Times New Roman" w:cs="Times New Roman"/>
          <w:b w:val="0"/>
          <w:i w:val="0"/>
          <w:color w:val="000000"/>
          <w:sz w:val="24"/>
        </w:rPr>
        <w:t>The predictive cases are separated because application tests cannot substitute for a real training dataset and held-out evaluation. Each case must retain its raw configuration or machine-readable output in the final evidence package.</w:t>
      </w:r>
    </w:p>
    <w:p>
      <w:pPr>
        <w:sectPr>
          <w:pgSz w:w="11906" w:h="16838"/>
          <w:pgMar w:top="1440" w:right="1440" w:bottom="1440" w:left="1440" w:header="720" w:footer="720" w:gutter="0"/>
          <w:cols w:space="720"/>
          <w:docGrid w:linePitch="360"/>
        </w:sectPr>
      </w:pPr>
    </w:p>
    <w:p>
      <w:pPr>
        <w:keepNext/>
        <w:keepLines w:val="0"/>
        <w:spacing w:line="360" w:lineRule="auto" w:after="160" w:before="0"/>
        <w:jc w:val="center"/>
      </w:pPr>
      <w:r>
        <w:rPr>
          <w:rFonts w:ascii="Times New Roman" w:hAnsi="Times New Roman" w:cs="Times New Roman"/>
          <w:b/>
          <w:i w:val="0"/>
          <w:color w:val="000000"/>
          <w:sz w:val="24"/>
        </w:rPr>
        <w:t>Table 4.6: Predictive Analytics Test and Evidence Matrix</w:t>
      </w:r>
    </w:p>
    <w:tbl>
      <w:tblPr>
        <w:tblW w:type="dxa" w:w="13838"/>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72"/>
        <w:gridCol w:w="2376"/>
        <w:gridCol w:w="1995"/>
        <w:gridCol w:w="2376"/>
        <w:gridCol w:w="2376"/>
        <w:gridCol w:w="2376"/>
        <w:gridCol w:w="1267"/>
      </w:tblGrid>
      <w:tr>
        <w:trPr>
          <w:tblHeader w:val="true"/>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ID</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Test objective</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Preconditions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Input(s)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Expected output</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Actual output/evidence</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Status</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PRED-01</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Validate authorised dataset presence and provenance</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Approved private export</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CSV path and provenance record</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Readable dataset with documented owner, period, and privacy treatment</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No authorised predictive-training CSV is present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Not Executed</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PRED-02</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Validate schema, types, history, and both classes</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PRED-01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Contribution/payment fields and provenance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Invalid or insufficient data fails closed with reasons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Python quality-gate tests passed within the 66-test, 100%-coverage run; no private-data output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PRED-03</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Build leakage-safe chronological partitions</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PRED-02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Dated labelled records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Training, validation, and untouched test periods with no future features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Point-in-time and complete-period 60/20/20 split tests passed; no private split manifest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PRED-04</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Evaluate training-prevalence baseline</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PRED-03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Training prevalence and held-out labels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Accuracy, balanced accuracy, overdue precision/recall/F1, PR-AUC, ROC-AUC when defined, Brier score, support, prevalence, and confusion matrix</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Baseline metric and serialization tests passed; no private held-out result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PRED-05</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Evaluate previous-period-late baseline</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PRED-03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Prior outcome and held-out labels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The same complete metric set and confusion matrix on the identical held-out partition</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Previous-period baseline tests passed on controlled fixtures; no private result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PRED-06</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Fit approved logistic regression only</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PRED-03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Training features/labels and fixed configuration</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Versioned coefficients, intercept, scaler and threshold</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Deterministic L2 training, artefact serialization and Python/PHP golden-score parity passed; no fitted private artefact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PRED-07</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Select and evaluate without test leakage</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PRED-04–06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Validation selection then one held-out evaluation</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Full metric table, curves, class distribution, intervals, and confusion matrix</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Threshold, held-out protocol, bootstrap and chart tests passed within the 66-test run; no private evaluation artefacts</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PRED-08</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Record error and coefficient analysis</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PRED-07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False positives/negatives and fitted coefficients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Interpretable limitations without causal overclaiming</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Aggregate chart and coefficient-factor tests passed; no private error analysis</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PRED-09</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Activate only a passing versioned artefact</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PRED-07 complete and gates satisfied</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Model metadata and inference request</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Authorised result or explicit unavailable reason; no automatic sanction</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Laravel validation, checksum, immutability, activation, idempotency and advisory-only tests passed within 138 tests/440 assertions; no active artefact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PRED-10</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Capture populated UI and performance evidence</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PRED-09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Sufficient-history and cold-start members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Captioned result/unavailable screenshots and timed inference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Focused Chromium run passed 5 tests/82 assertions for synthetic populated and unavailable states; real-model screenshot and performance results absent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bl>
    <w:p/>
    <w:p>
      <w:pPr>
        <w:sectPr>
          <w:pgSz w:w="16838" w:h="11906" w:orient="landscape"/>
          <w:pgMar w:top="1440" w:right="1440" w:bottom="1440" w:left="1440" w:header="720" w:footer="720" w:gutter="0"/>
          <w:cols w:space="720"/>
          <w:docGrid w:linePitch="360"/>
        </w:sectPr>
      </w:pPr>
    </w:p>
    <w:p>
      <w:pPr>
        <w:pStyle w:val="Heading4"/>
        <w:spacing w:line="360" w:lineRule="auto" w:before="240" w:after="120"/>
        <w:jc w:val="both"/>
      </w:pPr>
      <w:r>
        <w:rPr>
          <w:rFonts w:ascii="Times New Roman" w:hAnsi="Times New Roman" w:cs="Times New Roman"/>
          <w:b/>
          <w:i w:val="0"/>
          <w:color w:val="000000"/>
          <w:sz w:val="24"/>
        </w:rPr>
        <w:t>4.3.4 Performance, Security, and Usability Procedure</w:t>
      </w:r>
    </w:p>
    <w:p>
      <w:pPr>
        <w:keepNext w:val="0"/>
        <w:keepLines w:val="0"/>
        <w:spacing w:line="360" w:lineRule="auto" w:after="160" w:before="0"/>
        <w:jc w:val="both"/>
      </w:pPr>
      <w:r>
        <w:rPr>
          <w:rFonts w:ascii="Times New Roman" w:hAnsi="Times New Roman" w:cs="Times New Roman"/>
          <w:b w:val="0"/>
          <w:i w:val="0"/>
          <w:color w:val="000000"/>
          <w:sz w:val="24"/>
        </w:rPr>
        <w:t>Final performance measurement must declare the hardware, hosted revision, database, record counts, warm-up method, number of repetitions, and percentile reported. The prescribed benchmark uses synthetic families of 25, 75 and 250 members over 12 and 24 months. After a documented warm-up, each case is repeated three times. Evidence records batch duration, per-score median and p95, page and refresh p50/p95, database-query count, peak memory, private artefact size, and 30-second concurrency probes. The operational acceptance thresholds are a page and refresh p95 below two seconds for the 75-member case, a 250-member scoring batch below 30 seconds, bounded query growth without an N+1 pattern, and zero request errors. These are declared operational thresholds, not retrospectively attributed to the original Chapter Three NFRs.</w:t>
      </w:r>
    </w:p>
    <w:p>
      <w:pPr>
        <w:keepNext w:val="0"/>
        <w:keepLines w:val="0"/>
        <w:spacing w:line="360" w:lineRule="auto" w:after="160" w:before="0"/>
        <w:jc w:val="both"/>
      </w:pPr>
      <w:r>
        <w:rPr>
          <w:rFonts w:ascii="Times New Roman" w:hAnsi="Times New Roman" w:cs="Times New Roman"/>
          <w:b w:val="0"/>
          <w:i w:val="0"/>
          <w:color w:val="000000"/>
          <w:sz w:val="24"/>
        </w:rPr>
        <w:t>The benchmark dataset must reflect ordinary family sizes without containing private production records. Its construction, member count, contribution periods, receipt allocations, expenses, adjustments, bank transactions, and report rows should be recorded. Cold and warm measurements should not be mixed. Query-cache, application-cache, and browser-cache conditions need to be stated, and enough repetitions should be retained to show a distribution rather than one unusually fast response. Predictive inference timing is meaningful only after an activated artifact exists; a controller returning “model unavailable” measures the guard path, not model performance.</w:t>
      </w:r>
    </w:p>
    <w:p>
      <w:pPr>
        <w:keepNext w:val="0"/>
        <w:keepLines w:val="0"/>
        <w:spacing w:line="360" w:lineRule="auto" w:after="160" w:before="0"/>
        <w:jc w:val="both"/>
      </w:pPr>
      <w:r>
        <w:rPr>
          <w:rFonts w:ascii="Times New Roman" w:hAnsi="Times New Roman" w:cs="Times New Roman"/>
          <w:b w:val="0"/>
          <w:i w:val="0"/>
          <w:color w:val="000000"/>
          <w:sz w:val="24"/>
        </w:rPr>
        <w:t>Security validation should combine automated negative paths with configuration review. Tenant and role denials, signed URLs, Paystack signatures, AI confirmation, predictive authorisation, immutable records, secret handling, HTTPS, backup configuration, queue/scheduler operation, and basic dependency/security checks are in scope. Usability evidence is limited to responsive browser workflows unless real participants are recruited. No satisfaction percentage or Likert result may be added without an actual instrument and sample.</w:t>
      </w:r>
    </w:p>
    <w:p>
      <w:pPr>
        <w:keepNext w:val="0"/>
        <w:keepLines w:val="0"/>
        <w:spacing w:line="360" w:lineRule="auto" w:after="160" w:before="0"/>
        <w:jc w:val="both"/>
      </w:pPr>
      <w:r>
        <w:rPr>
          <w:rFonts w:ascii="Times New Roman" w:hAnsi="Times New Roman" w:cs="Times New Roman"/>
          <w:b w:val="0"/>
          <w:i w:val="0"/>
          <w:color w:val="000000"/>
          <w:sz w:val="24"/>
        </w:rPr>
        <w:t>Basic vulnerability checking should be reported with its scope and date rather than as a claim that the system is “secure.” Dependency advisories, insecure transport, exposed secrets, missing authorisation, mass assignment, cross-family identifiers, forged webhooks, expired links, and direct mutation routes are relevant checks. Backup configuration alone is not recovery evidence: a final operational claim requires a controlled restore or equivalent provider proof using non-production material. Where a live check cannot be performed safely, the limitation should remain visible.</w:t>
      </w:r>
    </w:p>
    <w:p>
      <w:pPr>
        <w:pStyle w:val="Heading3"/>
        <w:spacing w:line="360" w:lineRule="auto" w:before="240" w:after="120"/>
        <w:jc w:val="both"/>
      </w:pPr>
      <w:r>
        <w:rPr>
          <w:rFonts w:ascii="Times New Roman" w:hAnsi="Times New Roman" w:cs="Times New Roman"/>
          <w:b/>
          <w:i w:val="0"/>
          <w:color w:val="000000"/>
          <w:sz w:val="24"/>
        </w:rPr>
        <w:t>4.4 Test Results and Discussion</w:t>
      </w:r>
    </w:p>
    <w:p>
      <w:pPr>
        <w:pStyle w:val="Heading4"/>
        <w:spacing w:line="360" w:lineRule="auto" w:before="240" w:after="120"/>
        <w:jc w:val="both"/>
      </w:pPr>
      <w:r>
        <w:rPr>
          <w:rFonts w:ascii="Times New Roman" w:hAnsi="Times New Roman" w:cs="Times New Roman"/>
          <w:b/>
          <w:i w:val="0"/>
          <w:color w:val="000000"/>
          <w:sz w:val="24"/>
        </w:rPr>
        <w:t>4.4.1 Current Results and Non-Functional Evaluation</w:t>
      </w:r>
    </w:p>
    <w:p>
      <w:pPr>
        <w:keepNext w:val="0"/>
        <w:keepLines w:val="0"/>
        <w:spacing w:line="360" w:lineRule="auto" w:after="160" w:before="0"/>
        <w:jc w:val="both"/>
      </w:pPr>
      <w:r>
        <w:rPr>
          <w:rFonts w:ascii="Times New Roman" w:hAnsi="Times New Roman" w:cs="Times New Roman"/>
          <w:b w:val="0"/>
          <w:i w:val="0"/>
          <w:color w:val="000000"/>
          <w:sz w:val="24"/>
        </w:rPr>
        <w:t>The current evidence supports a cautious but stronger conclusion. The repository contains implementation and tests for the core family-fund functions, including later reporting, retention, reconciliation, and browser workflows. On 11 August 2026, the canonical local gate passed 1,420 Pest tests with 6,902 assertions and 100.0% PHP coverage in 19.170 seconds. PHPStan, Pint, Prettier, ESLint, and both client and server-side-rendering builds also passed. The locked predictive package passed 66 Python tests with 100% statement coverage. Focused evidence further recorded 138 Laravel payment-risk tests with 440 assertions and 100% coverage across the 16 payment-risk PHP files, the same 138 tests and 440 assertions on PostgreSQL, five Chromium tests with 82 assertions, and 171 combined Laravel tests with 517 assertions. Those focused runs overlap the canonical gate and are reported separately. No post-change hosted SHA is claimed; the older hosted baseline a699a821 predates this work and must not be substituted.</w:t>
      </w:r>
    </w:p>
    <w:p>
      <w:pPr>
        <w:keepNext/>
        <w:keepLines w:val="0"/>
        <w:spacing w:line="360" w:lineRule="auto" w:after="160" w:before="0"/>
        <w:jc w:val="center"/>
      </w:pPr>
      <w:r>
        <w:rPr>
          <w:rFonts w:ascii="Times New Roman" w:hAnsi="Times New Roman" w:cs="Times New Roman"/>
          <w:b/>
          <w:i w:val="0"/>
          <w:color w:val="000000"/>
          <w:sz w:val="24"/>
        </w:rPr>
        <w:t>Table 4.7: Non-Functional Requirement Evaluation</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29"/>
        <w:gridCol w:w="2404"/>
        <w:gridCol w:w="2404"/>
        <w:gridCol w:w="2369"/>
      </w:tblGrid>
      <w:tr>
        <w:trPr>
          <w:tblHeader w:val="true"/>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Requirement</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Evidence currently available</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Required final result</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Status</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 Tenant isolation</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family-routing, policy, report, AI-isolation, and predictive tenant-switch checks passed</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Fresh negative-path suite with no cross-family exposure</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for automated scope</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NFR2 Role restriction</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role, policy, request, and predictive officer/member checks passed</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Fresh suite and browser proof for each role</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for automated scope</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NFR3 Strong authentication</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Fortify, verification, 2FA, passkey, and browser checks passed</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Fresh feature and browser proof</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for automated scope</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NFR4 Deterministic allocation</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oldest-first, partial, lump-sum, balance, and boundary checks passed</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Fresh allocation suite including boundary cases</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NFR5 Paystack idempotency</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Reference/signature/settlement logic and webhook tests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Fresh suite plus authorised live test transaction</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NFR6 Responsive usability</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Focused Chromium run passed mobile, dark-mode, keyboard, refresh and error checks for predictive states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Complete report screenshot set and wider journey review</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NFR7 Understandable reports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Shared report service, labels, CSV/PDF/receipt generation</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Rendered final report inspection and, if conducted, user feedback</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NFR8 Performance</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final measurements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Declared benchmark dataset, response percentiles, and thresholds</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NFR9 Maintainability</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Separate services, actions, policies, jobs, and components; canonical static analysis, formatting, lint, builds, and 100% PHP/Python coverage passed</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Clean canonical full gate</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locally</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NFR10 Auditability</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immutable-batch, reversal, artifact, reconciliation-link, and period checks passed</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Fresh audit/reconciliation tests and rendered trail</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for automated scope; report capture pending</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NFR11 AI privacy</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Family-scoped tools and role-aware source/tests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Fresh tests plus authorised live conversation review</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NFR12 Availability</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Deployment, backup, queue, scheduler configuration/tests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Final hosted health, worker, scheduler, and recovery evidence</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NFR13 Model governance</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Python 66-test/100%-coverage run and Laravel 138-test/440-assertion run verified provenance/schema validation, chronological training, baselines, checksumed artefact and activation gates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Versioned private dataset, executed split, model and evaluation evidence</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NFR14 Model safety</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Laravel, PostgreSQL and Chromium runs verified history tiers, immutable advisory records, unavailable/pooled paths, role denial and no action side effects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active-model inference and real populated screenshot</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bl>
    <w:p/>
    <w:p>
      <w:pPr>
        <w:pStyle w:val="Heading4"/>
        <w:spacing w:line="360" w:lineRule="auto" w:before="240" w:after="120"/>
        <w:jc w:val="both"/>
      </w:pPr>
      <w:r>
        <w:rPr>
          <w:rFonts w:ascii="Times New Roman" w:hAnsi="Times New Roman" w:cs="Times New Roman"/>
          <w:b/>
          <w:i w:val="0"/>
          <w:color w:val="000000"/>
          <w:sz w:val="24"/>
        </w:rPr>
        <w:t>4.4.2 Predictive Training and Experimental Results</w:t>
      </w:r>
    </w:p>
    <w:p>
      <w:pPr>
        <w:keepNext w:val="0"/>
        <w:keepLines w:val="0"/>
        <w:spacing w:line="360" w:lineRule="auto" w:after="160" w:before="0"/>
        <w:jc w:val="both"/>
      </w:pPr>
      <w:r>
        <w:rPr>
          <w:rFonts w:ascii="Times New Roman" w:hAnsi="Times New Roman" w:cs="Times New Roman"/>
          <w:b w:val="0"/>
          <w:i w:val="0"/>
          <w:color w:val="000000"/>
          <w:sz w:val="24"/>
        </w:rPr>
        <w:t>Predictive training and experimental results are Not Executed. This status is itself an important finding. Without the approved private predictive-training CSV, the system cannot establish record count, history length, outcome distribution, temporal partitions, baseline performance, fitted logistic-regression coefficients, or held-out quality. Generating synthetic rows solely to obtain favourable accuracy would answer a different question: whether the pipeline can recover patterns planted by the developer. It would not demonstrate prediction of real family payment behaviour.</w:t>
      </w:r>
    </w:p>
    <w:p>
      <w:pPr>
        <w:keepNext/>
        <w:keepLines w:val="0"/>
        <w:spacing w:line="360" w:lineRule="auto" w:after="160" w:before="0"/>
        <w:jc w:val="center"/>
      </w:pPr>
      <w:r>
        <w:rPr>
          <w:rFonts w:ascii="Times New Roman" w:hAnsi="Times New Roman" w:cs="Times New Roman"/>
          <w:b/>
          <w:i w:val="0"/>
          <w:color w:val="000000"/>
          <w:sz w:val="24"/>
        </w:rPr>
        <w:t>Table 4.8: Predictive Training and Evaluation Results Placeholder</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523"/>
        <w:gridCol w:w="2603"/>
        <w:gridCol w:w="2603"/>
        <w:gridCol w:w="1177"/>
      </w:tblGrid>
      <w:tr>
        <w:trPr>
          <w:tblHeader w:val="true"/>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Evidence item</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Required final content</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Actual result</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Status</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Dataset and provenance</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Dataset identifier, owner/consent basis, SHA-256 digest, time window, row/member/period counts and class distribution</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authorised private CSV or provenance file supplied</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Chronological split</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Training, validation and held-out periods, rows and class counts</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private split manifest produced</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Logistic regression</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Configuration, threshold, coefficients, intercept and held-out metrics with intervals</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fitted private artefact or metrics produced</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Training-prevalence baseline</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Same held-out metrics and confusion matrix</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private baseline result produced</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Previous-period-late baseline</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Same held-out metrics and confusion matrix</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private baseline result produced</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Calibration, discrimination and error analysis</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Figures 4.15–4.18, false-positive/negative review and limitations</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populated figures or error analysis produced</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Artefact and activation</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Model/schema versions, checksum, evidence package and activation decision</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candidate or active artefact installed</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Inference and interface</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populated result, insufficient-history state and timing</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populated screenshot or performance measurement</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bl>
    <w:p/>
    <w:p>
      <w:pPr>
        <w:keepNext w:val="0"/>
        <w:keepLines w:val="0"/>
        <w:spacing w:line="360" w:lineRule="auto" w:after="160" w:before="0"/>
        <w:jc w:val="both"/>
      </w:pPr>
      <w:r>
        <w:rPr>
          <w:rFonts w:ascii="Times New Roman" w:hAnsi="Times New Roman" w:cs="Times New Roman"/>
          <w:b w:val="0"/>
          <w:i w:val="0"/>
          <w:color w:val="000000"/>
          <w:sz w:val="24"/>
        </w:rPr>
        <w:t>When the dataset becomes available, the final chapter must insert the observed class-distribution figure (Figure 4.15), evaluation curves (Figure 4.16), confusion matrix (Figure 4.17), calibration and standardised-coefficient evidence (Figure 4.18), baseline table, and error analysis in this subsection. The training-prevalence baseline and previous-period-late baseline must be evaluated on the same held-out period as logistic regression. Results must not be compared across different samples or after tuning on the test partition. If logistic regression does not improve meaningfully upon the transparent baselines, FR20 should be classified Partially Met or Not Met and the feature should remain inactive.</w:t>
      </w:r>
    </w:p>
    <w:p>
      <w:pPr>
        <w:pStyle w:val="Heading4"/>
        <w:spacing w:line="360" w:lineRule="auto" w:before="240" w:after="120"/>
        <w:jc w:val="both"/>
      </w:pPr>
      <w:r>
        <w:rPr>
          <w:rFonts w:ascii="Times New Roman" w:hAnsi="Times New Roman" w:cs="Times New Roman"/>
          <w:b/>
          <w:i w:val="0"/>
          <w:color w:val="000000"/>
          <w:sz w:val="24"/>
        </w:rPr>
        <w:t>4.4.3 Discussion of Results</w:t>
      </w:r>
    </w:p>
    <w:p>
      <w:pPr>
        <w:keepNext w:val="0"/>
        <w:keepLines w:val="0"/>
        <w:spacing w:line="360" w:lineRule="auto" w:after="160" w:before="0"/>
        <w:jc w:val="both"/>
      </w:pPr>
      <w:r>
        <w:rPr>
          <w:rFonts w:ascii="Times New Roman" w:hAnsi="Times New Roman" w:cs="Times New Roman"/>
          <w:b w:val="0"/>
          <w:i w:val="0"/>
          <w:color w:val="000000"/>
          <w:sz w:val="24"/>
        </w:rPr>
        <w:t>The implementation and executed test evidence indicate that FamilyFunds addresses the central engineering gap identified in Chapter Two more directly than notebooks, spreadsheets, or messaging threads. The application formalises family workspaces and roles, separates obligations from receipts, applies one deterministic allocation rule, records spending and corrections, and produces reviewable outputs. The canonical gate and predictive-focused tenant, role, persistence, PostgreSQL, and browser checks provide fresh local evidence. Production-readiness conclusions still depend on the hosted, live-provider, screenshot, recovery, performance, and authorised-data evidence identified in this chapter.</w:t>
      </w:r>
    </w:p>
    <w:p>
      <w:pPr>
        <w:keepNext w:val="0"/>
        <w:keepLines w:val="0"/>
        <w:spacing w:line="360" w:lineRule="auto" w:after="160" w:before="0"/>
        <w:jc w:val="both"/>
      </w:pPr>
      <w:r>
        <w:rPr>
          <w:rFonts w:ascii="Times New Roman" w:hAnsi="Times New Roman" w:cs="Times New Roman"/>
          <w:b w:val="0"/>
          <w:i w:val="0"/>
          <w:color w:val="000000"/>
          <w:sz w:val="24"/>
        </w:rPr>
        <w:t>The tenant and role design is consistent with RBAC and multi-tenant literature: permissions are adapted to family administrator, financial secretary, member, and platform roles rather than copied from a commercial bank. Payment handling also responds to a domain-specific gap left by payment gateways. Paystack can report that a transaction succeeded, but it does not decide which family obligation the money satisfies. The oldest-balance-first service keeps that decision inside the governed application and makes partial and lump-sum payments reproducible.</w:t>
      </w:r>
    </w:p>
    <w:p>
      <w:pPr>
        <w:keepNext w:val="0"/>
        <w:keepLines w:val="0"/>
        <w:spacing w:line="360" w:lineRule="auto" w:after="160" w:before="0"/>
        <w:jc w:val="both"/>
      </w:pPr>
      <w:r>
        <w:rPr>
          <w:rFonts w:ascii="Times New Roman" w:hAnsi="Times New Roman" w:cs="Times New Roman"/>
          <w:b w:val="0"/>
          <w:i w:val="0"/>
          <w:color w:val="000000"/>
          <w:sz w:val="24"/>
        </w:rPr>
        <w:t>The reporting and reconciliation work demonstrates the value of iterative development. Chapter Three originally focused on reports, expenses, adjustments, and payment verification. Implementation later showed that an audit-friendly system also needs a controlled comparison between internal records and external bank transactions. Reconciliation is therefore a defensible extension of the auditability objective. Its narrow exact-match rule avoids treating an approximate suggestion as an authoritative financial link, which is particularly important where several receipts may share an amount or nearby date.</w:t>
      </w:r>
    </w:p>
    <w:p>
      <w:pPr>
        <w:keepNext w:val="0"/>
        <w:keepLines w:val="0"/>
        <w:spacing w:line="360" w:lineRule="auto" w:after="160" w:before="0"/>
        <w:jc w:val="both"/>
      </w:pPr>
      <w:r>
        <w:rPr>
          <w:rFonts w:ascii="Times New Roman" w:hAnsi="Times New Roman" w:cs="Times New Roman"/>
          <w:b w:val="0"/>
          <w:i w:val="0"/>
          <w:color w:val="000000"/>
          <w:sz w:val="24"/>
        </w:rPr>
        <w:t>The controlled AI design addresses the fourth research question only partially. Static tests and source structure show role-aware tools, family-scoped queries, and confirmation before writes. They do not establish that a configured live provider will always produce accurate, understandable language or acceptable latency. This limitation is consistent with literature warning that fluent financial text may still contain unsupported claims. Final evaluation requires authorised provider-backed examples grounded in known report data, followed by comparison of the response with the source totals. Until that occurs, live AI relevance and usefulness remain Not Executed.</w:t>
      </w:r>
    </w:p>
    <w:p>
      <w:pPr>
        <w:keepNext w:val="0"/>
        <w:keepLines w:val="0"/>
        <w:spacing w:line="360" w:lineRule="auto" w:after="160" w:before="0"/>
        <w:jc w:val="both"/>
      </w:pPr>
      <w:r>
        <w:rPr>
          <w:rFonts w:ascii="Times New Roman" w:hAnsi="Times New Roman" w:cs="Times New Roman"/>
          <w:b w:val="0"/>
          <w:i w:val="0"/>
          <w:color w:val="000000"/>
          <w:sz w:val="24"/>
        </w:rPr>
        <w:t>The fifth research question cannot yet be answered empirically. Logistic regression was selected for interpretability, and the two baselines provide meaningful reference points, but method selection is not model evidence. The absence of a private CSV prevents training and evaluation. This avoids an overclaim: a family-level prediction model may face sparse histories, class imbalance, recurring member patterns, and changes in contribution expectations. A high accuracy score could merely reproduce the majority on-time class. The final judgment must therefore consider late-class recall, precision, F1, PR-AUC, errors, and improvement over both baselines. Prediction must remain advisory even if those gates are met.</w:t>
      </w:r>
    </w:p>
    <w:p>
      <w:pPr>
        <w:keepNext w:val="0"/>
        <w:keepLines w:val="0"/>
        <w:spacing w:line="360" w:lineRule="auto" w:after="160" w:before="0"/>
        <w:jc w:val="both"/>
      </w:pPr>
      <w:r>
        <w:rPr>
          <w:rFonts w:ascii="Times New Roman" w:hAnsi="Times New Roman" w:cs="Times New Roman"/>
          <w:b w:val="0"/>
          <w:i w:val="0"/>
          <w:color w:val="000000"/>
          <w:sz w:val="24"/>
        </w:rPr>
        <w:t>The sixth research question is partially addressed by the clean canonical gate and the predictive-focused Python, Laravel, PostgreSQL and Chromium checks covering normal, boundary, invalid, authorisation, idempotency, immutability, and browser scenarios. Populated report screenshots, the performance run, hosted services, live integrations, and recovery evidence still prevent a complete operational claim. Honest status reporting remains preferable to importing historical counts from an earlier revision because the evidential question is whether the integrated system passes at each claimed boundary.</w:t>
      </w:r>
    </w:p>
    <w:p>
      <w:pPr>
        <w:pStyle w:val="Heading4"/>
        <w:spacing w:line="360" w:lineRule="auto" w:before="240" w:after="120"/>
        <w:jc w:val="both"/>
      </w:pPr>
      <w:r>
        <w:rPr>
          <w:rFonts w:ascii="Times New Roman" w:hAnsi="Times New Roman" w:cs="Times New Roman"/>
          <w:b/>
          <w:i w:val="0"/>
          <w:color w:val="000000"/>
          <w:sz w:val="24"/>
        </w:rPr>
        <w:t>4.4.4 Objectives and Research Questions Verdicts</w:t>
      </w:r>
    </w:p>
    <w:p>
      <w:pPr>
        <w:keepNext/>
        <w:keepLines w:val="0"/>
        <w:spacing w:line="360" w:lineRule="auto" w:after="160" w:before="0"/>
        <w:jc w:val="center"/>
      </w:pPr>
      <w:r>
        <w:rPr>
          <w:rFonts w:ascii="Times New Roman" w:hAnsi="Times New Roman" w:cs="Times New Roman"/>
          <w:b/>
          <w:i w:val="0"/>
          <w:color w:val="000000"/>
          <w:sz w:val="24"/>
        </w:rPr>
        <w:t>Table 4.9: Objectives and Research Questions Verdict Matrix</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968"/>
        <w:gridCol w:w="2968"/>
        <w:gridCol w:w="2970"/>
      </w:tblGrid>
      <w:tr>
        <w:trPr>
          <w:tblHeader w:val="true"/>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Item</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Current evidence</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Verdict</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Objective 1: Review related practice and literature</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Chapter Two concepts, empirical works, existing systems, and gap</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Met for report scope</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Objective 2: Design the multi-tenant system</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Chapter Three requirements, architecture, database, algorithms, and diagrams</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Met for design scope</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Objective 3: Implement the proposed system</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Broad current source, clean canonical local gate, and predictive-focused Laravel, PostgreSQL and browser evidence</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Met overall; local implementation gate passed, hosted evidence pending</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Objective 4: Integrate controlled AI</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Role-aware agents/tools and static tests</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Met; live provider evidence pending</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Objective 5: Implement and evaluate logistic regression</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Training, evaluation, artefact and inference implementation exists; private-data training and PRED evidence absent</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Met; evaluation Not Executed</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Objective 6: Test key requirements</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TC evidence mapping plus clean canonical, Python, PostgreSQL and Chromium checks</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Met; external, screenshot, recovery, and performance evidence pending</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RQ1: Required design features</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Chapters Two and Three plus implementation traceability</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Answered at design level</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RQ2: Tenant and role protection</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Layered implementation plus canonical and predictive route, tenant-switching and member-denial checks</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Validated in the local automated scope; hosted review pending</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RQ3: Consistent payment allocation</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Transactional oldest-first implementation and canonical normal/boundary checks</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Validated in the local automated scope</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RQ4: Controlled AI usefulness</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Governance design and static tests, no live output</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answered</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RQ5: Logistic regression versus baselines</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 authorised training/evaluation evidence</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Not answered empirically</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RQ6: Functional, security, reliability, and usability testing</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Broad specification set plus fresh focused local and PostgreSQL/browser results; external and performance evidence absent</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answered</w:t>
            </w:r>
          </w:p>
        </w:tc>
      </w:tr>
    </w:tbl>
    <w:p/>
    <w:p>
      <w:pPr>
        <w:pStyle w:val="Heading4"/>
        <w:spacing w:line="360" w:lineRule="auto" w:before="240" w:after="120"/>
        <w:jc w:val="both"/>
      </w:pPr>
      <w:r>
        <w:rPr>
          <w:rFonts w:ascii="Times New Roman" w:hAnsi="Times New Roman" w:cs="Times New Roman"/>
          <w:b/>
          <w:i w:val="0"/>
          <w:color w:val="000000"/>
          <w:sz w:val="24"/>
        </w:rPr>
        <w:t>4.4.5 Summary of the Chapter</w:t>
      </w:r>
    </w:p>
    <w:p>
      <w:pPr>
        <w:keepNext w:val="0"/>
        <w:keepLines w:val="0"/>
        <w:spacing w:line="360" w:lineRule="auto" w:after="160" w:before="0"/>
        <w:jc w:val="both"/>
      </w:pPr>
      <w:r>
        <w:rPr>
          <w:rFonts w:ascii="Times New Roman" w:hAnsi="Times New Roman" w:cs="Times New Roman"/>
          <w:b w:val="0"/>
          <w:i w:val="0"/>
          <w:color w:val="000000"/>
          <w:sz w:val="24"/>
        </w:rPr>
        <w:t>This chapter connected the Chapter Three design to identifiable FamilyFunds modules, code listings, and test specifications. The application contains substantial static evidence for tenant-aware membership, role control, contribution generation, deterministic payment allocation, Paystack handling, expenses, adjustments, reports, reminders, controlled AI tools, retention, and the later reconciliation extension. It also defined twenty-two system cases and ten predictive evidence gates.</w:t>
      </w:r>
    </w:p>
    <w:p>
      <w:pPr>
        <w:keepNext w:val="0"/>
        <w:keepLines w:val="0"/>
        <w:spacing w:line="360" w:lineRule="auto" w:after="160" w:before="0"/>
        <w:jc w:val="both"/>
      </w:pPr>
      <w:r>
        <w:rPr>
          <w:rFonts w:ascii="Times New Roman" w:hAnsi="Times New Roman" w:cs="Times New Roman"/>
          <w:b w:val="0"/>
          <w:i w:val="0"/>
          <w:color w:val="000000"/>
          <w:sz w:val="24"/>
        </w:rPr>
        <w:t>The chapter did not convert pending work into claimed success. The canonical local application gate passed 1,420 tests, 6,902 assertions and 100.0% PHP coverage, while 66 Python tests reached 100% statement coverage. Focused Laravel, PostgreSQL and Chromium checks also passed and provide reproducible software evidence for the predictive implementation. Hosted checks, 14 report screenshots, performance measurements, live AI examples, and authorised-data predictive training remain pending or Not Executed. No private predictive CSV was available, so logistic-regression and baseline metrics were not invented and the feature cannot be treated as activated. The conventional application is locally verified, but operational readiness and the predictive objective remain partially met at the current evidence boundary; predictive evaluation itself is Not Executed. Chapter Five must preserve these verdicts unless newer, reproducible evidence replaces them.</w:t>
      </w:r>
    </w:p>
    <w:p>
      <w:pPr>
        <w:pStyle w:val="Heading1"/>
        <w:pageBreakBefore/>
        <w:spacing w:line="360" w:lineRule="auto" w:before="360" w:after="120"/>
        <w:jc w:val="center"/>
      </w:pPr>
      <w:r>
        <w:rPr>
          <w:rFonts w:ascii="Times New Roman" w:hAnsi="Times New Roman" w:cs="Times New Roman"/>
          <w:b/>
          <w:i w:val="0"/>
          <w:color w:val="000000"/>
          <w:sz w:val="32"/>
        </w:rPr>
        <w:t>REFERENCES</w:t>
      </w:r>
    </w:p>
    <w:p>
      <w:pPr>
        <w:keepNext w:val="0"/>
        <w:keepLines w:val="0"/>
        <w:spacing w:line="360" w:lineRule="auto" w:after="160" w:before="0"/>
        <w:jc w:val="left"/>
      </w:pPr>
      <w:r>
        <w:rPr>
          <w:rFonts w:ascii="Times New Roman" w:hAnsi="Times New Roman" w:cs="Times New Roman"/>
          <w:b w:val="0"/>
          <w:i w:val="0"/>
          <w:color w:val="000000"/>
          <w:sz w:val="24"/>
        </w:rPr>
        <w:t>Adegbite, O. O., &amp; Machethe, C. L. (2020). The gender gap in financial inclusion: Evidence from Nigeria. World Development, 127, 104755. https://doi.org/10.1016/j.worlddev.2019.104755</w:t>
      </w:r>
    </w:p>
    <w:p>
      <w:pPr>
        <w:keepNext w:val="0"/>
        <w:keepLines w:val="0"/>
        <w:spacing w:line="360" w:lineRule="auto" w:after="160" w:before="0"/>
        <w:jc w:val="left"/>
      </w:pPr>
      <w:r>
        <w:rPr>
          <w:rFonts w:ascii="Times New Roman" w:hAnsi="Times New Roman" w:cs="Times New Roman"/>
          <w:b w:val="0"/>
          <w:i w:val="0"/>
          <w:color w:val="000000"/>
          <w:sz w:val="24"/>
        </w:rPr>
        <w:t>Adeyemo, R., &amp; Bamire, A. S. (2005). Savings and investment patterns of cooperative farmers in Southwestern Nigeria. Journal of Social Sciences, 11(3), 183–192. https://doi.org/10.1080/09718923.2005.11892512</w:t>
      </w:r>
    </w:p>
    <w:p>
      <w:pPr>
        <w:keepNext w:val="0"/>
        <w:keepLines w:val="0"/>
        <w:spacing w:line="360" w:lineRule="auto" w:after="160" w:before="0"/>
        <w:jc w:val="left"/>
      </w:pPr>
      <w:r>
        <w:rPr>
          <w:rFonts w:ascii="Times New Roman" w:hAnsi="Times New Roman" w:cs="Times New Roman"/>
          <w:b w:val="0"/>
          <w:i w:val="0"/>
          <w:color w:val="000000"/>
          <w:sz w:val="24"/>
        </w:rPr>
        <w:t>Akanji, O. O. (2006). Microfinance as a strategy for poverty reduction. Central Bank of Nigeria Economic and Financial Review, 39(4), 111–134.</w:t>
      </w:r>
    </w:p>
    <w:p>
      <w:pPr>
        <w:keepNext w:val="0"/>
        <w:keepLines w:val="0"/>
        <w:spacing w:line="360" w:lineRule="auto" w:after="160" w:before="0"/>
        <w:jc w:val="left"/>
      </w:pPr>
      <w:r>
        <w:rPr>
          <w:rFonts w:ascii="Times New Roman" w:hAnsi="Times New Roman" w:cs="Times New Roman"/>
          <w:b w:val="0"/>
          <w:i w:val="0"/>
          <w:color w:val="000000"/>
          <w:sz w:val="24"/>
        </w:rPr>
        <w:t>Aker, J. C., &amp; Mbiti, I. M. (2010). Mobile phones and economic development in Africa. Journal of Economic Perspectives, 24(3), 207–232. https://doi.org/10.1257/jep.24.3.207</w:t>
      </w:r>
    </w:p>
    <w:p>
      <w:pPr>
        <w:keepNext w:val="0"/>
        <w:keepLines w:val="0"/>
        <w:spacing w:line="360" w:lineRule="auto" w:after="160" w:before="0"/>
        <w:jc w:val="left"/>
      </w:pPr>
      <w:r>
        <w:rPr>
          <w:rFonts w:ascii="Times New Roman" w:hAnsi="Times New Roman" w:cs="Times New Roman"/>
          <w:b w:val="0"/>
          <w:i w:val="0"/>
          <w:color w:val="000000"/>
          <w:sz w:val="24"/>
        </w:rPr>
        <w:t>Anderson, S., &amp; Baland, J.-M. (2002). The economics of ROSCAs and intrahousehold resource allocation. Quarterly Journal of Economics, 117(3), 963–995. https://doi.org/10.1162/003355302760193931</w:t>
      </w:r>
    </w:p>
    <w:p>
      <w:pPr>
        <w:keepNext w:val="0"/>
        <w:keepLines w:val="0"/>
        <w:spacing w:line="360" w:lineRule="auto" w:after="160" w:before="0"/>
        <w:jc w:val="left"/>
      </w:pPr>
      <w:r>
        <w:rPr>
          <w:rFonts w:ascii="Times New Roman" w:hAnsi="Times New Roman" w:cs="Times New Roman"/>
          <w:b w:val="0"/>
          <w:i w:val="0"/>
          <w:color w:val="000000"/>
          <w:sz w:val="24"/>
        </w:rPr>
        <w:t>Apt, N. A. (2002). Ageing and the changing role of the family and the community: An African perspective. International Social Security Review, 55(1), 39–47. https://doi.org/10.1111/1468-246X.00113</w:t>
      </w:r>
    </w:p>
    <w:p>
      <w:pPr>
        <w:keepNext w:val="0"/>
        <w:keepLines w:val="0"/>
        <w:spacing w:line="360" w:lineRule="auto" w:after="160" w:before="0"/>
        <w:jc w:val="left"/>
      </w:pPr>
      <w:r>
        <w:rPr>
          <w:rFonts w:ascii="Times New Roman" w:hAnsi="Times New Roman" w:cs="Times New Roman"/>
          <w:b w:val="0"/>
          <w:i w:val="0"/>
          <w:color w:val="000000"/>
          <w:sz w:val="24"/>
        </w:rPr>
        <w:t>Ardener, S. (1964). The comparative study of rotating credit associations. Journal of the Royal Anthropological Institute of Great Britain and Ireland, 94(2), 201–229. https://doi.org/10.2307/2844382</w:t>
      </w:r>
    </w:p>
    <w:p>
      <w:pPr>
        <w:keepNext w:val="0"/>
        <w:keepLines w:val="0"/>
        <w:spacing w:line="360" w:lineRule="auto" w:after="160" w:before="0"/>
        <w:jc w:val="left"/>
      </w:pPr>
      <w:r>
        <w:rPr>
          <w:rFonts w:ascii="Times New Roman" w:hAnsi="Times New Roman" w:cs="Times New Roman"/>
          <w:b w:val="0"/>
          <w:i w:val="0"/>
          <w:color w:val="000000"/>
          <w:sz w:val="24"/>
        </w:rPr>
        <w:t>Ardener, S., &amp; Burman, S. (Eds.). (1995). Money-go-rounds: The importance of rotating savings and credit associations for women. Berg Publishers.</w:t>
      </w:r>
    </w:p>
    <w:p>
      <w:pPr>
        <w:keepNext w:val="0"/>
        <w:keepLines w:val="0"/>
        <w:spacing w:line="360" w:lineRule="auto" w:after="160" w:before="0"/>
        <w:jc w:val="left"/>
      </w:pPr>
      <w:r>
        <w:rPr>
          <w:rFonts w:ascii="Times New Roman" w:hAnsi="Times New Roman" w:cs="Times New Roman"/>
          <w:b w:val="0"/>
          <w:i w:val="0"/>
          <w:color w:val="000000"/>
          <w:sz w:val="24"/>
        </w:rPr>
        <w:t>Aryeetey, E. (2008). From informal finance to formal finance in Sub-Saharan Africa: Lessons from linkage efforts. In African Finance for the 21st Century (pp. 1–24). International Monetary Fund.</w:t>
      </w:r>
    </w:p>
    <w:p>
      <w:pPr>
        <w:keepNext w:val="0"/>
        <w:keepLines w:val="0"/>
        <w:spacing w:line="360" w:lineRule="auto" w:after="160" w:before="0"/>
        <w:jc w:val="left"/>
      </w:pPr>
      <w:r>
        <w:rPr>
          <w:rFonts w:ascii="Times New Roman" w:hAnsi="Times New Roman" w:cs="Times New Roman"/>
          <w:b w:val="0"/>
          <w:i w:val="0"/>
          <w:color w:val="000000"/>
          <w:sz w:val="24"/>
        </w:rPr>
        <w:t>Amazon Web Services. (2020). SaaS tenant isolation strategies: Isolating resources in a multi-tenant environment. https://docs.aws.amazon.com/whitepapers/latest/saas-tenant-isolation-strategies/saas-tenant-isolation-strategies.html</w:t>
      </w:r>
    </w:p>
    <w:p>
      <w:pPr>
        <w:keepNext w:val="0"/>
        <w:keepLines w:val="0"/>
        <w:spacing w:line="360" w:lineRule="auto" w:after="160" w:before="0"/>
        <w:jc w:val="left"/>
      </w:pPr>
      <w:r>
        <w:rPr>
          <w:rFonts w:ascii="Times New Roman" w:hAnsi="Times New Roman" w:cs="Times New Roman"/>
          <w:b w:val="0"/>
          <w:i w:val="0"/>
          <w:color w:val="000000"/>
          <w:sz w:val="24"/>
        </w:rPr>
        <w:t>Bascom, W. R. (1952). The Esusu: A credit institution of the Yoruba. Journal of the Royal Anthropological Institute of Great Britain and Ireland, 82(1), 63–69. https://doi.org/10.2307/2844040</w:t>
      </w:r>
    </w:p>
    <w:p>
      <w:pPr>
        <w:keepNext w:val="0"/>
        <w:keepLines w:val="0"/>
        <w:spacing w:line="360" w:lineRule="auto" w:after="160" w:before="0"/>
        <w:jc w:val="left"/>
      </w:pPr>
      <w:r>
        <w:rPr>
          <w:rFonts w:ascii="Times New Roman" w:hAnsi="Times New Roman" w:cs="Times New Roman"/>
          <w:b w:val="0"/>
          <w:i w:val="0"/>
          <w:color w:val="000000"/>
          <w:sz w:val="24"/>
        </w:rPr>
        <w:t>Beck, K., Beedle, M., van Bennekum, A., Cockburn, A., Cunningham, W., Fowler, M., Grenning, J., Highsmith, J., Hunt, A., Jeffries, R., Kern, J., Marick, B., Martin, R. C., Mellor, S., Schwaber, K., Sutherland, J., &amp; Thomas, D. (2001). Manifesto for Agile Software Development. https://agilemanifesto.org</w:t>
      </w:r>
    </w:p>
    <w:p>
      <w:pPr>
        <w:keepNext w:val="0"/>
        <w:keepLines w:val="0"/>
        <w:spacing w:line="360" w:lineRule="auto" w:after="160" w:before="0"/>
        <w:jc w:val="left"/>
      </w:pPr>
      <w:r>
        <w:rPr>
          <w:rFonts w:ascii="Times New Roman" w:hAnsi="Times New Roman" w:cs="Times New Roman"/>
          <w:b w:val="0"/>
          <w:i w:val="0"/>
          <w:color w:val="000000"/>
          <w:sz w:val="24"/>
        </w:rPr>
        <w:t>Bellotti, T., &amp; Crook, J. (2009). Support vector machines for credit scoring and discovery of significant features. Expert Systems with Applications, 36(2), 3302–3308. https://doi.org/10.1016/j.eswa.2008.01.005</w:t>
      </w:r>
    </w:p>
    <w:p>
      <w:pPr>
        <w:keepNext w:val="0"/>
        <w:keepLines w:val="0"/>
        <w:spacing w:line="360" w:lineRule="auto" w:after="160" w:before="0"/>
        <w:jc w:val="left"/>
      </w:pPr>
      <w:r>
        <w:rPr>
          <w:rFonts w:ascii="Times New Roman" w:hAnsi="Times New Roman" w:cs="Times New Roman"/>
          <w:b w:val="0"/>
          <w:i w:val="0"/>
          <w:color w:val="000000"/>
          <w:sz w:val="24"/>
        </w:rPr>
        <w:t>Bezemer, C. P., &amp; Zaidman, A. (2010). Multi-tenant SaaS applications: Maintenance dream or nightmare? In Proceedings of the Joint ERCIM Workshop on Software Evolution (EVOL) and International Workshop on Principles of Software Evolution (IWPSE) (pp. 88–92). ACM. https://doi.org/10.1145/1862372.1862393</w:t>
      </w:r>
    </w:p>
    <w:p>
      <w:pPr>
        <w:keepNext w:val="0"/>
        <w:keepLines w:val="0"/>
        <w:spacing w:line="360" w:lineRule="auto" w:after="160" w:before="0"/>
        <w:jc w:val="left"/>
      </w:pPr>
      <w:r>
        <w:rPr>
          <w:rFonts w:ascii="Times New Roman" w:hAnsi="Times New Roman" w:cs="Times New Roman"/>
          <w:b w:val="0"/>
          <w:i w:val="0"/>
          <w:color w:val="000000"/>
          <w:sz w:val="24"/>
        </w:rPr>
        <w:t>Bonneau, J., Herley, C., van Oorschot, P. C., &amp; Stajano, F. (2012). The quest to replace passwords: A framework for comparative evaluation of web authentication schemes. In Proceedings of the 2012 IEEE Symposium on Security and Privacy (pp. 553–567). IEEE. https://doi.org/10.1109/SP.2012.44</w:t>
      </w:r>
    </w:p>
    <w:p>
      <w:pPr>
        <w:keepNext w:val="0"/>
        <w:keepLines w:val="0"/>
        <w:spacing w:line="360" w:lineRule="auto" w:after="160" w:before="0"/>
        <w:jc w:val="left"/>
      </w:pPr>
      <w:r>
        <w:rPr>
          <w:rFonts w:ascii="Times New Roman" w:hAnsi="Times New Roman" w:cs="Times New Roman"/>
          <w:b w:val="0"/>
          <w:i w:val="0"/>
          <w:color w:val="000000"/>
          <w:sz w:val="24"/>
        </w:rPr>
        <w:t>Bouman, F. J. A. (1995). Rotating and accumulating savings and credit associations: A development perspective. World Development, 23(3), 371–384. https://doi.org/10.1016/0305-750X(94)00141-K</w:t>
      </w:r>
    </w:p>
    <w:p>
      <w:pPr>
        <w:keepNext w:val="0"/>
        <w:keepLines w:val="0"/>
        <w:spacing w:line="360" w:lineRule="auto" w:after="160" w:before="0"/>
        <w:jc w:val="left"/>
      </w:pPr>
      <w:r>
        <w:rPr>
          <w:rFonts w:ascii="Times New Roman" w:hAnsi="Times New Roman" w:cs="Times New Roman"/>
          <w:b w:val="0"/>
          <w:i w:val="0"/>
          <w:color w:val="000000"/>
          <w:sz w:val="24"/>
        </w:rPr>
        <w:t>Breiman, L. (2001). Random forests. Machine Learning, 45(1), 5–32. https://doi.org/10.1023/A:1010933404324</w:t>
      </w:r>
    </w:p>
    <w:p>
      <w:pPr>
        <w:keepNext w:val="0"/>
        <w:keepLines w:val="0"/>
        <w:spacing w:line="360" w:lineRule="auto" w:after="160" w:before="0"/>
        <w:jc w:val="left"/>
      </w:pPr>
      <w:r>
        <w:rPr>
          <w:rFonts w:ascii="Times New Roman" w:hAnsi="Times New Roman" w:cs="Times New Roman"/>
          <w:b w:val="0"/>
          <w:i w:val="0"/>
          <w:color w:val="000000"/>
          <w:sz w:val="24"/>
        </w:rPr>
        <w:t>Brown, T. B., Mann, B., Ryder, N., Subbiah, M., Kaplan, J., Dhariwal, P., ... &amp; Amodei, D. (2020). Language models are few-shot learners. In Advances in Neural Information Processing Systems, 33, 1877–1901.</w:t>
      </w:r>
    </w:p>
    <w:p>
      <w:pPr>
        <w:keepNext w:val="0"/>
        <w:keepLines w:val="0"/>
        <w:spacing w:line="360" w:lineRule="auto" w:after="160" w:before="0"/>
        <w:jc w:val="left"/>
      </w:pPr>
      <w:r>
        <w:rPr>
          <w:rFonts w:ascii="Times New Roman" w:hAnsi="Times New Roman" w:cs="Times New Roman"/>
          <w:b w:val="0"/>
          <w:i w:val="0"/>
          <w:color w:val="000000"/>
          <w:sz w:val="24"/>
        </w:rPr>
        <w:t>Chen, T., &amp; Guestrin, C. (2016). XGBoost: A scalable tree boosting system. In Proceedings of the 22nd ACM SIGKDD International Conference on Knowledge Discovery and Data Mining (pp. 785–794). ACM. https://doi.org/10.1145/2939672.2939785</w:t>
      </w:r>
    </w:p>
    <w:p>
      <w:pPr>
        <w:keepNext w:val="0"/>
        <w:keepLines w:val="0"/>
        <w:spacing w:line="360" w:lineRule="auto" w:after="160" w:before="0"/>
        <w:jc w:val="left"/>
      </w:pPr>
      <w:r>
        <w:rPr>
          <w:rFonts w:ascii="Times New Roman" w:hAnsi="Times New Roman" w:cs="Times New Roman"/>
          <w:b w:val="0"/>
          <w:i w:val="0"/>
          <w:color w:val="000000"/>
          <w:sz w:val="24"/>
        </w:rPr>
        <w:t>Chong, F., Carraro, G., &amp; Wolter, R. (2006). Multi-tenant data architecture. Microsoft Developer Network (MSDN). https://learn.microsoft.com/en-us/previous-versions/aa479086(v=msdn.10)</w:t>
      </w:r>
    </w:p>
    <w:p>
      <w:pPr>
        <w:keepNext w:val="0"/>
        <w:keepLines w:val="0"/>
        <w:spacing w:line="360" w:lineRule="auto" w:after="160" w:before="0"/>
        <w:jc w:val="left"/>
      </w:pPr>
      <w:r>
        <w:rPr>
          <w:rFonts w:ascii="Times New Roman" w:hAnsi="Times New Roman" w:cs="Times New Roman"/>
          <w:b w:val="0"/>
          <w:i w:val="0"/>
          <w:color w:val="000000"/>
          <w:sz w:val="24"/>
        </w:rPr>
        <w:t>Cormen, T. H., Leiserson, C. E., Rivest, R. L., &amp; Stein, C. (2009). Introduction to Algorithms (3rd ed.). MIT Press.</w:t>
      </w:r>
    </w:p>
    <w:p>
      <w:pPr>
        <w:keepNext w:val="0"/>
        <w:keepLines w:val="0"/>
        <w:spacing w:line="360" w:lineRule="auto" w:after="160" w:before="0"/>
        <w:jc w:val="left"/>
      </w:pPr>
      <w:r>
        <w:rPr>
          <w:rFonts w:ascii="Times New Roman" w:hAnsi="Times New Roman" w:cs="Times New Roman"/>
          <w:b w:val="0"/>
          <w:i w:val="0"/>
          <w:color w:val="000000"/>
          <w:sz w:val="24"/>
        </w:rPr>
        <w:t>Cowrywise. (2024). Cowrywise — Save and invest in dollars and naira. https://cowrywise.com</w:t>
      </w:r>
    </w:p>
    <w:p>
      <w:pPr>
        <w:keepNext w:val="0"/>
        <w:keepLines w:val="0"/>
        <w:spacing w:line="360" w:lineRule="auto" w:after="160" w:before="0"/>
        <w:jc w:val="left"/>
      </w:pPr>
      <w:r>
        <w:rPr>
          <w:rFonts w:ascii="Times New Roman" w:hAnsi="Times New Roman" w:cs="Times New Roman"/>
          <w:b w:val="0"/>
          <w:i w:val="0"/>
          <w:color w:val="000000"/>
          <w:sz w:val="24"/>
        </w:rPr>
        <w:t>CreditClan. (2024). CreditClan — Lending infrastructure for Africa. https://creditclan.com</w:t>
      </w:r>
    </w:p>
    <w:p>
      <w:pPr>
        <w:keepNext w:val="0"/>
        <w:keepLines w:val="0"/>
        <w:spacing w:line="360" w:lineRule="auto" w:after="160" w:before="0"/>
        <w:jc w:val="left"/>
      </w:pPr>
      <w:r>
        <w:rPr>
          <w:rFonts w:ascii="Times New Roman" w:hAnsi="Times New Roman" w:cs="Times New Roman"/>
          <w:b w:val="0"/>
          <w:i w:val="0"/>
          <w:color w:val="000000"/>
          <w:sz w:val="24"/>
        </w:rPr>
        <w:t>Dale, R. (2020). Natural language generation: The commercial state of the art in 2020. Natural Language Engineering, 26(4), 481–487. https://doi.org/10.1017/S1351324920000340</w:t>
      </w:r>
    </w:p>
    <w:p>
      <w:pPr>
        <w:keepNext w:val="0"/>
        <w:keepLines w:val="0"/>
        <w:spacing w:line="360" w:lineRule="auto" w:after="160" w:before="0"/>
        <w:jc w:val="left"/>
      </w:pPr>
      <w:r>
        <w:rPr>
          <w:rFonts w:ascii="Times New Roman" w:hAnsi="Times New Roman" w:cs="Times New Roman"/>
          <w:b w:val="0"/>
          <w:i w:val="0"/>
          <w:color w:val="000000"/>
          <w:sz w:val="24"/>
        </w:rPr>
        <w:t>de Wynter, A., Wang, X., Sokolov, A., Gu, Q., &amp; Chen, S.-Q. (2023). An evaluation on large language model outputs: Discourse and memorization. Natural Language Processing Journal, 4, 100024. https://doi.org/10.1016/j.nlp.2023.100024</w:t>
      </w:r>
    </w:p>
    <w:p>
      <w:pPr>
        <w:keepNext w:val="0"/>
        <w:keepLines w:val="0"/>
        <w:spacing w:line="360" w:lineRule="auto" w:after="160" w:before="0"/>
        <w:jc w:val="left"/>
      </w:pPr>
      <w:r>
        <w:rPr>
          <w:rFonts w:ascii="Times New Roman" w:hAnsi="Times New Roman" w:cs="Times New Roman"/>
          <w:b w:val="0"/>
          <w:i w:val="0"/>
          <w:color w:val="000000"/>
          <w:sz w:val="24"/>
        </w:rPr>
        <w:t>Demirgüç-Kunt, A., Klapper, L., Singer, D., &amp; Ansar, S. (2022). The Global Findex Database 2021: Financial inclusion, digital payments, and resilience in the age of COVID-19. World Bank. https://doi.org/10.1596/978-1-4648-1897-4</w:t>
      </w:r>
    </w:p>
    <w:p>
      <w:pPr>
        <w:keepNext w:val="0"/>
        <w:keepLines w:val="0"/>
        <w:spacing w:line="360" w:lineRule="auto" w:after="160" w:before="0"/>
        <w:jc w:val="left"/>
      </w:pPr>
      <w:r>
        <w:rPr>
          <w:rFonts w:ascii="Times New Roman" w:hAnsi="Times New Roman" w:cs="Times New Roman"/>
          <w:b w:val="0"/>
          <w:i w:val="0"/>
          <w:color w:val="000000"/>
          <w:sz w:val="24"/>
        </w:rPr>
        <w:t>Devlin, J., Chang, M.-W., Lee, K., &amp; Toutanova, K. (2019). BERT: Pre-training of deep bidirectional transformers for language understanding. In Proceedings of the 2019 Conference of the North American Chapter of the Association for Computational Linguistics: Human Language Technologies (pp. 4171–4186). ACL.</w:t>
      </w:r>
    </w:p>
    <w:p>
      <w:pPr>
        <w:keepNext w:val="0"/>
        <w:keepLines w:val="0"/>
        <w:spacing w:line="360" w:lineRule="auto" w:after="160" w:before="0"/>
        <w:jc w:val="left"/>
      </w:pPr>
      <w:r>
        <w:rPr>
          <w:rFonts w:ascii="Times New Roman" w:hAnsi="Times New Roman" w:cs="Times New Roman"/>
          <w:b w:val="0"/>
          <w:i w:val="0"/>
          <w:color w:val="000000"/>
          <w:sz w:val="24"/>
        </w:rPr>
        <w:t>EFInA. (2023). Access to Financial Services in Nigeria 2023 Survey. Enhancing Financial Innovation &amp; Access. https://efina.org.ng</w:t>
      </w:r>
    </w:p>
    <w:p>
      <w:pPr>
        <w:keepNext w:val="0"/>
        <w:keepLines w:val="0"/>
        <w:spacing w:line="360" w:lineRule="auto" w:after="160" w:before="0"/>
        <w:jc w:val="left"/>
      </w:pPr>
      <w:r>
        <w:rPr>
          <w:rFonts w:ascii="Times New Roman" w:hAnsi="Times New Roman" w:cs="Times New Roman"/>
          <w:b w:val="0"/>
          <w:i w:val="0"/>
          <w:color w:val="000000"/>
          <w:sz w:val="24"/>
        </w:rPr>
        <w:t>Ferraiolo, D. F., Sandhu, R., Gavrila, S., Kuhn, D. R., &amp; Chandramouli, R. (2001). Proposed NIST standard for role-based access control. ACM Transactions on Information and Systems Security, 4(3), 224–274. https://doi.org/10.1145/501978.501980</w:t>
      </w:r>
    </w:p>
    <w:p>
      <w:pPr>
        <w:keepNext w:val="0"/>
        <w:keepLines w:val="0"/>
        <w:spacing w:line="360" w:lineRule="auto" w:after="160" w:before="0"/>
        <w:jc w:val="left"/>
      </w:pPr>
      <w:r>
        <w:rPr>
          <w:rFonts w:ascii="Times New Roman" w:hAnsi="Times New Roman" w:cs="Times New Roman"/>
          <w:b w:val="0"/>
          <w:i w:val="0"/>
          <w:color w:val="000000"/>
          <w:sz w:val="24"/>
        </w:rPr>
        <w:t>Federal Republic of Nigeria. (2023). Nigeria Data Protection Act, 2023. https://ndpc.gov.ng</w:t>
      </w:r>
    </w:p>
    <w:p>
      <w:pPr>
        <w:keepNext w:val="0"/>
        <w:keepLines w:val="0"/>
        <w:spacing w:line="360" w:lineRule="auto" w:after="160" w:before="0"/>
        <w:jc w:val="left"/>
      </w:pPr>
      <w:r>
        <w:rPr>
          <w:rFonts w:ascii="Times New Roman" w:hAnsi="Times New Roman" w:cs="Times New Roman"/>
          <w:b w:val="0"/>
          <w:i w:val="0"/>
          <w:color w:val="000000"/>
          <w:sz w:val="24"/>
        </w:rPr>
        <w:t>FIDO Alliance. (2022). FIDO2: Web Authentication (WebAuthn). https://fidoalliance.org/fido2/fido2-web-authentication-webauthn/</w:t>
      </w:r>
    </w:p>
    <w:p>
      <w:pPr>
        <w:keepNext w:val="0"/>
        <w:keepLines w:val="0"/>
        <w:spacing w:line="360" w:lineRule="auto" w:after="160" w:before="0"/>
        <w:jc w:val="left"/>
      </w:pPr>
      <w:r>
        <w:rPr>
          <w:rFonts w:ascii="Times New Roman" w:hAnsi="Times New Roman" w:cs="Times New Roman"/>
          <w:b w:val="0"/>
          <w:i w:val="0"/>
          <w:color w:val="000000"/>
          <w:sz w:val="24"/>
        </w:rPr>
        <w:t>Fielding, R. T. (2000). Architectural styles and the design of network-based software architectures (Doctoral dissertation, University of California, Irvine).</w:t>
      </w:r>
    </w:p>
    <w:p>
      <w:pPr>
        <w:keepNext w:val="0"/>
        <w:keepLines w:val="0"/>
        <w:spacing w:line="360" w:lineRule="auto" w:after="160" w:before="0"/>
        <w:jc w:val="left"/>
      </w:pPr>
      <w:r>
        <w:rPr>
          <w:rFonts w:ascii="Times New Roman" w:hAnsi="Times New Roman" w:cs="Times New Roman"/>
          <w:b w:val="0"/>
          <w:i w:val="0"/>
          <w:color w:val="000000"/>
          <w:sz w:val="24"/>
        </w:rPr>
        <w:t>Fowler, M. (2002). Patterns of Enterprise Application Architecture. Addison-Wesley.</w:t>
      </w:r>
    </w:p>
    <w:p>
      <w:pPr>
        <w:keepNext w:val="0"/>
        <w:keepLines w:val="0"/>
        <w:spacing w:line="360" w:lineRule="auto" w:after="160" w:before="0"/>
        <w:jc w:val="left"/>
      </w:pPr>
      <w:r>
        <w:rPr>
          <w:rFonts w:ascii="Times New Roman" w:hAnsi="Times New Roman" w:cs="Times New Roman"/>
          <w:b w:val="0"/>
          <w:i w:val="0"/>
          <w:color w:val="000000"/>
          <w:sz w:val="24"/>
        </w:rPr>
        <w:t>Gugerty, M. K. (2007). You can't save alone: Commitment in rotating savings and credit associations in Kenya. Economic Development and Cultural Change, 55(2), 251–282. https://doi.org/10.1086/508716</w:t>
      </w:r>
    </w:p>
    <w:p>
      <w:pPr>
        <w:keepNext w:val="0"/>
        <w:keepLines w:val="0"/>
        <w:spacing w:line="360" w:lineRule="auto" w:after="160" w:before="0"/>
        <w:jc w:val="left"/>
      </w:pPr>
      <w:r>
        <w:rPr>
          <w:rFonts w:ascii="Times New Roman" w:hAnsi="Times New Roman" w:cs="Times New Roman"/>
          <w:b w:val="0"/>
          <w:i w:val="0"/>
          <w:color w:val="000000"/>
          <w:sz w:val="24"/>
        </w:rPr>
        <w:t>Gamma, E., Helm, R., Johnson, R., &amp; Vlissides, J. (1994). Design Patterns: Elements of Reusable Object-Oriented Software. Addison-Wesley.</w:t>
      </w:r>
    </w:p>
    <w:p>
      <w:pPr>
        <w:keepNext w:val="0"/>
        <w:keepLines w:val="0"/>
        <w:spacing w:line="360" w:lineRule="auto" w:after="160" w:before="0"/>
        <w:jc w:val="left"/>
      </w:pPr>
      <w:r>
        <w:rPr>
          <w:rFonts w:ascii="Times New Roman" w:hAnsi="Times New Roman" w:cs="Times New Roman"/>
          <w:b w:val="0"/>
          <w:i w:val="0"/>
          <w:color w:val="000000"/>
          <w:sz w:val="24"/>
        </w:rPr>
        <w:t>Gomber, P., Koch, J. A., &amp; Siering, M. (2017). Digital finance and FinTech: Current research and future research directions. Journal of Business Economics, 87(5), 537–580. https://doi.org/10.1007/s11573-017-0852-x</w:t>
      </w:r>
    </w:p>
    <w:p>
      <w:pPr>
        <w:keepNext w:val="0"/>
        <w:keepLines w:val="0"/>
        <w:spacing w:line="360" w:lineRule="auto" w:after="160" w:before="0"/>
        <w:jc w:val="left"/>
      </w:pPr>
      <w:r>
        <w:rPr>
          <w:rFonts w:ascii="Times New Roman" w:hAnsi="Times New Roman" w:cs="Times New Roman"/>
          <w:b w:val="0"/>
          <w:i w:val="0"/>
          <w:color w:val="000000"/>
          <w:sz w:val="24"/>
        </w:rPr>
        <w:t>Hand, D. J. (2009). Measuring classifier performance: A coherent alternative to the area under the ROC curve. Machine Learning, 77(1), 103–123. https://doi.org/10.1007/s10994-009-5119-5</w:t>
      </w:r>
    </w:p>
    <w:p>
      <w:pPr>
        <w:keepNext w:val="0"/>
        <w:keepLines w:val="0"/>
        <w:spacing w:line="360" w:lineRule="auto" w:after="160" w:before="0"/>
        <w:jc w:val="left"/>
      </w:pPr>
      <w:r>
        <w:rPr>
          <w:rFonts w:ascii="Times New Roman" w:hAnsi="Times New Roman" w:cs="Times New Roman"/>
          <w:b w:val="0"/>
          <w:i w:val="0"/>
          <w:color w:val="000000"/>
          <w:sz w:val="24"/>
        </w:rPr>
        <w:t>Hastie, T., Tibshirani, R., &amp; Friedman, J. (2009). The Elements of Statistical Learning: Data Mining, Inference, and Prediction (2nd ed.). Springer.</w:t>
      </w:r>
    </w:p>
    <w:p>
      <w:pPr>
        <w:keepNext w:val="0"/>
        <w:keepLines w:val="0"/>
        <w:spacing w:line="360" w:lineRule="auto" w:after="160" w:before="0"/>
        <w:jc w:val="left"/>
      </w:pPr>
      <w:r>
        <w:rPr>
          <w:rFonts w:ascii="Times New Roman" w:hAnsi="Times New Roman" w:cs="Times New Roman"/>
          <w:b w:val="0"/>
          <w:i w:val="0"/>
          <w:color w:val="000000"/>
          <w:sz w:val="24"/>
        </w:rPr>
        <w:t>Hu, V. C., Ferraiolo, D., Kuhn, R., Schnitzer, A., Sandlin, K., Miller, R., &amp; Scarfone, K. (2014). Guide to Attribute Based Access Control (ABAC) Definition and Considerations. NIST Special Publication 800-162.</w:t>
      </w:r>
    </w:p>
    <w:p>
      <w:pPr>
        <w:keepNext w:val="0"/>
        <w:keepLines w:val="0"/>
        <w:spacing w:line="360" w:lineRule="auto" w:after="160" w:before="0"/>
        <w:jc w:val="left"/>
      </w:pPr>
      <w:r>
        <w:rPr>
          <w:rFonts w:ascii="Times New Roman" w:hAnsi="Times New Roman" w:cs="Times New Roman"/>
          <w:b w:val="0"/>
          <w:i w:val="0"/>
          <w:color w:val="000000"/>
          <w:sz w:val="24"/>
        </w:rPr>
        <w:t>Hussin Adam Khatir, A. A., &amp; Bee, M. (2022). Machine learning models and data-balancing techniques for credit scoring: What is the best combination? Risks, 10(9), 169. https://doi.org/10.3390/risks10090169</w:t>
      </w:r>
    </w:p>
    <w:p>
      <w:pPr>
        <w:keepNext w:val="0"/>
        <w:keepLines w:val="0"/>
        <w:spacing w:line="360" w:lineRule="auto" w:after="160" w:before="0"/>
        <w:jc w:val="left"/>
      </w:pPr>
      <w:r>
        <w:rPr>
          <w:rFonts w:ascii="Times New Roman" w:hAnsi="Times New Roman" w:cs="Times New Roman"/>
          <w:b w:val="0"/>
          <w:i w:val="0"/>
          <w:color w:val="000000"/>
          <w:sz w:val="24"/>
        </w:rPr>
        <w:t>Iganiga, B. O., &amp; Asemota, A. (2008). The Nigerian unorganised rural financial institutions and operations: A framework for improved rural credit schemes in a fragile environment. Journal of Social Sciences, 17(1), 63–71.</w:t>
      </w:r>
    </w:p>
    <w:p>
      <w:pPr>
        <w:keepNext w:val="0"/>
        <w:keepLines w:val="0"/>
        <w:spacing w:line="360" w:lineRule="auto" w:after="160" w:before="0"/>
        <w:jc w:val="left"/>
      </w:pPr>
      <w:r>
        <w:rPr>
          <w:rFonts w:ascii="Times New Roman" w:hAnsi="Times New Roman" w:cs="Times New Roman"/>
          <w:b w:val="0"/>
          <w:i w:val="0"/>
          <w:color w:val="000000"/>
          <w:sz w:val="24"/>
        </w:rPr>
        <w:t>Jack, W., &amp; Suri, T. (2014). Risk sharing and transactions costs: Evidence from Kenya's mobile money revolution. American Economic Review, 104(1), 183–223. https://doi.org/10.1257/aer.104.1.183</w:t>
      </w:r>
    </w:p>
    <w:p>
      <w:pPr>
        <w:keepNext w:val="0"/>
        <w:keepLines w:val="0"/>
        <w:spacing w:line="360" w:lineRule="auto" w:after="160" w:before="0"/>
        <w:jc w:val="left"/>
      </w:pPr>
      <w:r>
        <w:rPr>
          <w:rFonts w:ascii="Times New Roman" w:hAnsi="Times New Roman" w:cs="Times New Roman"/>
          <w:b w:val="0"/>
          <w:i w:val="0"/>
          <w:color w:val="000000"/>
          <w:sz w:val="24"/>
        </w:rPr>
        <w:t>Jia, R., Yang, Y., Grundy, J., Keung, J., &amp; Hao, L. (2021). A systematic review of scheduling approaches on multi-tenancy cloud platforms. Information and Software Technology, 132, 106478. https://doi.org/10.1016/j.infsof.2020.106478</w:t>
      </w:r>
    </w:p>
    <w:p>
      <w:pPr>
        <w:keepNext w:val="0"/>
        <w:keepLines w:val="0"/>
        <w:spacing w:line="360" w:lineRule="auto" w:after="160" w:before="0"/>
        <w:jc w:val="left"/>
      </w:pPr>
      <w:r>
        <w:rPr>
          <w:rFonts w:ascii="Times New Roman" w:hAnsi="Times New Roman" w:cs="Times New Roman"/>
          <w:b w:val="0"/>
          <w:i w:val="0"/>
          <w:color w:val="000000"/>
          <w:sz w:val="24"/>
        </w:rPr>
        <w:t>Kang, H., &amp; Liu, X.-Y. (2023). Deficiency of large language models in finance: An empirical examination of hallucination (arXiv:2311.15548). arXiv. https://arxiv.org/abs/2311.15548</w:t>
      </w:r>
    </w:p>
    <w:p>
      <w:pPr>
        <w:keepNext w:val="0"/>
        <w:keepLines w:val="0"/>
        <w:spacing w:line="360" w:lineRule="auto" w:after="160" w:before="0"/>
        <w:jc w:val="left"/>
      </w:pPr>
      <w:r>
        <w:rPr>
          <w:rFonts w:ascii="Times New Roman" w:hAnsi="Times New Roman" w:cs="Times New Roman"/>
          <w:b w:val="0"/>
          <w:i w:val="0"/>
          <w:color w:val="000000"/>
          <w:sz w:val="24"/>
        </w:rPr>
        <w:t>Khandani, A. E., Kim, A. J., &amp; Lo, A. W. (2010). Consumer credit-risk models via machine-learning algorithms. Journal of Banking &amp; Finance, 34(11), 2767–2787. https://doi.org/10.1016/j.jbankfin.2010.06.001</w:t>
      </w:r>
    </w:p>
    <w:p>
      <w:pPr>
        <w:keepNext w:val="0"/>
        <w:keepLines w:val="0"/>
        <w:spacing w:line="360" w:lineRule="auto" w:after="160" w:before="0"/>
        <w:jc w:val="left"/>
      </w:pPr>
      <w:r>
        <w:rPr>
          <w:rFonts w:ascii="Times New Roman" w:hAnsi="Times New Roman" w:cs="Times New Roman"/>
          <w:b w:val="0"/>
          <w:i w:val="0"/>
          <w:color w:val="000000"/>
          <w:sz w:val="24"/>
        </w:rPr>
        <w:t>Karhapää, P., Behutiye, W., Rodríguez, P., Oivo, M., Costal, D., Franch, X., Aaramaa, S., Choraś, M., Partanen, J., &amp; Abherve, A. (2021). Strategies to manage quality requirements in agile software development: A multiple case study. Empirical Software Engineering, 26, Article 28. https://doi.org/10.1007/s10664-020-09903-x</w:t>
      </w:r>
    </w:p>
    <w:p>
      <w:pPr>
        <w:keepNext w:val="0"/>
        <w:keepLines w:val="0"/>
        <w:spacing w:line="360" w:lineRule="auto" w:after="160" w:before="0"/>
        <w:jc w:val="left"/>
      </w:pPr>
      <w:r>
        <w:rPr>
          <w:rFonts w:ascii="Times New Roman" w:hAnsi="Times New Roman" w:cs="Times New Roman"/>
          <w:b w:val="0"/>
          <w:i w:val="0"/>
          <w:color w:val="000000"/>
          <w:sz w:val="24"/>
        </w:rPr>
        <w:t>Krasner, G. E., &amp; Pope, S. T. (1988). A description of the model-view-controller user interface paradigm in the Smalltalk-80 system. Journal of Object-Oriented Programming, 1(3), 26–49.</w:t>
      </w:r>
    </w:p>
    <w:p>
      <w:pPr>
        <w:keepNext w:val="0"/>
        <w:keepLines w:val="0"/>
        <w:spacing w:line="360" w:lineRule="auto" w:after="160" w:before="0"/>
        <w:jc w:val="left"/>
      </w:pPr>
      <w:r>
        <w:rPr>
          <w:rFonts w:ascii="Times New Roman" w:hAnsi="Times New Roman" w:cs="Times New Roman"/>
          <w:b w:val="0"/>
          <w:i w:val="0"/>
          <w:color w:val="000000"/>
          <w:sz w:val="24"/>
        </w:rPr>
        <w:t>Kouandou, A., &amp; Zeh, I. P. (2024). Insuring consumption against shocks: The role of informal savings in Nigeria. Food Policy, 129, Article 102737. https://doi.org/10.1016/j.foodpol.2024.102737</w:t>
      </w:r>
    </w:p>
    <w:p>
      <w:pPr>
        <w:keepNext w:val="0"/>
        <w:keepLines w:val="0"/>
        <w:spacing w:line="360" w:lineRule="auto" w:after="160" w:before="0"/>
        <w:jc w:val="left"/>
      </w:pPr>
      <w:r>
        <w:rPr>
          <w:rFonts w:ascii="Times New Roman" w:hAnsi="Times New Roman" w:cs="Times New Roman"/>
          <w:b w:val="0"/>
          <w:i w:val="0"/>
          <w:color w:val="000000"/>
          <w:sz w:val="24"/>
        </w:rPr>
        <w:t>Lessmann, S., Baesens, B., Seow, H. V., &amp; Thomas, L. C. (2015). Benchmarking state-of-the-art classification algorithms for credit scoring: An update of research. European Journal of Operational Research, 247(1), 124–136. https://doi.org/10.1016/j.ejor.2015.05.030</w:t>
      </w:r>
    </w:p>
    <w:p>
      <w:pPr>
        <w:keepNext w:val="0"/>
        <w:keepLines w:val="0"/>
        <w:spacing w:line="360" w:lineRule="auto" w:after="160" w:before="0"/>
        <w:jc w:val="left"/>
      </w:pPr>
      <w:r>
        <w:rPr>
          <w:rFonts w:ascii="Times New Roman" w:hAnsi="Times New Roman" w:cs="Times New Roman"/>
          <w:b w:val="0"/>
          <w:i w:val="0"/>
          <w:color w:val="000000"/>
          <w:sz w:val="24"/>
        </w:rPr>
        <w:t>Li, W., Zhou, Y., Luo, S., &amp; Dong, Y. (2022). Design factors to improve the consistency and sustainable user experience of responsive interface design. Sustainability, 14(15), 9131. https://doi.org/10.3390/su14159131</w:t>
      </w:r>
    </w:p>
    <w:p>
      <w:pPr>
        <w:keepNext w:val="0"/>
        <w:keepLines w:val="0"/>
        <w:spacing w:line="360" w:lineRule="auto" w:after="160" w:before="0"/>
        <w:jc w:val="left"/>
      </w:pPr>
      <w:r>
        <w:rPr>
          <w:rFonts w:ascii="Times New Roman" w:hAnsi="Times New Roman" w:cs="Times New Roman"/>
          <w:b w:val="0"/>
          <w:i w:val="0"/>
          <w:color w:val="000000"/>
          <w:sz w:val="24"/>
        </w:rPr>
        <w:t>Lyastani, S. G., Schilling, M., Neuber, M., Backes, M., &amp; Bugiel, S. (2020). Is FIDO2 the kingslayer of user authentication? A comparative usability study of FIDO2 passwordless authentication. In Proceedings of the 2020 IEEE Symposium on Security and Privacy (pp. 268–285). IEEE.</w:t>
      </w:r>
    </w:p>
    <w:p>
      <w:pPr>
        <w:keepNext w:val="0"/>
        <w:keepLines w:val="0"/>
        <w:spacing w:line="360" w:lineRule="auto" w:after="160" w:before="0"/>
        <w:jc w:val="left"/>
      </w:pPr>
      <w:r>
        <w:rPr>
          <w:rFonts w:ascii="Times New Roman" w:hAnsi="Times New Roman" w:cs="Times New Roman"/>
          <w:b w:val="0"/>
          <w:i w:val="0"/>
          <w:color w:val="000000"/>
          <w:sz w:val="24"/>
        </w:rPr>
        <w:t>Masood, Z., Hoda, R., &amp; Blincoe, K. (2020). How agile teams make self-assignment work: A grounded theory study. Empirical Software Engineering, 25, 4962–5005. https://doi.org/10.1007/s10664-020-09876-x</w:t>
      </w:r>
    </w:p>
    <w:p>
      <w:pPr>
        <w:keepNext w:val="0"/>
        <w:keepLines w:val="0"/>
        <w:spacing w:line="360" w:lineRule="auto" w:after="160" w:before="0"/>
        <w:jc w:val="left"/>
      </w:pPr>
      <w:r>
        <w:rPr>
          <w:rFonts w:ascii="Times New Roman" w:hAnsi="Times New Roman" w:cs="Times New Roman"/>
          <w:b w:val="0"/>
          <w:i w:val="0"/>
          <w:color w:val="000000"/>
          <w:sz w:val="24"/>
        </w:rPr>
        <w:t>Mikowski, M. S., &amp; Powell, J. C. (2013). Single page web applications: JavaScript end-to-end. Manning Publications.</w:t>
      </w:r>
    </w:p>
    <w:p>
      <w:pPr>
        <w:keepNext w:val="0"/>
        <w:keepLines w:val="0"/>
        <w:spacing w:line="360" w:lineRule="auto" w:after="160" w:before="0"/>
        <w:jc w:val="left"/>
      </w:pPr>
      <w:r>
        <w:rPr>
          <w:rFonts w:ascii="Times New Roman" w:hAnsi="Times New Roman" w:cs="Times New Roman"/>
          <w:b w:val="0"/>
          <w:i w:val="0"/>
          <w:color w:val="000000"/>
          <w:sz w:val="24"/>
        </w:rPr>
        <w:t>Mbiti, I., &amp; Weil, D. N. (2016). Mobile banking: The impact of M-Pesa in Kenya. In S. Edwards, S. Johnson, &amp; D. N. Weil (Eds.), African Successes, Volume III: Modernization and Development (pp. 247–293). University of Chicago Press. https://doi.org/10.7208/chicago/9780226315867.003.0009</w:t>
      </w:r>
    </w:p>
    <w:p>
      <w:pPr>
        <w:keepNext w:val="0"/>
        <w:keepLines w:val="0"/>
        <w:spacing w:line="360" w:lineRule="auto" w:after="160" w:before="0"/>
        <w:jc w:val="left"/>
      </w:pPr>
      <w:r>
        <w:rPr>
          <w:rFonts w:ascii="Times New Roman" w:hAnsi="Times New Roman" w:cs="Times New Roman"/>
          <w:b w:val="0"/>
          <w:i w:val="0"/>
          <w:color w:val="000000"/>
          <w:sz w:val="24"/>
        </w:rPr>
        <w:t>Oloyede, J. A. (2008). Informal financial sector, savings mobilisation and rural development in Nigeria: Further evidence from Ekiti State of Nigeria. African Economic and Business Review, 6(1), 35–63.</w:t>
      </w:r>
    </w:p>
    <w:p>
      <w:pPr>
        <w:keepNext w:val="0"/>
        <w:keepLines w:val="0"/>
        <w:spacing w:line="360" w:lineRule="auto" w:after="160" w:before="0"/>
        <w:jc w:val="left"/>
      </w:pPr>
      <w:r>
        <w:rPr>
          <w:rFonts w:ascii="Times New Roman" w:hAnsi="Times New Roman" w:cs="Times New Roman"/>
          <w:b w:val="0"/>
          <w:i w:val="0"/>
          <w:color w:val="000000"/>
          <w:sz w:val="24"/>
        </w:rPr>
        <w:t>Ometov, A., Bezzateev, S., Mäkitalo, N., Andreev, S., Mikkonen, T., &amp; Koucheryavy, Y. (2018). Multi-factor authentication: A survey. Cryptography, 2(1), 1. https://doi.org/10.3390/cryptography2010001</w:t>
      </w:r>
    </w:p>
    <w:p>
      <w:pPr>
        <w:keepNext w:val="0"/>
        <w:keepLines w:val="0"/>
        <w:spacing w:line="360" w:lineRule="auto" w:after="160" w:before="0"/>
        <w:jc w:val="left"/>
      </w:pPr>
      <w:r>
        <w:rPr>
          <w:rFonts w:ascii="Times New Roman" w:hAnsi="Times New Roman" w:cs="Times New Roman"/>
          <w:b w:val="0"/>
          <w:i w:val="0"/>
          <w:color w:val="000000"/>
          <w:sz w:val="24"/>
        </w:rPr>
        <w:t>OpenAI. (2023). GPT-4 technical report. arXiv preprint arXiv:2303.08774.</w:t>
      </w:r>
    </w:p>
    <w:p>
      <w:pPr>
        <w:keepNext w:val="0"/>
        <w:keepLines w:val="0"/>
        <w:spacing w:line="360" w:lineRule="auto" w:after="160" w:before="0"/>
        <w:jc w:val="left"/>
      </w:pPr>
      <w:r>
        <w:rPr>
          <w:rFonts w:ascii="Times New Roman" w:hAnsi="Times New Roman" w:cs="Times New Roman"/>
          <w:b w:val="0"/>
          <w:i w:val="0"/>
          <w:color w:val="000000"/>
          <w:sz w:val="24"/>
        </w:rPr>
        <w:t>Osili, U. O. (2007). Remittances and savings from international migration: Theory and evidence using a matched sample. Journal of Development Economics, 83(2), 446–465. https://doi.org/10.1016/j.jdeveco.2006.06.003</w:t>
      </w:r>
    </w:p>
    <w:p>
      <w:pPr>
        <w:keepNext w:val="0"/>
        <w:keepLines w:val="0"/>
        <w:spacing w:line="360" w:lineRule="auto" w:after="160" w:before="0"/>
        <w:jc w:val="left"/>
      </w:pPr>
      <w:r>
        <w:rPr>
          <w:rFonts w:ascii="Times New Roman" w:hAnsi="Times New Roman" w:cs="Times New Roman"/>
          <w:b w:val="0"/>
          <w:i w:val="0"/>
          <w:color w:val="000000"/>
          <w:sz w:val="24"/>
        </w:rPr>
        <w:t>Otwell, T. (2024). Laravel — The PHP framework for web artisans. https://laravel.com</w:t>
      </w:r>
    </w:p>
    <w:p>
      <w:pPr>
        <w:keepNext w:val="0"/>
        <w:keepLines w:val="0"/>
        <w:spacing w:line="360" w:lineRule="auto" w:after="160" w:before="0"/>
        <w:jc w:val="left"/>
      </w:pPr>
      <w:r>
        <w:rPr>
          <w:rFonts w:ascii="Times New Roman" w:hAnsi="Times New Roman" w:cs="Times New Roman"/>
          <w:b w:val="0"/>
          <w:i w:val="0"/>
          <w:color w:val="000000"/>
          <w:sz w:val="24"/>
        </w:rPr>
        <w:t>Paystack. (2024). Paystack — Payments infrastructure for Africa. https://paystack.com</w:t>
      </w:r>
    </w:p>
    <w:p>
      <w:pPr>
        <w:keepNext w:val="0"/>
        <w:keepLines w:val="0"/>
        <w:spacing w:line="360" w:lineRule="auto" w:after="160" w:before="0"/>
        <w:jc w:val="left"/>
      </w:pPr>
      <w:r>
        <w:rPr>
          <w:rFonts w:ascii="Times New Roman" w:hAnsi="Times New Roman" w:cs="Times New Roman"/>
          <w:b w:val="0"/>
          <w:i w:val="0"/>
          <w:color w:val="000000"/>
          <w:sz w:val="24"/>
        </w:rPr>
        <w:t>PiggyVest. (2024). PiggyVest — Save and invest with confidence. https://piggyvest.com</w:t>
      </w:r>
    </w:p>
    <w:p>
      <w:pPr>
        <w:keepNext w:val="0"/>
        <w:keepLines w:val="0"/>
        <w:spacing w:line="360" w:lineRule="auto" w:after="160" w:before="0"/>
        <w:jc w:val="left"/>
      </w:pPr>
      <w:r>
        <w:rPr>
          <w:rFonts w:ascii="Times New Roman" w:hAnsi="Times New Roman" w:cs="Times New Roman"/>
          <w:b w:val="0"/>
          <w:i w:val="0"/>
          <w:color w:val="000000"/>
          <w:sz w:val="24"/>
        </w:rPr>
        <w:t>Reinink, J. (2024). Inertia.js — The modern monolith. https://inertiajs.com</w:t>
      </w:r>
    </w:p>
    <w:p>
      <w:pPr>
        <w:keepNext w:val="0"/>
        <w:keepLines w:val="0"/>
        <w:spacing w:line="360" w:lineRule="auto" w:after="160" w:before="0"/>
        <w:jc w:val="left"/>
      </w:pPr>
      <w:r>
        <w:rPr>
          <w:rFonts w:ascii="Times New Roman" w:hAnsi="Times New Roman" w:cs="Times New Roman"/>
          <w:b w:val="0"/>
          <w:i w:val="0"/>
          <w:color w:val="000000"/>
          <w:sz w:val="24"/>
        </w:rPr>
        <w:t>Reiter, E., &amp; Dale, R. (2000). Building Natural Language Generation Systems. Cambridge University Press.</w:t>
      </w:r>
    </w:p>
    <w:p>
      <w:pPr>
        <w:keepNext w:val="0"/>
        <w:keepLines w:val="0"/>
        <w:spacing w:line="360" w:lineRule="auto" w:after="160" w:before="0"/>
        <w:jc w:val="left"/>
      </w:pPr>
      <w:r>
        <w:rPr>
          <w:rFonts w:ascii="Times New Roman" w:hAnsi="Times New Roman" w:cs="Times New Roman"/>
          <w:b w:val="0"/>
          <w:i w:val="0"/>
          <w:color w:val="000000"/>
          <w:sz w:val="24"/>
        </w:rPr>
        <w:t>Robisco, A. A., &amp; Carbó Martínez, J. M. (2022). Measuring the model risk-adjusted performance of machine learning algorithms in credit default prediction. Financial Innovation, 8, Article 70. https://doi.org/10.1186/s40854-022-00366-1</w:t>
      </w:r>
    </w:p>
    <w:p>
      <w:pPr>
        <w:keepNext w:val="0"/>
        <w:keepLines w:val="0"/>
        <w:spacing w:line="360" w:lineRule="auto" w:after="160" w:before="0"/>
        <w:jc w:val="left"/>
      </w:pPr>
      <w:r>
        <w:rPr>
          <w:rFonts w:ascii="Times New Roman" w:hAnsi="Times New Roman" w:cs="Times New Roman"/>
          <w:b w:val="0"/>
          <w:i w:val="0"/>
          <w:color w:val="000000"/>
          <w:sz w:val="24"/>
        </w:rPr>
        <w:t>Sandhu, R. S., Coyne, E. J., Feinstein, H. L., &amp; Youman, C. E. (1996). Role-based access control models. IEEE Computer, 29(2), 38–47. https://doi.org/10.1109/2.485845</w:t>
      </w:r>
    </w:p>
    <w:p>
      <w:pPr>
        <w:keepNext w:val="0"/>
        <w:keepLines w:val="0"/>
        <w:spacing w:line="360" w:lineRule="auto" w:after="160" w:before="0"/>
        <w:jc w:val="left"/>
      </w:pPr>
      <w:r>
        <w:rPr>
          <w:rFonts w:ascii="Times New Roman" w:hAnsi="Times New Roman" w:cs="Times New Roman"/>
          <w:b w:val="0"/>
          <w:i w:val="0"/>
          <w:color w:val="000000"/>
          <w:sz w:val="24"/>
        </w:rPr>
        <w:t>Schein, A. I., Popescul, A., Ungar, L. H., &amp; Pennock, D. M. (2002). Methods and metrics for cold-start recommendations. In Proceedings of the 25th Annual International ACM SIGIR Conference on Research and Development in Information Retrieval (pp. 253–260). ACM.</w:t>
      </w:r>
    </w:p>
    <w:p>
      <w:pPr>
        <w:keepNext w:val="0"/>
        <w:keepLines w:val="0"/>
        <w:spacing w:line="360" w:lineRule="auto" w:after="160" w:before="0"/>
        <w:jc w:val="left"/>
      </w:pPr>
      <w:r>
        <w:rPr>
          <w:rFonts w:ascii="Times New Roman" w:hAnsi="Times New Roman" w:cs="Times New Roman"/>
          <w:b w:val="0"/>
          <w:i w:val="0"/>
          <w:color w:val="000000"/>
          <w:sz w:val="24"/>
        </w:rPr>
        <w:t>Schwaber, K., &amp; Sutherland, J. (2020). The Scrum Guide: The Definitive Guide to Scrum: The Rules of the Game. https://scrumguides.org</w:t>
      </w:r>
    </w:p>
    <w:p>
      <w:pPr>
        <w:keepNext w:val="0"/>
        <w:keepLines w:val="0"/>
        <w:spacing w:line="360" w:lineRule="auto" w:after="160" w:before="0"/>
        <w:jc w:val="left"/>
      </w:pPr>
      <w:r>
        <w:rPr>
          <w:rFonts w:ascii="Times New Roman" w:hAnsi="Times New Roman" w:cs="Times New Roman"/>
          <w:b w:val="0"/>
          <w:i w:val="0"/>
          <w:color w:val="000000"/>
          <w:sz w:val="24"/>
        </w:rPr>
        <w:t>Sharma, A., &amp; Kaur, P. (2021). TOSDS: Tenant-centric object-based software defined storage for multitenant SaaS applications. Arabian Journal for Science and Engineering, 46(9), 9221–9235. https://doi.org/10.1007/s13369-021-05743-z</w:t>
      </w:r>
    </w:p>
    <w:p>
      <w:pPr>
        <w:keepNext w:val="0"/>
        <w:keepLines w:val="0"/>
        <w:spacing w:line="360" w:lineRule="auto" w:after="160" w:before="0"/>
        <w:jc w:val="left"/>
      </w:pPr>
      <w:r>
        <w:rPr>
          <w:rFonts w:ascii="Times New Roman" w:hAnsi="Times New Roman" w:cs="Times New Roman"/>
          <w:b w:val="0"/>
          <w:i w:val="0"/>
          <w:color w:val="000000"/>
          <w:sz w:val="24"/>
        </w:rPr>
        <w:t>Sommerville, I. (2016). Software Engineering (10th ed.). Pearson.</w:t>
      </w:r>
    </w:p>
    <w:p>
      <w:pPr>
        <w:keepNext w:val="0"/>
        <w:keepLines w:val="0"/>
        <w:spacing w:line="360" w:lineRule="auto" w:after="160" w:before="0"/>
        <w:jc w:val="left"/>
      </w:pPr>
      <w:r>
        <w:rPr>
          <w:rFonts w:ascii="Times New Roman" w:hAnsi="Times New Roman" w:cs="Times New Roman"/>
          <w:b w:val="0"/>
          <w:i w:val="0"/>
          <w:color w:val="000000"/>
          <w:sz w:val="24"/>
        </w:rPr>
        <w:t>Thomas, L. C. (2000). A survey of credit and behavioural scoring: Forecasting financial risk of lending to consumers. International Journal of Forecasting, 16(2), 149–172. https://doi.org/10.1016/S0169-2070(00)00034-0</w:t>
      </w:r>
    </w:p>
    <w:p>
      <w:pPr>
        <w:keepNext w:val="0"/>
        <w:keepLines w:val="0"/>
        <w:spacing w:line="360" w:lineRule="auto" w:after="160" w:before="0"/>
        <w:jc w:val="left"/>
      </w:pPr>
      <w:r>
        <w:rPr>
          <w:rFonts w:ascii="Times New Roman" w:hAnsi="Times New Roman" w:cs="Times New Roman"/>
          <w:b w:val="0"/>
          <w:i w:val="0"/>
          <w:color w:val="000000"/>
          <w:sz w:val="24"/>
        </w:rPr>
        <w:t>Vaswani, A., Shazeer, N., Parmar, N., Uszkoreit, J., Jones, L., Gomez, A. N., Kaiser, Ł., &amp; Polosukhin, I. (2017). Attention is all you need. In Advances in Neural Information Processing Systems, 30, 5998–6008.</w:t>
      </w:r>
    </w:p>
    <w:p>
      <w:pPr>
        <w:keepNext w:val="0"/>
        <w:keepLines w:val="0"/>
        <w:spacing w:line="360" w:lineRule="auto" w:after="160" w:before="0"/>
        <w:jc w:val="left"/>
      </w:pPr>
      <w:r>
        <w:rPr>
          <w:rFonts w:ascii="Times New Roman" w:hAnsi="Times New Roman" w:cs="Times New Roman"/>
          <w:b w:val="0"/>
          <w:i w:val="0"/>
          <w:color w:val="000000"/>
          <w:sz w:val="24"/>
        </w:rPr>
        <w:t>W3C. (2021). Web Authentication: An API for accessing Public Key Credentials Level 2. World Wide Web Consortium. https://www.w3.org/TR/webauthn-2/</w:t>
      </w:r>
    </w:p>
    <w:p>
      <w:pPr>
        <w:keepNext w:val="0"/>
        <w:keepLines w:val="0"/>
        <w:spacing w:line="360" w:lineRule="auto" w:after="160" w:before="0"/>
        <w:jc w:val="left"/>
      </w:pPr>
      <w:r>
        <w:rPr>
          <w:rFonts w:ascii="Times New Roman" w:hAnsi="Times New Roman" w:cs="Times New Roman"/>
          <w:b w:val="0"/>
          <w:i w:val="0"/>
          <w:color w:val="000000"/>
          <w:sz w:val="24"/>
        </w:rPr>
        <w:t>Wezel, T., &amp; Ree, J. J. (2023). Nigeria: Fostering financial inclusion through digital financial services (Selected Issues Paper No. 2023/020). International Monetary Fund. https://doi.org/10.5089/9798400237195.018</w:t>
      </w:r>
    </w:p>
    <w:p>
      <w:pPr>
        <w:keepNext w:val="0"/>
        <w:keepLines w:val="0"/>
        <w:spacing w:line="360" w:lineRule="auto" w:after="160" w:before="0"/>
        <w:jc w:val="left"/>
      </w:pPr>
      <w:r>
        <w:rPr>
          <w:rFonts w:ascii="Times New Roman" w:hAnsi="Times New Roman" w:cs="Times New Roman"/>
          <w:b w:val="0"/>
          <w:i w:val="0"/>
          <w:color w:val="000000"/>
          <w:sz w:val="24"/>
        </w:rPr>
        <w:t>You, E. (2024). Vue.js — The progressive JavaScript framework. https://vuejs.org</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