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Jawharat Bidiyah Resort</w:t>
        <w:br/>
        <w:t>Hosting and launch decisions</w:t>
      </w:r>
    </w:p>
    <w:p>
      <w:pPr>
        <w:spacing w:after="180"/>
      </w:pPr>
      <w:r>
        <w:rPr>
          <w:sz w:val="19"/>
        </w:rPr>
        <w:t>For Tamkeen management  |  Updated 21 September 2026</w:t>
      </w:r>
    </w:p>
    <w:p>
      <w:r>
        <w:rPr>
          <w:b/>
        </w:rPr>
        <w:t>Hosting confirmed.</w:t>
      </w:r>
      <w:r>
        <w:t xml:space="preserve"> The approved DigitalOcean server is provisioned in Tamkeen HQ’s account under Jawharat Bidiyah Resort. The owner approved $24/month and direct administration instead of Ploi. This replaces the earlier Hetzner choice.</w:t>
      </w:r>
    </w:p>
    <w:p>
      <w:r>
        <w:rPr>
          <w:b/>
        </w:rPr>
        <w:t>Email connectivity verified.</w:t>
      </w:r>
      <w:r>
        <w:t xml:space="preserve"> Both Google SMTP endpoints passed certificate-verified TLS on port 587 from this server on 21 September, despite DigitalOcean’s published restriction. Keep Google Workspace SMTP; authorization and actual email delivery remain to be tested. [1]</w:t>
      </w:r>
    </w:p>
    <w:p>
      <w:pPr>
        <w:pStyle w:val="Heading1"/>
      </w:pPr>
      <w:r>
        <w:t>Provider comparison</w:t>
      </w:r>
    </w:p>
    <w:tbl>
      <w:tblPr>
        <w:tblW w:type="auto" w:w="0"/>
        <w:jc w:val="center"/>
        <w:tblLayout w:type="fixed"/>
        <w:tblLook w:firstColumn="1" w:firstRow="1" w:lastColumn="0" w:lastRow="0" w:noHBand="0" w:noVBand="1" w:val="04A0"/>
      </w:tblPr>
      <w:tblGrid>
        <w:gridCol w:w="1757"/>
        <w:gridCol w:w="2608"/>
        <w:gridCol w:w="1531"/>
        <w:gridCol w:w="4082"/>
      </w:tblGrid>
      <w:tr>
        <w:trPr>
          <w:cantSplit/>
          <w:tblHeader/>
        </w:trPr>
        <w:tc>
          <w:tcPr>
            <w:tcW w:type="dxa" w:w="1757"/>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233E50"/>
          </w:tcPr>
          <w:p>
            <w:pPr>
              <w:spacing w:after="0" w:line="247" w:lineRule="auto"/>
            </w:pPr>
            <w:r>
              <w:rPr>
                <w:b/>
                <w:color w:val="FFFFFF"/>
                <w:sz w:val="19"/>
              </w:rPr>
              <w:t>Provider and plan</w:t>
            </w:r>
          </w:p>
        </w:tc>
        <w:tc>
          <w:tcPr>
            <w:tcW w:type="dxa" w:w="2608"/>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233E50"/>
          </w:tcPr>
          <w:p>
            <w:pPr>
              <w:spacing w:after="0" w:line="247" w:lineRule="auto"/>
            </w:pPr>
            <w:r>
              <w:rPr>
                <w:b/>
                <w:color w:val="FFFFFF"/>
                <w:sz w:val="19"/>
              </w:rPr>
              <w:t>Published monthly cost</w:t>
            </w:r>
          </w:p>
        </w:tc>
        <w:tc>
          <w:tcPr>
            <w:tcW w:type="dxa" w:w="1531"/>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233E50"/>
          </w:tcPr>
          <w:p>
            <w:pPr>
              <w:spacing w:after="0" w:line="247" w:lineRule="auto"/>
              <w:jc w:val="center"/>
            </w:pPr>
            <w:r>
              <w:rPr>
                <w:b/>
                <w:color w:val="FFFFFF"/>
                <w:sz w:val="19"/>
              </w:rPr>
              <w:t>Google SMTP</w:t>
            </w:r>
          </w:p>
        </w:tc>
        <w:tc>
          <w:tcPr>
            <w:tcW w:type="dxa" w:w="4082"/>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233E50"/>
          </w:tcPr>
          <w:p>
            <w:pPr>
              <w:spacing w:after="0" w:line="247" w:lineRule="auto"/>
            </w:pPr>
            <w:r>
              <w:rPr>
                <w:b/>
                <w:color w:val="FFFFFF"/>
                <w:sz w:val="19"/>
              </w:rPr>
              <w:t>Assessment</w:t>
            </w:r>
          </w:p>
        </w:tc>
      </w:tr>
      <w:tr>
        <w:trPr>
          <w:cantSplit/>
        </w:trPr>
        <w:tc>
          <w:tcPr>
            <w:tcW w:type="dxa" w:w="1757"/>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pPr>
              <w:spacing w:after="0" w:line="247" w:lineRule="auto"/>
            </w:pPr>
            <w:r>
              <w:rPr>
                <w:sz w:val="19"/>
              </w:rPr>
              <w:t>Hetzner CX23</w:t>
              <w:br/>
              <w:t>2 vCPU / 4 GB RAM</w:t>
              <w:br/>
              <w:t>40 GB storage</w:t>
            </w:r>
          </w:p>
        </w:tc>
        <w:tc>
          <w:tcPr>
            <w:tcW w:type="dxa" w:w="2608"/>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pPr>
              <w:spacing w:after="0" w:line="247" w:lineRule="auto"/>
            </w:pPr>
            <w:r>
              <w:rPr>
                <w:sz w:val="19"/>
              </w:rPr>
              <w:t>€5.99 excl. VAT</w:t>
              <w:br/>
              <w:t>€5.49 server + €0.50 IPv4. [4]</w:t>
            </w:r>
          </w:p>
        </w:tc>
        <w:tc>
          <w:tcPr>
            <w:tcW w:type="dxa" w:w="1531"/>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pPr>
              <w:spacing w:after="0" w:line="247" w:lineRule="auto"/>
              <w:jc w:val="center"/>
            </w:pPr>
            <w:r>
              <w:rPr>
                <w:sz w:val="19"/>
              </w:rPr>
              <w:t>Port 587</w:t>
              <w:br/>
              <w:t>permitted. [2]</w:t>
            </w:r>
          </w:p>
        </w:tc>
        <w:tc>
          <w:tcPr>
            <w:tcW w:type="dxa" w:w="4082"/>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r>
              <w:rPr>
                <w:sz w:val="19"/>
              </w:rPr>
              <w:t>Previously recommended; not selected. Port 587 is permitted, but management chose to consolidate hosting on DigitalOcean. [2]</w:t>
            </w:r>
          </w:p>
        </w:tc>
      </w:tr>
      <w:tr>
        <w:trPr>
          <w:cantSplit/>
        </w:trPr>
        <w:tc>
          <w:tcPr>
            <w:tcW w:type="dxa" w:w="1757"/>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Contabo</w:t>
              <w:br/>
              <w:t>Cloud VPS 4</w:t>
              <w:br/>
              <w:t>4 vCPU / 8 GB RAM</w:t>
              <w:br/>
              <w:t>100 GB storage</w:t>
            </w:r>
          </w:p>
        </w:tc>
        <w:tc>
          <w:tcPr>
            <w:tcW w:type="dxa" w:w="2608"/>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Advertised €4.40</w:t>
              <w:br/>
              <w:t>12-month term, incl. VAT in the published offer. [5]</w:t>
            </w:r>
          </w:p>
        </w:tc>
        <w:tc>
          <w:tcPr>
            <w:tcW w:type="dxa" w:w="1531"/>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9"/>
              </w:rPr>
              <w:t>No default</w:t>
              <w:br/>
              <w:t>outbound port</w:t>
              <w:br/>
              <w:t>restriction. [3]</w:t>
            </w:r>
          </w:p>
        </w:tc>
        <w:tc>
          <w:tcPr>
            <w:tcW w:type="dxa" w:w="4082"/>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FFFFF"/>
          </w:tcPr>
          <w:p>
            <w:r>
              <w:rPr>
                <w:sz w:val="19"/>
              </w:rPr>
              <w:t>Comparison alternative; not selected. The published offer has different term and tax conditions; obtain a current quote if reconsidered.</w:t>
            </w:r>
          </w:p>
        </w:tc>
      </w:tr>
      <w:tr>
        <w:trPr>
          <w:cantSplit/>
        </w:trPr>
        <w:tc>
          <w:tcPr>
            <w:tcW w:type="dxa" w:w="1757"/>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pPr>
              <w:spacing w:after="0" w:line="247" w:lineRule="auto"/>
            </w:pPr>
            <w:r>
              <w:rPr>
                <w:sz w:val="19"/>
              </w:rPr>
              <w:t>DigitalOcean Basic</w:t>
              <w:br/>
              <w:t>2 vCPU / 4 GB RAM</w:t>
              <w:br/>
              <w:t>80 GB storage</w:t>
            </w:r>
          </w:p>
        </w:tc>
        <w:tc>
          <w:tcPr>
            <w:tcW w:type="dxa" w:w="2608"/>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pPr>
              <w:spacing w:after="0" w:line="247" w:lineRule="auto"/>
            </w:pPr>
            <w:r>
              <w:rPr>
                <w:sz w:val="19"/>
              </w:rPr>
              <w:t>$24 server, before applicable taxes. [6]</w:t>
            </w:r>
          </w:p>
        </w:tc>
        <w:tc>
          <w:tcPr>
            <w:tcW w:type="dxa" w:w="1531"/>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r>
              <w:rPr>
                <w:sz w:val="19"/>
              </w:rPr>
              <w:t>Port 587 TLS verified on this server; delivery pending.</w:t>
            </w:r>
          </w:p>
        </w:tc>
        <w:tc>
          <w:tcPr>
            <w:tcW w:type="dxa" w:w="4082"/>
            <w:vAlign w:val="center"/>
            <w:tcMar>
              <w:top w:w="105" w:type="dxa"/>
              <w:bottom w:w="105" w:type="dxa"/>
              <w:left w:w="105" w:type="dxa"/>
              <w:right w:w="105" w:type="dxa"/>
            </w:tcMar>
            <w:tcBorders>
              <w:top w:val="single" w:sz="4" w:color="D9D9D9"/>
              <w:left w:val="single" w:sz="4" w:color="D9D9D9"/>
              <w:bottom w:val="single" w:sz="4" w:color="D9D9D9"/>
              <w:right w:val="single" w:sz="4" w:color="D9D9D9"/>
            </w:tcBorders>
            <w:shd w:fill="F3F6F8"/>
          </w:tcPr>
          <w:p>
            <w:r>
              <w:rPr>
                <w:sz w:val="19"/>
              </w:rPr>
              <w:t>Approved and provisioned. Separate resort server in Frankfurt, managed directly. Workspace SMTP authorization remains pending.</w:t>
            </w:r>
          </w:p>
        </w:tc>
      </w:tr>
    </w:tbl>
    <w:p>
      <w:pPr>
        <w:spacing w:before="100"/>
      </w:pPr>
      <w:r>
        <w:t>The DigitalOcean configuration was approved at $24/month ($0.036/hour), before applicable taxes, on 21 September 2026. Alternative-provider prices are historical references checked on 19 September; no paid add-ons were selected.</w:t>
      </w:r>
    </w:p>
    <w:p>
      <w:pPr>
        <w:spacing w:before="100" w:after="40"/>
      </w:pPr>
      <w:r>
        <w:rPr>
          <w:b/>
          <w:sz w:val="17"/>
        </w:rPr>
        <w:t>Official sources</w:t>
      </w:r>
    </w:p>
    <w:p>
      <w:pPr>
        <w:spacing w:after="0" w:line="240" w:lineRule="auto"/>
      </w:pPr>
      <w:hyperlink r:id="rId9">
        <w:r>
          <w:rPr>
            <w:color w:val="175676"/>
            <w:sz w:val="17"/>
            <w:u w:val="single"/>
          </w:rPr>
          <w:t>[1] DO SMTP</w:t>
        </w:r>
      </w:hyperlink>
      <w:r>
        <w:rPr>
          <w:sz w:val="17"/>
        </w:rPr>
        <w:t xml:space="preserve">  |  </w:t>
      </w:r>
      <w:hyperlink r:id="rId10">
        <w:r>
          <w:rPr>
            <w:color w:val="175676"/>
            <w:sz w:val="17"/>
            <w:u w:val="single"/>
          </w:rPr>
          <w:t>[2] Hetzner SMTP</w:t>
        </w:r>
      </w:hyperlink>
      <w:r>
        <w:rPr>
          <w:sz w:val="17"/>
        </w:rPr>
        <w:t xml:space="preserve">  |  </w:t>
      </w:r>
      <w:hyperlink r:id="rId11">
        <w:r>
          <w:rPr>
            <w:color w:val="175676"/>
            <w:sz w:val="17"/>
            <w:u w:val="single"/>
          </w:rPr>
          <w:t>[3] Contabo ports</w:t>
        </w:r>
      </w:hyperlink>
      <w:r>
        <w:rPr>
          <w:sz w:val="17"/>
        </w:rPr>
        <w:t xml:space="preserve">  |  </w:t>
      </w:r>
      <w:hyperlink r:id="rId12">
        <w:r>
          <w:rPr>
            <w:color w:val="175676"/>
            <w:sz w:val="17"/>
            <w:u w:val="single"/>
          </w:rPr>
          <w:t>[4] Hetzner rates</w:t>
        </w:r>
      </w:hyperlink>
      <w:r>
        <w:rPr>
          <w:sz w:val="17"/>
        </w:rPr>
        <w:t xml:space="preserve">  |  </w:t>
      </w:r>
      <w:hyperlink r:id="rId13">
        <w:r>
          <w:rPr>
            <w:color w:val="175676"/>
            <w:sz w:val="17"/>
            <w:u w:val="single"/>
          </w:rPr>
          <w:t>IPv4</w:t>
        </w:r>
      </w:hyperlink>
      <w:r>
        <w:rPr>
          <w:sz w:val="17"/>
        </w:rPr>
        <w:t xml:space="preserve">  |  </w:t>
      </w:r>
      <w:hyperlink r:id="rId14">
        <w:r>
          <w:rPr>
            <w:color w:val="175676"/>
            <w:sz w:val="17"/>
            <w:u w:val="single"/>
          </w:rPr>
          <w:t>billing</w:t>
        </w:r>
      </w:hyperlink>
      <w:r>
        <w:rPr>
          <w:sz w:val="17"/>
        </w:rPr>
        <w:t xml:space="preserve">  |  </w:t>
      </w:r>
      <w:hyperlink r:id="rId15">
        <w:r>
          <w:rPr>
            <w:color w:val="175676"/>
            <w:sz w:val="17"/>
            <w:u w:val="single"/>
          </w:rPr>
          <w:t>availability</w:t>
        </w:r>
      </w:hyperlink>
      <w:r>
        <w:rPr>
          <w:sz w:val="17"/>
        </w:rPr>
        <w:t xml:space="preserve">  |  </w:t>
      </w:r>
      <w:hyperlink r:id="rId16">
        <w:r>
          <w:rPr>
            <w:color w:val="175676"/>
            <w:sz w:val="17"/>
            <w:u w:val="single"/>
          </w:rPr>
          <w:t>[5] Contabo offer</w:t>
        </w:r>
      </w:hyperlink>
      <w:r>
        <w:rPr>
          <w:sz w:val="17"/>
        </w:rPr>
        <w:t xml:space="preserve">  |  </w:t>
      </w:r>
      <w:hyperlink r:id="rId17">
        <w:r>
          <w:rPr>
            <w:color w:val="175676"/>
            <w:sz w:val="17"/>
            <w:u w:val="single"/>
          </w:rPr>
          <w:t>[6] DO pricing</w:t>
        </w:r>
      </w:hyperlink>
      <w:r>
        <w:rPr>
          <w:sz w:val="17"/>
        </w:rPr>
        <w:t xml:space="preserve">  |  </w:t>
      </w:r>
      <w:hyperlink r:id="rId18">
        <w:r>
          <w:rPr>
            <w:rStyle w:val="Hyperlink"/>
            <w:color w:val="256383"/>
            <w:u w:val="single"/>
            <w:sz w:val="17"/>
          </w:rPr>
          <w:t>[7] Gmail API</w:t>
        </w:r>
      </w:hyperlink>
    </w:p>
    <w:p>
      <w:pPr>
        <w:pStyle w:val="Heading1"/>
      </w:pPr>
      <w:r>
        <w:t>1 Hosting selection</w:t>
      </w:r>
    </w:p>
    <w:p>
      <w:r>
        <w:t>Server: jbr-web-01 — Frankfurt (FRA1).    Approved recurring cost: $24/month before applicable taxes.</w:t>
      </w:r>
    </w:p>
    <w:p>
      <w:r>
        <w:t>Configuration: Ubuntu 24.04 LTS; 2 vCPU, 4 GB RAM, 80 GB SSD and 4 TB included transfer.</w:t>
      </w:r>
    </w:p>
    <w:p>
      <w:r>
        <w:t>Direct administration is configured with SSH keys and a firewall. PHP, Node and Nginx are installed, and post-reboot checks passed. The server currently returns a non-indexed setup response; application deployment, DNS and HTTPS are pending.</w:t>
      </w:r>
    </w:p>
    <w:p>
      <w:pPr>
        <w:spacing w:before="160"/>
      </w:pPr>
      <w:r>
        <w:rPr>
          <w:b/>
        </w:rPr>
        <w:t xml:space="preserve">Already agreed. </w:t>
      </w:r>
      <w:r>
        <w:t>The domain and DNS will remain at Wix; no registrar transfer is planned. Email stays on Google Workspace, and staff confirm booking requests manually. The current branding, bilingual introduction and published contact details are accepted. Public room prices are not required at launch; staff can quote directly.</w:t>
      </w:r>
    </w:p>
    <w:p>
      <w:r>
        <w:br w:type="page"/>
      </w:r>
    </w:p>
    <w:p>
      <w:pPr>
        <w:pStyle w:val="Title"/>
      </w:pPr>
      <w:r>
        <w:t>Remaining launch decisions</w:t>
      </w:r>
    </w:p>
    <w:p>
      <w:pPr>
        <w:spacing w:after="200"/>
      </w:pPr>
      <w:r>
        <w:t>Management’s replies are recorded below. Content can be completed through Filament while hosting is prepared; incomplete material stays unpublished.</w:t>
      </w:r>
    </w:p>
    <w:p>
      <w:pPr>
        <w:pStyle w:val="Heading1"/>
      </w:pPr>
      <w:r>
        <w:t>2 Accommodation catalogue and photographs</w:t>
      </w:r>
    </w:p>
    <w:p>
      <w:r>
        <w:t>Six accommodation categories and capacities are supplied. Staff will enter English/Arabic descriptions, included facilities and photo assignments through Filament before publishing each category. The four additional photographs still need category mapping where relevant.</w:t>
      </w:r>
    </w:p>
    <w:p>
      <w:pPr>
        <w:spacing w:before="40" w:after="140"/>
      </w:pPr>
      <w:r>
        <w:t>Content completion owner and date: ______________________________________________________</w:t>
      </w:r>
    </w:p>
    <w:p>
      <w:pPr>
        <w:pStyle w:val="Heading1"/>
      </w:pPr>
      <w:r>
        <w:t>3 Location and guest policies</w:t>
      </w:r>
    </w:p>
    <w:p>
      <w:r>
        <w:t>The exact entrance map link, arrival instructions, check-in/out times and payment/cancellation policies remain to be supplied. These are editable through Filament and can be completed during development, before public use.</w:t>
      </w:r>
    </w:p>
    <w:p>
      <w:pPr>
        <w:spacing w:before="40" w:after="140"/>
      </w:pPr>
      <w:r>
        <w:t>Location and policy completion owner and date: ____________________________________________</w:t>
      </w:r>
    </w:p>
    <w:p>
      <w:pPr>
        <w:pStyle w:val="Heading1"/>
      </w:pPr>
      <w:r>
        <w:t>4 Guest information retention</w:t>
      </w:r>
    </w:p>
    <w:p>
      <w:r>
        <w:t>Agreed: retain personal information for 90 days after a booking request or enquiry is closed. Configure the selected period and publish an accurate English/Arabic privacy notice before collecting guest information.</w:t>
      </w:r>
    </w:p>
    <w:p>
      <w:pPr>
        <w:spacing w:before="40" w:after="140"/>
      </w:pPr>
      <w:r>
        <w:t>Privacy contact or role: _________________________________________________________________</w:t>
      </w:r>
    </w:p>
    <w:p>
      <w:pPr>
        <w:pStyle w:val="Heading1"/>
      </w:pPr>
      <w:r>
        <w:t>5 Reservations staff and workflow</w:t>
      </w:r>
    </w:p>
    <w:p>
      <w:r>
        <w:t>Staff supplied: Abdulla Al Noman — reservations@jauharat.com; Abdulla Al Hajri — admin@jauharat.com. Provision their accounts and confirm responsibilities, cover and the availability record. Staff confirm all reservations manually.</w:t>
      </w:r>
    </w:p>
    <w:p>
      <w:pPr>
        <w:spacing w:before="40" w:after="140"/>
      </w:pPr>
      <w:r>
        <w:t>Availability record and cover arrangements: __________________________________________________</w:t>
      </w:r>
    </w:p>
    <w:p>
      <w:pPr>
        <w:spacing w:after="140"/>
      </w:pPr>
      <w:r>
        <w:t>Quotation, payment and final-confirmation process: ___________________________________________</w:t>
      </w:r>
    </w:p>
    <w:p>
      <w:pPr>
        <w:pStyle w:val="Heading1"/>
      </w:pPr>
      <w:r>
        <w:t>6 Google Workspace access and mail routing</w:t>
      </w:r>
    </w:p>
    <w:p>
      <w:r>
        <w:t>gm@jauharat.com is the Workspace administrator and SMTP-routing contact. Keep reservations@jauharat.com as the public contact. Port 587 TLS checks passed on the new server; confirm the sending method, authorized sender and staff notification recipients.</w:t>
      </w:r>
    </w:p>
    <w:p>
      <w:pPr>
        <w:spacing w:before="40" w:after="140"/>
      </w:pPr>
      <w:r>
        <w:t>Pending: authorize Google Workspace SMTP and verify staff notifications and guest receipt emails.</w:t>
      </w:r>
    </w:p>
    <w:p>
      <w:pPr>
        <w:pStyle w:val="Heading1"/>
      </w:pPr>
      <w:r>
        <w:t>7 Launch date and final review</w:t>
      </w:r>
    </w:p>
    <w:p>
      <w:r>
        <w:t>Final review: 26 September 2026; public launch follows sign-off and technical checks. Staff will test a complete booking request and check the English/Arabic content, including any newly entered material.</w:t>
      </w:r>
    </w:p>
    <w:p>
      <w:pPr>
        <w:spacing w:before="40" w:after="140"/>
      </w:pPr>
      <w:r>
        <w:t>Staff and language reviewer(s): ___________________________________________________________</w:t>
      </w:r>
    </w:p>
    <w:p>
      <w:pPr>
        <w:spacing w:before="140"/>
      </w:pPr>
      <w:r>
        <w:rPr>
          <w:b/>
        </w:rPr>
        <w:t>Next steps.</w:t>
      </w:r>
      <w:r>
        <w:t xml:space="preserve"> Deploy the application for review, authorize and test Workspace SMTP, and configure Wix website DNS and HTTPS while preserving Google Workspace records. Complete content and bilingual booking-request checks before public launch.</w:t>
      </w:r>
    </w:p>
    <w:sectPr w:rsidR="00FC693F" w:rsidRPr="0006063C" w:rsidSect="00034616">
      <w:pgSz w:w="11906" w:h="16838"/>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2" w:lineRule="auto"/>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igitalocean.com/support/why-is-smtp-blocked/" TargetMode="External"/><Relationship Id="rId10" Type="http://schemas.openxmlformats.org/officeDocument/2006/relationships/hyperlink" Target="https://docs.hetzner.com/cloud/servers/faq/" TargetMode="External"/><Relationship Id="rId11" Type="http://schemas.openxmlformats.org/officeDocument/2006/relationships/hyperlink" Target="https://help.contabo.com/en/support/solutions/articles/103000406861-managing-port-access-and-os-level-firewall-on-your-server" TargetMode="External"/><Relationship Id="rId12" Type="http://schemas.openxmlformats.org/officeDocument/2006/relationships/hyperlink" Target="https://docs.hetzner.com/general/infrastructure-and-availability/price-adjustment/" TargetMode="External"/><Relationship Id="rId13" Type="http://schemas.openxmlformats.org/officeDocument/2006/relationships/hyperlink" Target="https://docs.hetzner.com/cloud/servers/primary-ips/overview/" TargetMode="External"/><Relationship Id="rId14" Type="http://schemas.openxmlformats.org/officeDocument/2006/relationships/hyperlink" Target="https://docs.hetzner.com/cloud/billing/faq/" TargetMode="External"/><Relationship Id="rId15" Type="http://schemas.openxmlformats.org/officeDocument/2006/relationships/hyperlink" Target="https://www.hetzner.com/cloud/cost-optimized/" TargetMode="External"/><Relationship Id="rId16" Type="http://schemas.openxmlformats.org/officeDocument/2006/relationships/hyperlink" Target="https://contabo.com/blog/linux-web-hosting/" TargetMode="External"/><Relationship Id="rId17" Type="http://schemas.openxmlformats.org/officeDocument/2006/relationships/hyperlink" Target="https://www.digitalocean.com/pricing/droplets" TargetMode="External"/><Relationship Id="rId18" Type="http://schemas.openxmlformats.org/officeDocument/2006/relationships/hyperlink" Target="https://developers.google.com/workspace/gmail/api/reference/rest/v1/users.messages/s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Jawharat Bidiyah Resort hosting and launch decisions</dc:title>
  <dc:subject>Hosting selection and business inputs for website launch</dc:subject>
  <dc:creator/>
  <cp:keywords>Jawharat Bidiyah Resort, hosting, SMTP, management comparison</cp:keywords>
  <dc:description>generated by python-docx</dc:description>
  <cp:lastModifiedBy/>
  <cp:revision>1</cp:revision>
  <dcterms:created xsi:type="dcterms:W3CDTF">2013-12-23T23:15:00Z</dcterms:created>
  <dcterms:modified xsi:type="dcterms:W3CDTF">2026-09-21T00:00:00Z</dcterms:modified>
  <cp:category/>
</cp:coreProperties>
</file>