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64"/>
          <w:szCs w:val="64"/>
        </w:rPr>
        <w:t xml:space="preserve">PULL2SPEND</w:t>
      </w:r>
    </w:p>
    <w:p>
      <w:pPr>
        <w:spacing w:after="60" w:before="160"/>
        <w:jc w:val="center"/>
      </w:pPr>
      <w:r>
        <w:rPr>
          <w:b/>
          <w:bCs/>
          <w:color w:val="2E74B5"/>
          <w:sz w:val="32"/>
          <w:szCs w:val="32"/>
        </w:rPr>
        <w:t xml:space="preserve">Business Requirement Document</w:t>
      </w:r>
    </w:p>
    <w:p>
      <w:pPr>
        <w:spacing w:after="1200"/>
        <w:jc w:val="center"/>
      </w:pPr>
      <w:r>
        <w:rPr>
          <w:i/>
          <w:iCs/>
          <w:color w:val="595959"/>
          <w:sz w:val="22"/>
          <w:szCs w:val="22"/>
        </w:rPr>
        <w:t xml:space="preserve">Secure Multi-Loyalty Points Aggregation, Redemption, and Virtual Card Spend Platform</w:t>
      </w:r>
    </w:p>
    <w:tbl>
      <w:tblPr>
        <w:tblW w:type="dxa" w:w="6000"/>
        <w:jc w:val="center"/>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3800"/>
      </w:tblGrid>
      <w:tr>
        <w:tc>
          <w:tcPr>
            <w:tcW w:type="dxa" w:w="2200"/>
            <w:shd w:fill="DCE6F1" w:val="clear"/>
            <w:tcMar>
              <w:top w:type="dxa" w:w="80"/>
              <w:left w:type="dxa" w:w="100"/>
              <w:bottom w:type="dxa" w:w="80"/>
              <w:right w:type="dxa" w:w="100"/>
            </w:tcMar>
          </w:tcPr>
          <w:p>
            <w:r>
              <w:rPr>
                <w:b/>
                <w:bCs/>
                <w:sz w:val="20"/>
                <w:szCs w:val="20"/>
              </w:rPr>
              <w:t xml:space="preserve">Document Title</w:t>
            </w:r>
          </w:p>
        </w:tc>
        <w:tc>
          <w:tcPr>
            <w:tcW w:type="dxa" w:w="3800"/>
            <w:tcMar>
              <w:top w:type="dxa" w:w="80"/>
              <w:left w:type="dxa" w:w="100"/>
              <w:bottom w:type="dxa" w:w="80"/>
              <w:right w:type="dxa" w:w="100"/>
            </w:tcMar>
          </w:tcPr>
          <w:p>
            <w:r>
              <w:rPr>
                <w:sz w:val="20"/>
                <w:szCs w:val="20"/>
              </w:rPr>
              <w:t xml:space="preserve">Pull2Spend – Business Requirement Document (BRD)</w:t>
            </w:r>
          </w:p>
        </w:tc>
      </w:tr>
      <w:tr>
        <w:tc>
          <w:tcPr>
            <w:tcW w:type="dxa" w:w="2200"/>
            <w:shd w:fill="DCE6F1" w:val="clear"/>
            <w:tcMar>
              <w:top w:type="dxa" w:w="80"/>
              <w:left w:type="dxa" w:w="100"/>
              <w:bottom w:type="dxa" w:w="80"/>
              <w:right w:type="dxa" w:w="100"/>
            </w:tcMar>
          </w:tcPr>
          <w:p>
            <w:r>
              <w:rPr>
                <w:b/>
                <w:bCs/>
                <w:sz w:val="20"/>
                <w:szCs w:val="20"/>
              </w:rPr>
              <w:t xml:space="preserve">Project Name</w:t>
            </w:r>
          </w:p>
        </w:tc>
        <w:tc>
          <w:tcPr>
            <w:tcW w:type="dxa" w:w="3800"/>
            <w:tcMar>
              <w:top w:type="dxa" w:w="80"/>
              <w:left w:type="dxa" w:w="100"/>
              <w:bottom w:type="dxa" w:w="80"/>
              <w:right w:type="dxa" w:w="100"/>
            </w:tcMar>
          </w:tcPr>
          <w:p>
            <w:r>
              <w:rPr>
                <w:sz w:val="20"/>
                <w:szCs w:val="20"/>
              </w:rPr>
              <w:t xml:space="preserve">Pull2Spend</w:t>
            </w:r>
          </w:p>
        </w:tc>
      </w:tr>
      <w:tr>
        <w:tc>
          <w:tcPr>
            <w:tcW w:type="dxa" w:w="2200"/>
            <w:shd w:fill="DCE6F1" w:val="clear"/>
            <w:tcMar>
              <w:top w:type="dxa" w:w="80"/>
              <w:left w:type="dxa" w:w="100"/>
              <w:bottom w:type="dxa" w:w="80"/>
              <w:right w:type="dxa" w:w="100"/>
            </w:tcMar>
          </w:tcPr>
          <w:p>
            <w:r>
              <w:rPr>
                <w:b/>
                <w:bCs/>
                <w:sz w:val="20"/>
                <w:szCs w:val="20"/>
              </w:rPr>
              <w:t xml:space="preserve">Prepared For</w:t>
            </w:r>
          </w:p>
        </w:tc>
        <w:tc>
          <w:tcPr>
            <w:tcW w:type="dxa" w:w="3800"/>
            <w:tcMar>
              <w:top w:type="dxa" w:w="80"/>
              <w:left w:type="dxa" w:w="100"/>
              <w:bottom w:type="dxa" w:w="80"/>
              <w:right w:type="dxa" w:w="100"/>
            </w:tcMar>
          </w:tcPr>
          <w:p>
            <w:r>
              <w:rPr>
                <w:sz w:val="20"/>
                <w:szCs w:val="20"/>
              </w:rPr>
              <w:t xml:space="preserve">Bankole (Project Owner)</w:t>
            </w:r>
          </w:p>
        </w:tc>
      </w:tr>
      <w:tr>
        <w:tc>
          <w:tcPr>
            <w:tcW w:type="dxa" w:w="2200"/>
            <w:shd w:fill="DCE6F1" w:val="clear"/>
            <w:tcMar>
              <w:top w:type="dxa" w:w="80"/>
              <w:left w:type="dxa" w:w="100"/>
              <w:bottom w:type="dxa" w:w="80"/>
              <w:right w:type="dxa" w:w="100"/>
            </w:tcMar>
          </w:tcPr>
          <w:p>
            <w:r>
              <w:rPr>
                <w:b/>
                <w:bCs/>
                <w:sz w:val="20"/>
                <w:szCs w:val="20"/>
              </w:rPr>
              <w:t xml:space="preserve">Prepared By</w:t>
            </w:r>
          </w:p>
        </w:tc>
        <w:tc>
          <w:tcPr>
            <w:tcW w:type="dxa" w:w="3800"/>
            <w:tcMar>
              <w:top w:type="dxa" w:w="80"/>
              <w:left w:type="dxa" w:w="100"/>
              <w:bottom w:type="dxa" w:w="80"/>
              <w:right w:type="dxa" w:w="100"/>
            </w:tcMar>
          </w:tcPr>
          <w:p>
            <w:r>
              <w:rPr>
                <w:sz w:val="20"/>
                <w:szCs w:val="20"/>
              </w:rPr>
              <w:t xml:space="preserve">Product &amp; Business Analysis (Draft)</w:t>
            </w:r>
          </w:p>
        </w:tc>
      </w:tr>
      <w:tr>
        <w:tc>
          <w:tcPr>
            <w:tcW w:type="dxa" w:w="2200"/>
            <w:shd w:fill="DCE6F1" w:val="clear"/>
            <w:tcMar>
              <w:top w:type="dxa" w:w="80"/>
              <w:left w:type="dxa" w:w="100"/>
              <w:bottom w:type="dxa" w:w="80"/>
              <w:right w:type="dxa" w:w="100"/>
            </w:tcMar>
          </w:tcPr>
          <w:p>
            <w:r>
              <w:rPr>
                <w:b/>
                <w:bCs/>
                <w:sz w:val="20"/>
                <w:szCs w:val="20"/>
              </w:rPr>
              <w:t xml:space="preserve">Document Status</w:t>
            </w:r>
          </w:p>
        </w:tc>
        <w:tc>
          <w:tcPr>
            <w:tcW w:type="dxa" w:w="3800"/>
            <w:tcMar>
              <w:top w:type="dxa" w:w="80"/>
              <w:left w:type="dxa" w:w="100"/>
              <w:bottom w:type="dxa" w:w="80"/>
              <w:right w:type="dxa" w:w="100"/>
            </w:tcMar>
          </w:tcPr>
          <w:p>
            <w:r>
              <w:rPr>
                <w:sz w:val="20"/>
                <w:szCs w:val="20"/>
              </w:rPr>
              <w:t xml:space="preserve">Draft v1.0 – For Review</w:t>
            </w:r>
          </w:p>
        </w:tc>
      </w:tr>
      <w:tr>
        <w:tc>
          <w:tcPr>
            <w:tcW w:type="dxa" w:w="2200"/>
            <w:shd w:fill="DCE6F1" w:val="clear"/>
            <w:tcMar>
              <w:top w:type="dxa" w:w="80"/>
              <w:left w:type="dxa" w:w="100"/>
              <w:bottom w:type="dxa" w:w="80"/>
              <w:right w:type="dxa" w:w="100"/>
            </w:tcMar>
          </w:tcPr>
          <w:p>
            <w:r>
              <w:rPr>
                <w:b/>
                <w:bCs/>
                <w:sz w:val="20"/>
                <w:szCs w:val="20"/>
              </w:rPr>
              <w:t xml:space="preserve">Date</w:t>
            </w:r>
          </w:p>
        </w:tc>
        <w:tc>
          <w:tcPr>
            <w:tcW w:type="dxa" w:w="3800"/>
            <w:tcMar>
              <w:top w:type="dxa" w:w="80"/>
              <w:left w:type="dxa" w:w="100"/>
              <w:bottom w:type="dxa" w:w="80"/>
              <w:right w:type="dxa" w:w="100"/>
            </w:tcMar>
          </w:tcPr>
          <w:p>
            <w:r>
              <w:rPr>
                <w:sz w:val="20"/>
                <w:szCs w:val="20"/>
              </w:rPr>
              <w:t xml:space="preserve">11 August 2026</w:t>
            </w:r>
          </w:p>
        </w:tc>
      </w:tr>
      <w:tr>
        <w:tc>
          <w:tcPr>
            <w:tcW w:type="dxa" w:w="2200"/>
            <w:shd w:fill="DCE6F1" w:val="clear"/>
            <w:tcMar>
              <w:top w:type="dxa" w:w="80"/>
              <w:left w:type="dxa" w:w="100"/>
              <w:bottom w:type="dxa" w:w="80"/>
              <w:right w:type="dxa" w:w="100"/>
            </w:tcMar>
          </w:tcPr>
          <w:p>
            <w:r>
              <w:rPr>
                <w:b/>
                <w:bCs/>
                <w:sz w:val="20"/>
                <w:szCs w:val="20"/>
              </w:rPr>
              <w:t xml:space="preserve">Classification</w:t>
            </w:r>
          </w:p>
        </w:tc>
        <w:tc>
          <w:tcPr>
            <w:tcW w:type="dxa" w:w="3800"/>
            <w:tcMar>
              <w:top w:type="dxa" w:w="80"/>
              <w:left w:type="dxa" w:w="100"/>
              <w:bottom w:type="dxa" w:w="80"/>
              <w:right w:type="dxa" w:w="100"/>
            </w:tcMar>
          </w:tcPr>
          <w:p>
            <w:r>
              <w:rPr>
                <w:sz w:val="20"/>
                <w:szCs w:val="20"/>
              </w:rPr>
              <w:t xml:space="preserve">Confidential – Personal Project</w:t>
            </w:r>
          </w:p>
        </w:tc>
      </w:tr>
      <w:tr>
        <w:tc>
          <w:tcPr>
            <w:tcW w:type="dxa" w:w="2200"/>
            <w:shd w:fill="DCE6F1" w:val="clear"/>
            <w:tcMar>
              <w:top w:type="dxa" w:w="80"/>
              <w:left w:type="dxa" w:w="100"/>
              <w:bottom w:type="dxa" w:w="80"/>
              <w:right w:type="dxa" w:w="100"/>
            </w:tcMar>
          </w:tcPr>
          <w:p>
            <w:r>
              <w:rPr>
                <w:b/>
                <w:bCs/>
                <w:sz w:val="20"/>
                <w:szCs w:val="20"/>
              </w:rPr>
              <w:t xml:space="preserve">Primary Regulatory Scope</w:t>
            </w:r>
          </w:p>
        </w:tc>
        <w:tc>
          <w:tcPr>
            <w:tcW w:type="dxa" w:w="3800"/>
            <w:tcMar>
              <w:top w:type="dxa" w:w="80"/>
              <w:left w:type="dxa" w:w="100"/>
              <w:bottom w:type="dxa" w:w="80"/>
              <w:right w:type="dxa" w:w="100"/>
            </w:tcMar>
          </w:tcPr>
          <w:p>
            <w:r>
              <w:rPr>
                <w:sz w:val="20"/>
                <w:szCs w:val="20"/>
              </w:rPr>
              <w:t xml:space="preserve">State of Qatar / GCC (with global card-scheme standards)</w:t>
            </w:r>
          </w:p>
        </w:tc>
      </w:tr>
    </w:tbl>
    <w:p>
      <w:r>
        <w:br w:type="page"/>
      </w:r>
    </w:p>
    <w:p>
      <w:pPr>
        <w:pStyle w:val="Heading1"/>
        <w:spacing w:after="160" w:before="360"/>
      </w:pPr>
      <w:r>
        <w:t xml:space="preserve">Document Control</w:t>
      </w:r>
    </w:p>
    <w:p>
      <w:pPr>
        <w:pStyle w:val="Heading2"/>
        <w:spacing w:after="120" w:before="280"/>
      </w:pPr>
      <w:r>
        <w:t xml:space="preserve">Version History</w:t>
      </w:r>
    </w:p>
    <w:tbl>
      <w:tblPr>
        <w:tblW w:type="dxa" w:w="10000"/>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1800"/>
        <w:gridCol w:w="2600"/>
        <w:gridCol w:w="4100"/>
      </w:tblGrid>
      <w:tr>
        <w:trPr>
          <w:tblHeader/>
        </w:trPr>
        <w:tc>
          <w:tcPr>
            <w:tcW w:type="dxa" w:w="1500"/>
            <w:shd w:fill="1F3864" w:val="clear"/>
            <w:tcMar>
              <w:top w:type="dxa" w:w="80"/>
              <w:left w:type="dxa" w:w="100"/>
              <w:bottom w:type="dxa" w:w="80"/>
              <w:right w:type="dxa" w:w="100"/>
            </w:tcMar>
            <w:vAlign w:val="center"/>
          </w:tcPr>
          <w:p>
            <w:pPr>
              <w:spacing w:after="0" w:line="260"/>
            </w:pPr>
            <w:r>
              <w:rPr>
                <w:b/>
                <w:bCs/>
                <w:color w:val="FFFFFF"/>
                <w:sz w:val="20"/>
                <w:szCs w:val="20"/>
              </w:rPr>
              <w:t xml:space="preserve">Version</w:t>
            </w:r>
          </w:p>
        </w:tc>
        <w:tc>
          <w:tcPr>
            <w:tcW w:type="dxa" w:w="1800"/>
            <w:shd w:fill="1F3864" w:val="clear"/>
            <w:tcMar>
              <w:top w:type="dxa" w:w="80"/>
              <w:left w:type="dxa" w:w="100"/>
              <w:bottom w:type="dxa" w:w="80"/>
              <w:right w:type="dxa" w:w="100"/>
            </w:tcMar>
            <w:vAlign w:val="center"/>
          </w:tcPr>
          <w:p>
            <w:pPr>
              <w:spacing w:after="0" w:line="260"/>
            </w:pPr>
            <w:r>
              <w:rPr>
                <w:b/>
                <w:bCs/>
                <w:color w:val="FFFFFF"/>
                <w:sz w:val="20"/>
                <w:szCs w:val="20"/>
              </w:rPr>
              <w:t xml:space="preserve">Date</w:t>
            </w:r>
          </w:p>
        </w:tc>
        <w:tc>
          <w:tcPr>
            <w:tcW w:type="dxa" w:w="2600"/>
            <w:shd w:fill="1F3864" w:val="clear"/>
            <w:tcMar>
              <w:top w:type="dxa" w:w="80"/>
              <w:left w:type="dxa" w:w="100"/>
              <w:bottom w:type="dxa" w:w="80"/>
              <w:right w:type="dxa" w:w="100"/>
            </w:tcMar>
            <w:vAlign w:val="center"/>
          </w:tcPr>
          <w:p>
            <w:pPr>
              <w:spacing w:after="0" w:line="260"/>
            </w:pPr>
            <w:r>
              <w:rPr>
                <w:b/>
                <w:bCs/>
                <w:color w:val="FFFFFF"/>
                <w:sz w:val="20"/>
                <w:szCs w:val="20"/>
              </w:rPr>
              <w:t xml:space="preserve">Author</w:t>
            </w:r>
          </w:p>
        </w:tc>
        <w:tc>
          <w:tcPr>
            <w:tcW w:type="dxa" w:w="4100"/>
            <w:shd w:fill="1F3864" w:val="clear"/>
            <w:tcMar>
              <w:top w:type="dxa" w:w="80"/>
              <w:left w:type="dxa" w:w="100"/>
              <w:bottom w:type="dxa" w:w="80"/>
              <w:right w:type="dxa" w:w="100"/>
            </w:tcMar>
            <w:vAlign w:val="center"/>
          </w:tcPr>
          <w:p>
            <w:pPr>
              <w:spacing w:after="0" w:line="260"/>
            </w:pPr>
            <w:r>
              <w:rPr>
                <w:b/>
                <w:bCs/>
                <w:color w:val="FFFFFF"/>
                <w:sz w:val="20"/>
                <w:szCs w:val="20"/>
              </w:rPr>
              <w:t xml:space="preserve">Description</w:t>
            </w:r>
          </w:p>
        </w:tc>
      </w:tr>
      <w:tr>
        <w:trPr>
          <w:tblHeader w:val="false"/>
        </w:trPr>
        <w:tc>
          <w:tcPr>
            <w:tcW w:type="dxa" w:w="1500"/>
            <w:tcMar>
              <w:top w:type="dxa" w:w="80"/>
              <w:left w:type="dxa" w:w="100"/>
              <w:bottom w:type="dxa" w:w="80"/>
              <w:right w:type="dxa" w:w="100"/>
            </w:tcMar>
            <w:vAlign w:val="center"/>
          </w:tcPr>
          <w:p>
            <w:pPr>
              <w:spacing w:after="0" w:line="260"/>
            </w:pPr>
            <w:r>
              <w:rPr>
                <w:b w:val="false"/>
                <w:bCs w:val="false"/>
                <w:color w:val="000000"/>
                <w:sz w:val="20"/>
                <w:szCs w:val="20"/>
              </w:rPr>
              <w:t xml:space="preserve">0.1</w:t>
            </w:r>
          </w:p>
        </w:tc>
        <w:tc>
          <w:tcPr>
            <w:tcW w:type="dxa" w:w="1800"/>
            <w:tcMar>
              <w:top w:type="dxa" w:w="80"/>
              <w:left w:type="dxa" w:w="100"/>
              <w:bottom w:type="dxa" w:w="80"/>
              <w:right w:type="dxa" w:w="100"/>
            </w:tcMar>
            <w:vAlign w:val="center"/>
          </w:tcPr>
          <w:p>
            <w:pPr>
              <w:spacing w:after="0" w:line="260"/>
            </w:pPr>
            <w:r>
              <w:rPr>
                <w:b w:val="false"/>
                <w:bCs w:val="false"/>
                <w:color w:val="000000"/>
                <w:sz w:val="20"/>
                <w:szCs w:val="20"/>
              </w:rPr>
              <w:t xml:space="preserve">11 Aug 2026</w:t>
            </w:r>
          </w:p>
        </w:tc>
        <w:tc>
          <w:tcPr>
            <w:tcW w:type="dxa" w:w="2600"/>
            <w:tcMar>
              <w:top w:type="dxa" w:w="80"/>
              <w:left w:type="dxa" w:w="100"/>
              <w:bottom w:type="dxa" w:w="80"/>
              <w:right w:type="dxa" w:w="100"/>
            </w:tcMar>
            <w:vAlign w:val="center"/>
          </w:tcPr>
          <w:p>
            <w:pPr>
              <w:spacing w:after="0" w:line="260"/>
            </w:pPr>
            <w:r>
              <w:rPr>
                <w:b w:val="false"/>
                <w:bCs w:val="false"/>
                <w:color w:val="000000"/>
                <w:sz w:val="20"/>
                <w:szCs w:val="20"/>
              </w:rPr>
              <w:t xml:space="preserve">Product/BA (Draft)</w:t>
            </w:r>
          </w:p>
        </w:tc>
        <w:tc>
          <w:tcPr>
            <w:tcW w:type="dxa" w:w="4100"/>
            <w:tcMar>
              <w:top w:type="dxa" w:w="80"/>
              <w:left w:type="dxa" w:w="100"/>
              <w:bottom w:type="dxa" w:w="80"/>
              <w:right w:type="dxa" w:w="100"/>
            </w:tcMar>
            <w:vAlign w:val="center"/>
          </w:tcPr>
          <w:p>
            <w:pPr>
              <w:spacing w:after="0" w:line="260"/>
            </w:pPr>
            <w:r>
              <w:rPr>
                <w:b w:val="false"/>
                <w:bCs w:val="false"/>
                <w:color w:val="000000"/>
                <w:sz w:val="20"/>
                <w:szCs w:val="20"/>
              </w:rPr>
              <w:t xml:space="preserve">Initial draft compiled from project owner's requirements and vision</w:t>
            </w:r>
          </w:p>
        </w:tc>
      </w:tr>
      <w:tr>
        <w:trPr>
          <w:tblHeader w:val="false"/>
        </w:trPr>
        <w:tc>
          <w:tcPr>
            <w:tcW w:type="dxa" w:w="15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1.0</w:t>
            </w:r>
          </w:p>
        </w:tc>
        <w:tc>
          <w:tcPr>
            <w:tcW w:type="dxa" w:w="1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11 Aug 2026</w:t>
            </w:r>
          </w:p>
        </w:tc>
        <w:tc>
          <w:tcPr>
            <w:tcW w:type="dxa" w:w="2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Product/BA (Draft)</w:t>
            </w:r>
          </w:p>
        </w:tc>
        <w:tc>
          <w:tcPr>
            <w:tcW w:type="dxa" w:w="4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First complete draft circulated for owner review</w:t>
            </w:r>
          </w:p>
        </w:tc>
      </w:tr>
    </w:tbl>
    <w:p>
      <w:pPr>
        <w:spacing w:after="200"/>
      </w:pPr>
    </w:p>
    <w:p>
      <w:pPr>
        <w:pStyle w:val="Heading2"/>
        <w:spacing w:after="120" w:before="280"/>
      </w:pPr>
      <w:r>
        <w:t xml:space="preserve">Distribution</w:t>
      </w:r>
    </w:p>
    <w:tbl>
      <w:tblPr>
        <w:tblW w:type="dxa" w:w="100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3500"/>
        <w:gridCol w:w="3500"/>
      </w:tblGrid>
      <w:tr>
        <w:trPr>
          <w:tblHeader/>
        </w:trPr>
        <w:tc>
          <w:tcPr>
            <w:tcW w:type="dxa" w:w="3000"/>
            <w:shd w:fill="1F3864" w:val="clear"/>
            <w:tcMar>
              <w:top w:type="dxa" w:w="80"/>
              <w:left w:type="dxa" w:w="100"/>
              <w:bottom w:type="dxa" w:w="80"/>
              <w:right w:type="dxa" w:w="100"/>
            </w:tcMar>
            <w:vAlign w:val="center"/>
          </w:tcPr>
          <w:p>
            <w:pPr>
              <w:spacing w:after="0" w:line="260"/>
            </w:pPr>
            <w:r>
              <w:rPr>
                <w:b/>
                <w:bCs/>
                <w:color w:val="FFFFFF"/>
                <w:sz w:val="20"/>
                <w:szCs w:val="20"/>
              </w:rPr>
              <w:t xml:space="preserve">Name</w:t>
            </w:r>
          </w:p>
        </w:tc>
        <w:tc>
          <w:tcPr>
            <w:tcW w:type="dxa" w:w="3500"/>
            <w:shd w:fill="1F3864" w:val="clear"/>
            <w:tcMar>
              <w:top w:type="dxa" w:w="80"/>
              <w:left w:type="dxa" w:w="100"/>
              <w:bottom w:type="dxa" w:w="80"/>
              <w:right w:type="dxa" w:w="100"/>
            </w:tcMar>
            <w:vAlign w:val="center"/>
          </w:tcPr>
          <w:p>
            <w:pPr>
              <w:spacing w:after="0" w:line="260"/>
            </w:pPr>
            <w:r>
              <w:rPr>
                <w:b/>
                <w:bCs/>
                <w:color w:val="FFFFFF"/>
                <w:sz w:val="20"/>
                <w:szCs w:val="20"/>
              </w:rPr>
              <w:t xml:space="preserve">Role</w:t>
            </w:r>
          </w:p>
        </w:tc>
        <w:tc>
          <w:tcPr>
            <w:tcW w:type="dxa" w:w="3500"/>
            <w:shd w:fill="1F3864" w:val="clear"/>
            <w:tcMar>
              <w:top w:type="dxa" w:w="80"/>
              <w:left w:type="dxa" w:w="100"/>
              <w:bottom w:type="dxa" w:w="80"/>
              <w:right w:type="dxa" w:w="100"/>
            </w:tcMar>
            <w:vAlign w:val="center"/>
          </w:tcPr>
          <w:p>
            <w:pPr>
              <w:spacing w:after="0" w:line="260"/>
            </w:pPr>
            <w:r>
              <w:rPr>
                <w:b/>
                <w:bCs/>
                <w:color w:val="FFFFFF"/>
                <w:sz w:val="20"/>
                <w:szCs w:val="20"/>
              </w:rPr>
              <w:t xml:space="preserve">Action Required</w:t>
            </w:r>
          </w:p>
        </w:tc>
      </w:tr>
      <w:tr>
        <w:trPr>
          <w:tblHeader w:val="false"/>
        </w:trPr>
        <w:tc>
          <w:tcPr>
            <w:tcW w:type="dxa" w:w="3000"/>
            <w:tcMar>
              <w:top w:type="dxa" w:w="80"/>
              <w:left w:type="dxa" w:w="100"/>
              <w:bottom w:type="dxa" w:w="80"/>
              <w:right w:type="dxa" w:w="100"/>
            </w:tcMar>
            <w:vAlign w:val="center"/>
          </w:tcPr>
          <w:p>
            <w:pPr>
              <w:spacing w:after="0" w:line="260"/>
            </w:pPr>
            <w:r>
              <w:rPr>
                <w:b w:val="false"/>
                <w:bCs w:val="false"/>
                <w:color w:val="000000"/>
                <w:sz w:val="20"/>
                <w:szCs w:val="20"/>
              </w:rPr>
              <w:t xml:space="preserve">Bankole</w:t>
            </w:r>
          </w:p>
        </w:tc>
        <w:tc>
          <w:tcPr>
            <w:tcW w:type="dxa" w:w="3500"/>
            <w:tcMar>
              <w:top w:type="dxa" w:w="80"/>
              <w:left w:type="dxa" w:w="100"/>
              <w:bottom w:type="dxa" w:w="80"/>
              <w:right w:type="dxa" w:w="100"/>
            </w:tcMar>
            <w:vAlign w:val="center"/>
          </w:tcPr>
          <w:p>
            <w:pPr>
              <w:spacing w:after="0" w:line="260"/>
            </w:pPr>
            <w:r>
              <w:rPr>
                <w:b w:val="false"/>
                <w:bCs w:val="false"/>
                <w:color w:val="000000"/>
                <w:sz w:val="20"/>
                <w:szCs w:val="20"/>
              </w:rPr>
              <w:t xml:space="preserve">Project Owner / Sponsor</w:t>
            </w:r>
          </w:p>
        </w:tc>
        <w:tc>
          <w:tcPr>
            <w:tcW w:type="dxa" w:w="3500"/>
            <w:tcMar>
              <w:top w:type="dxa" w:w="80"/>
              <w:left w:type="dxa" w:w="100"/>
              <w:bottom w:type="dxa" w:w="80"/>
              <w:right w:type="dxa" w:w="100"/>
            </w:tcMar>
            <w:vAlign w:val="center"/>
          </w:tcPr>
          <w:p>
            <w:pPr>
              <w:spacing w:after="0" w:line="260"/>
            </w:pPr>
            <w:r>
              <w:rPr>
                <w:b w:val="false"/>
                <w:bCs w:val="false"/>
                <w:color w:val="000000"/>
                <w:sz w:val="20"/>
                <w:szCs w:val="20"/>
              </w:rPr>
              <w:t xml:space="preserve">Review and approve</w:t>
            </w:r>
          </w:p>
        </w:tc>
      </w:tr>
    </w:tbl>
    <w:p>
      <w:pPr>
        <w:spacing w:after="300"/>
      </w:pPr>
    </w:p>
    <w:p>
      <w:pPr>
        <w:pStyle w:val="Heading2"/>
        <w:spacing w:after="120" w:before="28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Executive Summary</w:t>
      </w:r>
    </w:p>
    <w:p>
      <w:pPr>
        <w:spacing w:after="160" w:line="276"/>
      </w:pPr>
      <w:r>
        <w:t xml:space="preserve">Pull2Spend is a proposed secure mobile application (iOS and Android) that lets a consumer connect their loyalty and rewards program memberships from multiple, unrelated loyalty issuers (airlines, retailers, banks, telecoms, hotels, fuel/petrol stations, supermarkets, and similar programs) into a single view, see the real-time point value held in each program, and convert one or more of those point balances into a single monetary balance held in an in-app wallet. The wallet balance is then used to fund a virtual payment card that the user can spend anywhere the card scheme (Visa/Mastercard/mada-equivalent network) is accepted, subject to the rules of that network.</w:t>
      </w:r>
    </w:p>
    <w:p>
      <w:pPr>
        <w:spacing w:after="160" w:line="276"/>
      </w:pPr>
      <w:r>
        <w:t xml:space="preserve">The platform sits between loyalty program operators ("Loyalty Partners" or "Merchants") and end users, and monetizes the conversion event through a configurable revenue share that is split between Pull2Spend (the platform) and each Loyalty Partner. The platform also produces settlement files and reconciliation reports so that funds owed to Loyalty Partners (or collected from them, depending on the commercial model) can be settled on a periodic, auditable basis.</w:t>
      </w:r>
    </w:p>
    <w:p>
      <w:pPr>
        <w:spacing w:after="160" w:line="276"/>
      </w:pPr>
      <w:r>
        <w:t xml:space="preserve">This document defines the business requirements for the initial (MVP) release and flags recommended enhancements that make the product more robust, easier to use, and more secure, without expanding the core value proposition described by the project owner.</w:t>
      </w:r>
    </w:p>
    <w:p>
      <w:pPr>
        <w:pStyle w:val="Heading1"/>
        <w:spacing w:after="160" w:before="360"/>
      </w:pPr>
      <w:r>
        <w:t xml:space="preserve">2. Business Background and Objectives</w:t>
      </w:r>
    </w:p>
    <w:p>
      <w:pPr>
        <w:pStyle w:val="Heading2"/>
        <w:spacing w:after="120" w:before="280"/>
      </w:pPr>
      <w:r>
        <w:t xml:space="preserve">2.1 Problem Statement</w:t>
      </w:r>
    </w:p>
    <w:p>
      <w:pPr>
        <w:spacing w:after="160" w:line="276"/>
      </w:pPr>
      <w:r>
        <w:t xml:space="preserve">Consumers routinely accumulate loyalty points and miles across many unrelated programs. Individually, small point balances are often too small to redeem for anything meaningful, are difficult to track, expire unused, and cannot be combined across programs or spent like cash. Loyalty program operators, in turn, carry unredeemed-point liabilities on their books and have limited low-friction channels to let members realize value from small or dormant balances.</w:t>
      </w:r>
    </w:p>
    <w:p>
      <w:pPr>
        <w:pStyle w:val="Heading2"/>
        <w:spacing w:after="120" w:before="280"/>
      </w:pPr>
      <w:r>
        <w:t xml:space="preserve">2.2 Business Objectives</w:t>
      </w:r>
    </w:p>
    <w:p>
      <w:pPr>
        <w:pStyle w:val="ListParagraph"/>
        <w:numPr>
          <w:ilvl w:val="0"/>
          <w:numId w:val="2"/>
        </w:numPr>
        <w:spacing w:after="80" w:line="276"/>
      </w:pPr>
      <w:r>
        <w:t xml:space="preserve">Give consumers a single, secure place to see the real, up-to-date value of all their loyalty memberships.</w:t>
      </w:r>
    </w:p>
    <w:p>
      <w:pPr>
        <w:pStyle w:val="ListParagraph"/>
        <w:numPr>
          <w:ilvl w:val="0"/>
          <w:numId w:val="2"/>
        </w:numPr>
        <w:spacing w:after="80" w:line="276"/>
      </w:pPr>
      <w:r>
        <w:t xml:space="preserve">Let consumers convert points from one or several programs into a single spendable balance, removing the "stranded value" problem of small or fragmented balances.</w:t>
      </w:r>
    </w:p>
    <w:p>
      <w:pPr>
        <w:pStyle w:val="ListParagraph"/>
        <w:numPr>
          <w:ilvl w:val="0"/>
          <w:numId w:val="2"/>
        </w:numPr>
        <w:spacing w:after="80" w:line="276"/>
      </w:pPr>
      <w:r>
        <w:t xml:space="preserve">Let consumers spend that value anywhere a supported card scheme is accepted, using a virtual card issued instantly after identity verification.</w:t>
      </w:r>
    </w:p>
    <w:p>
      <w:pPr>
        <w:pStyle w:val="ListParagraph"/>
        <w:numPr>
          <w:ilvl w:val="0"/>
          <w:numId w:val="2"/>
        </w:numPr>
        <w:spacing w:after="80" w:line="276"/>
      </w:pPr>
      <w:r>
        <w:t xml:space="preserve">Create a repeatable, configurable commercial relationship with loyalty program operators based on transparent, auditable revenue share and periodic settlement.</w:t>
      </w:r>
    </w:p>
    <w:p>
      <w:pPr>
        <w:pStyle w:val="ListParagraph"/>
        <w:numPr>
          <w:ilvl w:val="0"/>
          <w:numId w:val="2"/>
        </w:numPr>
        <w:spacing w:after="80" w:line="276"/>
      </w:pPr>
      <w:r>
        <w:t xml:space="preserve">Operate the platform to bank-grade security and regulatory standards suitable for a fintech-adjacent payments product operating out of Qatar/GCC.</w:t>
      </w:r>
    </w:p>
    <w:p>
      <w:pPr>
        <w:pStyle w:val="Heading2"/>
        <w:spacing w:after="120" w:before="280"/>
      </w:pPr>
      <w:r>
        <w:t xml:space="preserve">2.3 Success Criteria (indicative — to be finalized with the owner)</w:t>
      </w:r>
    </w:p>
    <w:p>
      <w:pPr>
        <w:pStyle w:val="ListParagraph"/>
        <w:numPr>
          <w:ilvl w:val="0"/>
          <w:numId w:val="2"/>
        </w:numPr>
        <w:spacing w:after="80" w:line="276"/>
      </w:pPr>
      <w:r>
        <w:t xml:space="preserve">Time to onboard a new Loyalty Partner integration reduced through a configuration-driven connector framework rather than one-off custom code per partner.</w:t>
      </w:r>
    </w:p>
    <w:p>
      <w:pPr>
        <w:pStyle w:val="ListParagraph"/>
        <w:numPr>
          <w:ilvl w:val="0"/>
          <w:numId w:val="2"/>
        </w:numPr>
        <w:spacing w:after="80" w:line="276"/>
      </w:pPr>
      <w:r>
        <w:t xml:space="preserve">Median time from "user initiates redemption" to "wallet credited" under an agreed target (e.g., under 60 seconds for real-time APIs; longer for batch/file-based partners, clearly communicated to the user).</w:t>
      </w:r>
    </w:p>
    <w:p>
      <w:pPr>
        <w:pStyle w:val="ListParagraph"/>
        <w:numPr>
          <w:ilvl w:val="0"/>
          <w:numId w:val="2"/>
        </w:numPr>
        <w:spacing w:after="80" w:line="276"/>
      </w:pPr>
      <w:r>
        <w:t xml:space="preserve">Zero tolerance for point-value or money-value discrepancies between a Loyalty Partner's system, the Pull2Spend ledger, and the card issuer/processor ledger at end of each settlement cycle.</w:t>
      </w:r>
    </w:p>
    <w:p>
      <w:pPr>
        <w:pStyle w:val="ListParagraph"/>
        <w:numPr>
          <w:ilvl w:val="0"/>
          <w:numId w:val="2"/>
        </w:numPr>
        <w:spacing w:after="80" w:line="276"/>
      </w:pPr>
      <w:r>
        <w:t xml:space="preserve">App Store / Google Play rating and support-ticket volume tracked from launch as a usability proxy.</w:t>
      </w:r>
    </w:p>
    <w:p>
      <w:pPr>
        <w:pStyle w:val="Heading1"/>
        <w:spacing w:after="160" w:before="360"/>
      </w:pPr>
      <w:r>
        <w:t xml:space="preserve">3. Scope</w:t>
      </w:r>
    </w:p>
    <w:p>
      <w:pPr>
        <w:pStyle w:val="Heading2"/>
        <w:spacing w:after="120" w:before="280"/>
      </w:pPr>
      <w:r>
        <w:t xml:space="preserve">3.1 In Scope (MVP and near-term)</w:t>
      </w:r>
    </w:p>
    <w:p>
      <w:pPr>
        <w:pStyle w:val="ListParagraph"/>
        <w:numPr>
          <w:ilvl w:val="0"/>
          <w:numId w:val="2"/>
        </w:numPr>
        <w:spacing w:after="80" w:line="276"/>
      </w:pPr>
      <w:r>
        <w:t xml:space="preserve">Native or cross-platform mobile application for iOS and Android.</w:t>
      </w:r>
    </w:p>
    <w:p>
      <w:pPr>
        <w:pStyle w:val="ListParagraph"/>
        <w:numPr>
          <w:ilvl w:val="0"/>
          <w:numId w:val="2"/>
        </w:numPr>
        <w:spacing w:after="80" w:line="276"/>
      </w:pPr>
      <w:r>
        <w:t xml:space="preserve">Secure user registration, authentication, and identity verification (KYC).</w:t>
      </w:r>
    </w:p>
    <w:p>
      <w:pPr>
        <w:pStyle w:val="ListParagraph"/>
        <w:numPr>
          <w:ilvl w:val="0"/>
          <w:numId w:val="2"/>
        </w:numPr>
        <w:spacing w:after="80" w:line="276"/>
      </w:pPr>
      <w:r>
        <w:t xml:space="preserve">Connector framework to link user accounts at third-party loyalty programs via API, and a fallback secure-credential-vault model for partners without a modern API (see Section 9.1).</w:t>
      </w:r>
    </w:p>
    <w:p>
      <w:pPr>
        <w:pStyle w:val="ListParagraph"/>
        <w:numPr>
          <w:ilvl w:val="0"/>
          <w:numId w:val="2"/>
        </w:numPr>
        <w:spacing w:after="80" w:line="276"/>
      </w:pPr>
      <w:r>
        <w:t xml:space="preserve">Aggregated dashboard of connected loyalty programs and their point balances, refreshed on demand and on a schedule.</w:t>
      </w:r>
    </w:p>
    <w:p>
      <w:pPr>
        <w:pStyle w:val="ListParagraph"/>
        <w:numPr>
          <w:ilvl w:val="0"/>
          <w:numId w:val="2"/>
        </w:numPr>
        <w:spacing w:after="80" w:line="276"/>
      </w:pPr>
      <w:r>
        <w:t xml:space="preserve">Redemption workflow to convert points from one or multiple programs into a single Pull2Spend wallet balance, at a defined and disclosed conversion rate.</w:t>
      </w:r>
    </w:p>
    <w:p>
      <w:pPr>
        <w:pStyle w:val="ListParagraph"/>
        <w:numPr>
          <w:ilvl w:val="0"/>
          <w:numId w:val="2"/>
        </w:numPr>
        <w:spacing w:after="80" w:line="276"/>
      </w:pPr>
      <w:r>
        <w:t xml:space="preserve">Virtual wallet holding a single-currency cash-equivalent balance per user.</w:t>
      </w:r>
    </w:p>
    <w:p>
      <w:pPr>
        <w:pStyle w:val="ListParagraph"/>
        <w:numPr>
          <w:ilvl w:val="0"/>
          <w:numId w:val="2"/>
        </w:numPr>
        <w:spacing w:after="80" w:line="276"/>
      </w:pPr>
      <w:r>
        <w:t xml:space="preserve">Automated virtual card issuance immediately after successful verification/enrollment, card funded from and capped by the wallet balance.</w:t>
      </w:r>
    </w:p>
    <w:p>
      <w:pPr>
        <w:pStyle w:val="ListParagraph"/>
        <w:numPr>
          <w:ilvl w:val="0"/>
          <w:numId w:val="2"/>
        </w:numPr>
        <w:spacing w:after="80" w:line="276"/>
      </w:pPr>
      <w:r>
        <w:t xml:space="preserve">Card lifecycle management: issue, freeze/unfreeze, top-up (via further redemption), view details (tokenized), close/re-issue.</w:t>
      </w:r>
    </w:p>
    <w:p>
      <w:pPr>
        <w:pStyle w:val="ListParagraph"/>
        <w:numPr>
          <w:ilvl w:val="0"/>
          <w:numId w:val="2"/>
        </w:numPr>
        <w:spacing w:after="80" w:line="276"/>
      </w:pPr>
      <w:r>
        <w:t xml:space="preserve">Settlement file generation to/from Loyalty Partners on a configurable schedule (date/time-driven) and settlement verification/reconciliation reporting.</w:t>
      </w:r>
    </w:p>
    <w:p>
      <w:pPr>
        <w:pStyle w:val="ListParagraph"/>
        <w:numPr>
          <w:ilvl w:val="0"/>
          <w:numId w:val="2"/>
        </w:numPr>
        <w:spacing w:after="80" w:line="276"/>
      </w:pPr>
      <w:r>
        <w:t xml:space="preserve">Revenue share configuration per Loyalty Partner (percentage and/or flat fee) and a running ledger of platform vs. partner amounts per redemption.</w:t>
      </w:r>
    </w:p>
    <w:p>
      <w:pPr>
        <w:pStyle w:val="ListParagraph"/>
        <w:numPr>
          <w:ilvl w:val="0"/>
          <w:numId w:val="2"/>
        </w:numPr>
        <w:spacing w:after="80" w:line="276"/>
      </w:pPr>
      <w:r>
        <w:t xml:space="preserve">Back-office (admin) web portal: user management, transaction and case management, audit logs, configuration of loyalty connectors and revenue share, reporting and analytics dashboards.</w:t>
      </w:r>
    </w:p>
    <w:p>
      <w:pPr>
        <w:pStyle w:val="ListParagraph"/>
        <w:numPr>
          <w:ilvl w:val="0"/>
          <w:numId w:val="2"/>
        </w:numPr>
        <w:spacing w:after="80" w:line="276"/>
      </w:pPr>
      <w:r>
        <w:t xml:space="preserve">Core security, compliance, and audit capabilities described in Section 10.</w:t>
      </w:r>
    </w:p>
    <w:p>
      <w:pPr>
        <w:pStyle w:val="Heading2"/>
        <w:spacing w:after="120" w:before="280"/>
      </w:pPr>
      <w:r>
        <w:t xml:space="preserve">3.2 Out of Scope (MVP) / Candidate Phase 2</w:t>
      </w:r>
    </w:p>
    <w:p>
      <w:pPr>
        <w:pStyle w:val="ListParagraph"/>
        <w:numPr>
          <w:ilvl w:val="0"/>
          <w:numId w:val="2"/>
        </w:numPr>
        <w:spacing w:after="80" w:line="276"/>
      </w:pPr>
      <w:r>
        <w:t xml:space="preserve">Issuing a physical (plastic) card — MVP is virtual-card-only, added to Apple Pay / Google Pay wallets for in-store tap-to-pay.</w:t>
      </w:r>
    </w:p>
    <w:p>
      <w:pPr>
        <w:pStyle w:val="ListParagraph"/>
        <w:numPr>
          <w:ilvl w:val="0"/>
          <w:numId w:val="2"/>
        </w:numPr>
        <w:spacing w:after="80" w:line="276"/>
      </w:pPr>
      <w:r>
        <w:t xml:space="preserve">Peer-to-peer transfer of wallet balance between Pull2Spend users.</w:t>
      </w:r>
    </w:p>
    <w:p>
      <w:pPr>
        <w:pStyle w:val="ListParagraph"/>
        <w:numPr>
          <w:ilvl w:val="0"/>
          <w:numId w:val="2"/>
        </w:numPr>
        <w:spacing w:after="80" w:line="276"/>
      </w:pPr>
      <w:r>
        <w:t xml:space="preserve">Direct integration with cryptocurrency or crypto-asset loyalty/rewards schemes.</w:t>
      </w:r>
    </w:p>
    <w:p>
      <w:pPr>
        <w:pStyle w:val="ListParagraph"/>
        <w:numPr>
          <w:ilvl w:val="0"/>
          <w:numId w:val="2"/>
        </w:numPr>
        <w:spacing w:after="80" w:line="276"/>
      </w:pPr>
      <w:r>
        <w:t xml:space="preserve">Multi-currency wallets (MVP assumes a single settlement currency, e.g., QAR, with FX handled at the redemption boundary if a Loyalty Partner's points are valued in another currency).</w:t>
      </w:r>
    </w:p>
    <w:p>
      <w:pPr>
        <w:pStyle w:val="ListParagraph"/>
        <w:numPr>
          <w:ilvl w:val="0"/>
          <w:numId w:val="2"/>
        </w:numPr>
        <w:spacing w:after="80" w:line="276"/>
      </w:pPr>
      <w:r>
        <w:t xml:space="preserve">White-labelling the platform for third parties (e.g., a bank reselling Pull2Spend under its own brand).</w:t>
      </w:r>
    </w:p>
    <w:p>
      <w:pPr>
        <w:pStyle w:val="ListParagraph"/>
        <w:numPr>
          <w:ilvl w:val="0"/>
          <w:numId w:val="2"/>
        </w:numPr>
        <w:spacing w:after="80" w:line="276"/>
      </w:pPr>
      <w:r>
        <w:t xml:space="preserve">In-app secondary marketplace for buying/selling/gifting points between users.</w:t>
      </w:r>
    </w:p>
    <w:p>
      <w:pPr>
        <w:pBdr>
          <w:left w:val="single" w:color="BF8F00" w:sz="16"/>
        </w:pBdr>
        <w:shd w:fill="FFF2CC" w:val="clear"/>
        <w:spacing w:after="200" w:before="80" w:line="276"/>
        <w:ind w:left="120"/>
      </w:pPr>
      <w:r>
        <w:rPr>
          <w:b/>
          <w:bCs/>
          <w:i/>
          <w:iCs/>
          <w:sz w:val="20"/>
          <w:szCs w:val="20"/>
        </w:rPr>
        <w:t xml:space="preserve">Assumption: </w:t>
      </w:r>
      <w:r>
        <w:rPr>
          <w:i/>
          <w:iCs/>
          <w:sz w:val="20"/>
          <w:szCs w:val="20"/>
        </w:rPr>
        <w:t xml:space="preserve">Items in 3.2 are recommended exclusions to keep MVP scope achievable. Confirm with the project owner before treating any of them as permanently out of scope.</w:t>
      </w:r>
    </w:p>
    <w:p>
      <w:pPr>
        <w:pStyle w:val="Heading1"/>
        <w:spacing w:after="160" w:before="360"/>
      </w:pPr>
      <w:r>
        <w:t xml:space="preserve">4. Stakeholders and User Personas</w:t>
      </w:r>
    </w:p>
    <w:p>
      <w:pPr>
        <w:pStyle w:val="Heading2"/>
        <w:spacing w:after="120" w:before="280"/>
      </w:pPr>
      <w:r>
        <w:t xml:space="preserve">4.1 Stakeholders</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pPr>
              <w:spacing w:after="0" w:line="260"/>
            </w:pPr>
            <w:r>
              <w:rPr>
                <w:b/>
                <w:bCs/>
                <w:color w:val="FFFFFF"/>
                <w:sz w:val="20"/>
                <w:szCs w:val="20"/>
              </w:rPr>
              <w:t xml:space="preserve">Stakeholder</w:t>
            </w:r>
          </w:p>
        </w:tc>
        <w:tc>
          <w:tcPr>
            <w:tcW w:type="dxa" w:w="6300"/>
            <w:shd w:fill="1F3864" w:val="clear"/>
            <w:tcMar>
              <w:top w:type="dxa" w:w="80"/>
              <w:left w:type="dxa" w:w="100"/>
              <w:bottom w:type="dxa" w:w="80"/>
              <w:right w:type="dxa" w:w="100"/>
            </w:tcMar>
            <w:vAlign w:val="center"/>
          </w:tcPr>
          <w:p>
            <w:pPr>
              <w:spacing w:after="0" w:line="260"/>
            </w:pPr>
            <w:r>
              <w:rPr>
                <w:b/>
                <w:bCs/>
                <w:color w:val="FFFFFF"/>
                <w:sz w:val="20"/>
                <w:szCs w:val="20"/>
              </w:rPr>
              <w:t xml:space="preserve">Interest / Role</w:t>
            </w:r>
          </w:p>
        </w:tc>
      </w:tr>
      <w:tr>
        <w:trPr>
          <w:tblHeader w:val="false"/>
        </w:trPr>
        <w:tc>
          <w:tcPr>
            <w:tcW w:type="dxa" w:w="3200"/>
            <w:tcMar>
              <w:top w:type="dxa" w:w="80"/>
              <w:left w:type="dxa" w:w="100"/>
              <w:bottom w:type="dxa" w:w="80"/>
              <w:right w:type="dxa" w:w="100"/>
            </w:tcMar>
            <w:vAlign w:val="center"/>
          </w:tcPr>
          <w:p>
            <w:pPr>
              <w:spacing w:after="0" w:line="260"/>
            </w:pPr>
            <w:r>
              <w:rPr>
                <w:b w:val="false"/>
                <w:bCs w:val="false"/>
                <w:color w:val="000000"/>
                <w:sz w:val="20"/>
                <w:szCs w:val="20"/>
              </w:rPr>
              <w:t xml:space="preserve">Project Owner / Sponsor</w:t>
            </w:r>
          </w:p>
        </w:tc>
        <w:tc>
          <w:tcPr>
            <w:tcW w:type="dxa" w:w="6300"/>
            <w:tcMar>
              <w:top w:type="dxa" w:w="80"/>
              <w:left w:type="dxa" w:w="100"/>
              <w:bottom w:type="dxa" w:w="80"/>
              <w:right w:type="dxa" w:w="100"/>
            </w:tcMar>
            <w:vAlign w:val="center"/>
          </w:tcPr>
          <w:p>
            <w:pPr>
              <w:spacing w:after="0" w:line="260"/>
            </w:pPr>
            <w:r>
              <w:rPr>
                <w:b w:val="false"/>
                <w:bCs w:val="false"/>
                <w:color w:val="000000"/>
                <w:sz w:val="20"/>
                <w:szCs w:val="20"/>
              </w:rPr>
              <w:t xml:space="preserve">Defines vision, priorities, and commercial model; approves scope and budget.</w:t>
            </w:r>
          </w:p>
        </w:tc>
      </w:tr>
      <w:tr>
        <w:trPr>
          <w:tblHeader w:val="false"/>
        </w:trPr>
        <w:tc>
          <w:tcPr>
            <w:tcW w:type="dxa" w:w="32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End Users (App)</w:t>
            </w:r>
          </w:p>
        </w:tc>
        <w:tc>
          <w:tcPr>
            <w:tcW w:type="dxa" w:w="63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Consumers who connect loyalty accounts, redeem points, and spend via the virtual card.</w:t>
            </w:r>
          </w:p>
        </w:tc>
      </w:tr>
      <w:tr>
        <w:trPr>
          <w:tblHeader w:val="false"/>
        </w:trPr>
        <w:tc>
          <w:tcPr>
            <w:tcW w:type="dxa" w:w="3200"/>
            <w:tcMar>
              <w:top w:type="dxa" w:w="80"/>
              <w:left w:type="dxa" w:w="100"/>
              <w:bottom w:type="dxa" w:w="80"/>
              <w:right w:type="dxa" w:w="100"/>
            </w:tcMar>
            <w:vAlign w:val="center"/>
          </w:tcPr>
          <w:p>
            <w:pPr>
              <w:spacing w:after="0" w:line="260"/>
            </w:pPr>
            <w:r>
              <w:rPr>
                <w:b w:val="false"/>
                <w:bCs w:val="false"/>
                <w:color w:val="000000"/>
                <w:sz w:val="20"/>
                <w:szCs w:val="20"/>
              </w:rPr>
              <w:t xml:space="preserve">Loyalty Partners (Merchants)</w:t>
            </w:r>
          </w:p>
        </w:tc>
        <w:tc>
          <w:tcPr>
            <w:tcW w:type="dxa" w:w="6300"/>
            <w:tcMar>
              <w:top w:type="dxa" w:w="80"/>
              <w:left w:type="dxa" w:w="100"/>
              <w:bottom w:type="dxa" w:w="80"/>
              <w:right w:type="dxa" w:w="100"/>
            </w:tcMar>
            <w:vAlign w:val="center"/>
          </w:tcPr>
          <w:p>
            <w:pPr>
              <w:spacing w:after="0" w:line="260"/>
            </w:pPr>
            <w:r>
              <w:rPr>
                <w:b w:val="false"/>
                <w:bCs w:val="false"/>
                <w:color w:val="000000"/>
                <w:sz w:val="20"/>
                <w:szCs w:val="20"/>
              </w:rPr>
              <w:t xml:space="preserve">Third-party loyalty/rewards program operators whose point systems are connected; receive settlement and reporting.</w:t>
            </w:r>
          </w:p>
        </w:tc>
      </w:tr>
      <w:tr>
        <w:trPr>
          <w:tblHeader w:val="false"/>
        </w:trPr>
        <w:tc>
          <w:tcPr>
            <w:tcW w:type="dxa" w:w="32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Card Issuing / Processing Partner</w:t>
            </w:r>
          </w:p>
        </w:tc>
        <w:tc>
          <w:tcPr>
            <w:tcW w:type="dxa" w:w="63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Regulated entity (bank or licensed card issuer/BIN sponsor) that issues virtual cards and processes card transactions on Pull2Spend's behalf.</w:t>
            </w:r>
          </w:p>
        </w:tc>
      </w:tr>
      <w:tr>
        <w:trPr>
          <w:tblHeader w:val="false"/>
        </w:trPr>
        <w:tc>
          <w:tcPr>
            <w:tcW w:type="dxa" w:w="3200"/>
            <w:tcMar>
              <w:top w:type="dxa" w:w="80"/>
              <w:left w:type="dxa" w:w="100"/>
              <w:bottom w:type="dxa" w:w="80"/>
              <w:right w:type="dxa" w:w="100"/>
            </w:tcMar>
            <w:vAlign w:val="center"/>
          </w:tcPr>
          <w:p>
            <w:pPr>
              <w:spacing w:after="0" w:line="260"/>
            </w:pPr>
            <w:r>
              <w:rPr>
                <w:b w:val="false"/>
                <w:bCs w:val="false"/>
                <w:color w:val="000000"/>
                <w:sz w:val="20"/>
                <w:szCs w:val="20"/>
              </w:rPr>
              <w:t xml:space="preserve">Acquiring/Card Network</w:t>
            </w:r>
          </w:p>
        </w:tc>
        <w:tc>
          <w:tcPr>
            <w:tcW w:type="dxa" w:w="6300"/>
            <w:tcMar>
              <w:top w:type="dxa" w:w="80"/>
              <w:left w:type="dxa" w:w="100"/>
              <w:bottom w:type="dxa" w:w="80"/>
              <w:right w:type="dxa" w:w="100"/>
            </w:tcMar>
            <w:vAlign w:val="center"/>
          </w:tcPr>
          <w:p>
            <w:pPr>
              <w:spacing w:after="0" w:line="260"/>
            </w:pPr>
            <w:r>
              <w:rPr>
                <w:b w:val="false"/>
                <w:bCs w:val="false"/>
                <w:color w:val="000000"/>
                <w:sz w:val="20"/>
                <w:szCs w:val="20"/>
              </w:rPr>
              <w:t xml:space="preserve">Visa/Mastercard (or equivalent) whose scheme rules govern virtual card issuance and transaction processing.</w:t>
            </w:r>
          </w:p>
        </w:tc>
      </w:tr>
      <w:tr>
        <w:trPr>
          <w:tblHeader w:val="false"/>
        </w:trPr>
        <w:tc>
          <w:tcPr>
            <w:tcW w:type="dxa" w:w="32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Compliance / MLRO function</w:t>
            </w:r>
          </w:p>
        </w:tc>
        <w:tc>
          <w:tcPr>
            <w:tcW w:type="dxa" w:w="63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Owns KYC/AML program, sanctions screening, and regulatory reporting.</w:t>
            </w:r>
          </w:p>
        </w:tc>
      </w:tr>
      <w:tr>
        <w:trPr>
          <w:tblHeader w:val="false"/>
        </w:trPr>
        <w:tc>
          <w:tcPr>
            <w:tcW w:type="dxa" w:w="3200"/>
            <w:tcMar>
              <w:top w:type="dxa" w:w="80"/>
              <w:left w:type="dxa" w:w="100"/>
              <w:bottom w:type="dxa" w:w="80"/>
              <w:right w:type="dxa" w:w="100"/>
            </w:tcMar>
            <w:vAlign w:val="center"/>
          </w:tcPr>
          <w:p>
            <w:pPr>
              <w:spacing w:after="0" w:line="260"/>
            </w:pPr>
            <w:r>
              <w:rPr>
                <w:b w:val="false"/>
                <w:bCs w:val="false"/>
                <w:color w:val="000000"/>
                <w:sz w:val="20"/>
                <w:szCs w:val="20"/>
              </w:rPr>
              <w:t xml:space="preserve">Back-Office Admin / Operations</w:t>
            </w:r>
          </w:p>
        </w:tc>
        <w:tc>
          <w:tcPr>
            <w:tcW w:type="dxa" w:w="6300"/>
            <w:tcMar>
              <w:top w:type="dxa" w:w="80"/>
              <w:left w:type="dxa" w:w="100"/>
              <w:bottom w:type="dxa" w:w="80"/>
              <w:right w:type="dxa" w:w="100"/>
            </w:tcMar>
            <w:vAlign w:val="center"/>
          </w:tcPr>
          <w:p>
            <w:pPr>
              <w:spacing w:after="0" w:line="260"/>
            </w:pPr>
            <w:r>
              <w:rPr>
                <w:b w:val="false"/>
                <w:bCs w:val="false"/>
                <w:color w:val="000000"/>
                <w:sz w:val="20"/>
                <w:szCs w:val="20"/>
              </w:rPr>
              <w:t xml:space="preserve">Internal staff who monitor, support, and configure the platform via the admin portal.</w:t>
            </w:r>
          </w:p>
        </w:tc>
      </w:tr>
      <w:tr>
        <w:trPr>
          <w:tblHeader w:val="false"/>
        </w:trPr>
        <w:tc>
          <w:tcPr>
            <w:tcW w:type="dxa" w:w="32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Customer Support</w:t>
            </w:r>
          </w:p>
        </w:tc>
        <w:tc>
          <w:tcPr>
            <w:tcW w:type="dxa" w:w="63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Handles user inquiries, disputes, and failed-transaction cases.</w:t>
            </w:r>
          </w:p>
        </w:tc>
      </w:tr>
      <w:tr>
        <w:trPr>
          <w:tblHeader w:val="false"/>
        </w:trPr>
        <w:tc>
          <w:tcPr>
            <w:tcW w:type="dxa" w:w="3200"/>
            <w:tcMar>
              <w:top w:type="dxa" w:w="80"/>
              <w:left w:type="dxa" w:w="100"/>
              <w:bottom w:type="dxa" w:w="80"/>
              <w:right w:type="dxa" w:w="100"/>
            </w:tcMar>
            <w:vAlign w:val="center"/>
          </w:tcPr>
          <w:p>
            <w:pPr>
              <w:spacing w:after="0" w:line="260"/>
            </w:pPr>
            <w:r>
              <w:rPr>
                <w:b w:val="false"/>
                <w:bCs w:val="false"/>
                <w:color w:val="000000"/>
                <w:sz w:val="20"/>
                <w:szCs w:val="20"/>
              </w:rPr>
              <w:t xml:space="preserve">Regulator(s)</w:t>
            </w:r>
          </w:p>
        </w:tc>
        <w:tc>
          <w:tcPr>
            <w:tcW w:type="dxa" w:w="6300"/>
            <w:tcMar>
              <w:top w:type="dxa" w:w="80"/>
              <w:left w:type="dxa" w:w="100"/>
              <w:bottom w:type="dxa" w:w="80"/>
              <w:right w:type="dxa" w:w="100"/>
            </w:tcMar>
            <w:vAlign w:val="center"/>
          </w:tcPr>
          <w:p>
            <w:pPr>
              <w:spacing w:after="0" w:line="260"/>
            </w:pPr>
            <w:r>
              <w:rPr>
                <w:b w:val="false"/>
                <w:bCs w:val="false"/>
                <w:color w:val="000000"/>
                <w:sz w:val="20"/>
                <w:szCs w:val="20"/>
              </w:rPr>
              <w:t xml:space="preserve">Qatar Central Bank (QCB) and/or Qatar Financial Centre Regulatory Authority (QFCRA) depending on the chosen licensing route; data protection and AML authorities.</w:t>
            </w:r>
          </w:p>
        </w:tc>
      </w:tr>
    </w:tbl>
    <w:p>
      <w:pPr>
        <w:pStyle w:val="Heading2"/>
        <w:spacing w:after="120" w:before="280"/>
      </w:pPr>
      <w:r>
        <w:t xml:space="preserve">4.2 Primary Persona — "Consumer User"</w:t>
      </w:r>
    </w:p>
    <w:p>
      <w:pPr>
        <w:spacing w:after="160" w:line="276"/>
      </w:pPr>
      <w:r>
        <w:t xml:space="preserve">A smartphone-owning adult with memberships in multiple loyalty programs (e.g., airline miles, supermarket points, telecom rewards, bank credit-card points) who wants an easy way to see and use small, fragmented point balances before they expire or go unused.</w:t>
      </w:r>
    </w:p>
    <w:p>
      <w:pPr>
        <w:pStyle w:val="Heading2"/>
        <w:spacing w:after="120" w:before="280"/>
      </w:pPr>
      <w:r>
        <w:t xml:space="preserve">4.3 Secondary Persona — "Back-Office Operator"</w:t>
      </w:r>
    </w:p>
    <w:p>
      <w:pPr>
        <w:spacing w:after="160" w:line="276"/>
      </w:pPr>
      <w:r>
        <w:t xml:space="preserve">An internal operations or support employee who needs a reliable console to investigate a user's failed redemption, verify a settlement run, or check whether a specific Loyalty Partner connector is healthy.</w:t>
      </w:r>
    </w:p>
    <w:p>
      <w:pPr>
        <w:pStyle w:val="Heading2"/>
        <w:spacing w:after="120" w:before="280"/>
      </w:pPr>
      <w:r>
        <w:t xml:space="preserve">4.4 Tertiary Persona — "Loyalty Partner Account Manager"</w:t>
      </w:r>
    </w:p>
    <w:p>
      <w:pPr>
        <w:spacing w:after="160" w:line="276"/>
      </w:pPr>
      <w:r>
        <w:t xml:space="preserve">A business contact at a connected loyalty program who periodically reviews settlement statements and reconciliation reports and expects them to be timely, accurate, and easy to verify against their own systems.</w:t>
      </w:r>
    </w:p>
    <w:p>
      <w:pPr>
        <w:pStyle w:val="Heading1"/>
        <w:spacing w:after="160" w:before="360"/>
      </w:pPr>
      <w:r>
        <w:t xml:space="preserve">5. Assumptions and Constraints</w:t>
      </w:r>
    </w:p>
    <w:p>
      <w:pPr>
        <w:pBdr>
          <w:left w:val="single" w:color="BF8F00" w:sz="16"/>
        </w:pBdr>
        <w:shd w:fill="FFF2CC" w:val="clear"/>
        <w:spacing w:after="200" w:before="80" w:line="276"/>
        <w:ind w:left="120"/>
      </w:pPr>
      <w:r>
        <w:rPr>
          <w:b/>
          <w:bCs/>
          <w:i/>
          <w:iCs/>
          <w:sz w:val="20"/>
          <w:szCs w:val="20"/>
        </w:rPr>
        <w:t xml:space="preserve">Assumption: </w:t>
      </w:r>
      <w:r>
        <w:rPr>
          <w:i/>
          <w:iCs/>
          <w:sz w:val="20"/>
          <w:szCs w:val="20"/>
        </w:rPr>
        <w:t xml:space="preserve">Pull2Spend does not issue its own regulated payment instrument directly; it partners with a licensed bank, e-money institution, or card issuer/processor ("Issuing Partner") who legally issues the virtual card and holds the underlying float/settlement account. This is standard industry practice for fintech apps offering card issuance ("program manager" model) and materially reduces licensing burden — to be validated with legal counsel.</w:t>
      </w:r>
    </w:p>
    <w:p>
      <w:pPr>
        <w:pBdr>
          <w:left w:val="single" w:color="BF8F00" w:sz="16"/>
        </w:pBdr>
        <w:shd w:fill="FFF2CC" w:val="clear"/>
        <w:spacing w:after="200" w:before="80" w:line="276"/>
        <w:ind w:left="120"/>
      </w:pPr>
      <w:r>
        <w:rPr>
          <w:b/>
          <w:bCs/>
          <w:i/>
          <w:iCs/>
          <w:sz w:val="20"/>
          <w:szCs w:val="20"/>
        </w:rPr>
        <w:t xml:space="preserve">Assumption: </w:t>
      </w:r>
      <w:r>
        <w:rPr>
          <w:i/>
          <w:iCs/>
          <w:sz w:val="20"/>
          <w:szCs w:val="20"/>
        </w:rPr>
        <w:t xml:space="preserve">Loyalty Partners must contractually and technically permit Pull2Spend to (a) authenticate on the user's behalf and read point balances, and (b) debit/redeem points on the user's instruction. Where a partner has no public API, a bilateral integration or a secure, user-consented credential vault is used only as an interim connector method, never storing partner credentials in plaintext.</w:t>
      </w:r>
    </w:p>
    <w:p>
      <w:pPr>
        <w:pBdr>
          <w:left w:val="single" w:color="BF8F00" w:sz="16"/>
        </w:pBdr>
        <w:shd w:fill="FFF2CC" w:val="clear"/>
        <w:spacing w:after="200" w:before="80" w:line="276"/>
        <w:ind w:left="120"/>
      </w:pPr>
      <w:r>
        <w:rPr>
          <w:b/>
          <w:bCs/>
          <w:i/>
          <w:iCs/>
          <w:sz w:val="20"/>
          <w:szCs w:val="20"/>
        </w:rPr>
        <w:t xml:space="preserve">Assumption: </w:t>
      </w:r>
      <w:r>
        <w:rPr>
          <w:i/>
          <w:iCs/>
          <w:sz w:val="20"/>
          <w:szCs w:val="20"/>
        </w:rPr>
        <w:t xml:space="preserve">The point-to-cash conversion rate for each Loyalty Partner is commercially negotiated and may vary by partner, and possibly by point tier; it is configurable, not hard-coded.</w:t>
      </w:r>
    </w:p>
    <w:p>
      <w:pPr>
        <w:pBdr>
          <w:left w:val="single" w:color="BF8F00" w:sz="16"/>
        </w:pBdr>
        <w:shd w:fill="FFF2CC" w:val="clear"/>
        <w:spacing w:after="200" w:before="80" w:line="276"/>
        <w:ind w:left="120"/>
      </w:pPr>
      <w:r>
        <w:rPr>
          <w:b/>
          <w:bCs/>
          <w:i/>
          <w:iCs/>
          <w:sz w:val="20"/>
          <w:szCs w:val="20"/>
        </w:rPr>
        <w:t xml:space="preserve">Assumption: </w:t>
      </w:r>
      <w:r>
        <w:rPr>
          <w:i/>
          <w:iCs/>
          <w:sz w:val="20"/>
          <w:szCs w:val="20"/>
        </w:rPr>
        <w:t xml:space="preserve">Primary operating currency for the wallet and card is Qatari Riyal (QAR); the platform is architected to add further currencies later.</w:t>
      </w:r>
    </w:p>
    <w:p>
      <w:pPr>
        <w:pBdr>
          <w:left w:val="single" w:color="BF8F00" w:sz="16"/>
        </w:pBdr>
        <w:shd w:fill="FFF2CC" w:val="clear"/>
        <w:spacing w:after="200" w:before="80" w:line="276"/>
        <w:ind w:left="120"/>
      </w:pPr>
      <w:r>
        <w:rPr>
          <w:b/>
          <w:bCs/>
          <w:i/>
          <w:iCs/>
          <w:sz w:val="20"/>
          <w:szCs w:val="20"/>
        </w:rPr>
        <w:t xml:space="preserve">Assumption: </w:t>
      </w:r>
      <w:r>
        <w:rPr>
          <w:i/>
          <w:iCs/>
          <w:sz w:val="20"/>
          <w:szCs w:val="20"/>
        </w:rPr>
        <w:t xml:space="preserve">The project targets the Qatar/GCC market first; the compliance section reflects that assumption while flagging global standards (PCI DSS, EMV) that apply regardless of geography.</w:t>
      </w:r>
    </w:p>
    <w:p>
      <w:pPr>
        <w:pBdr>
          <w:left w:val="single" w:color="BF8F00" w:sz="16"/>
        </w:pBdr>
        <w:shd w:fill="FFF2CC" w:val="clear"/>
        <w:spacing w:after="200" w:before="80" w:line="276"/>
        <w:ind w:left="120"/>
      </w:pPr>
      <w:r>
        <w:rPr>
          <w:b/>
          <w:bCs/>
          <w:i/>
          <w:iCs/>
          <w:sz w:val="20"/>
          <w:szCs w:val="20"/>
        </w:rPr>
        <w:t xml:space="preserve">Assumption: </w:t>
      </w:r>
      <w:r>
        <w:rPr>
          <w:i/>
          <w:iCs/>
          <w:sz w:val="20"/>
          <w:szCs w:val="20"/>
        </w:rPr>
        <w:t xml:space="preserve">"Any secure connection" in the owner's brief is interpreted as: authenticated REST/GraphQL APIs, OAuth 2.0 delegated authorization where the partner supports it, and, only where unavoidable, a secure vault-and-automation fallback for partners with no API — this is explicitly flagged as higher-risk and recommended for de-prioritization versus API-based partners.</w:t>
      </w:r>
    </w:p>
    <w:p>
      <w:pPr>
        <w:pBdr>
          <w:left w:val="single" w:color="BF8F00" w:sz="16"/>
        </w:pBdr>
        <w:shd w:fill="FFF2CC" w:val="clear"/>
        <w:spacing w:after="200" w:before="80" w:line="276"/>
        <w:ind w:left="120"/>
      </w:pPr>
      <w:r>
        <w:rPr>
          <w:b/>
          <w:bCs/>
          <w:i/>
          <w:iCs/>
          <w:sz w:val="20"/>
          <w:szCs w:val="20"/>
        </w:rPr>
        <w:t xml:space="preserve">Assumption: </w:t>
      </w:r>
      <w:r>
        <w:rPr>
          <w:i/>
          <w:iCs/>
          <w:sz w:val="20"/>
          <w:szCs w:val="20"/>
        </w:rPr>
        <w:t xml:space="preserve">This BRD assumes a phased rollout: pilot with a small number of Loyalty Partners before broad onboarding.</w:t>
      </w:r>
    </w:p>
    <w:p>
      <w:pPr>
        <w:pStyle w:val="Heading1"/>
        <w:spacing w:after="160" w:before="360"/>
      </w:pPr>
      <w:r>
        <w:t xml:space="preserve">6. Glossary of Terms</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7100"/>
      </w:tblGrid>
      <w:tr>
        <w:trPr>
          <w:tblHeader/>
        </w:trPr>
        <w:tc>
          <w:tcPr>
            <w:tcW w:type="dxa" w:w="2400"/>
            <w:shd w:fill="1F3864" w:val="clear"/>
            <w:tcMar>
              <w:top w:type="dxa" w:w="80"/>
              <w:left w:type="dxa" w:w="100"/>
              <w:bottom w:type="dxa" w:w="80"/>
              <w:right w:type="dxa" w:w="100"/>
            </w:tcMar>
            <w:vAlign w:val="center"/>
          </w:tcPr>
          <w:p>
            <w:pPr>
              <w:spacing w:after="0" w:line="260"/>
            </w:pPr>
            <w:r>
              <w:rPr>
                <w:b/>
                <w:bCs/>
                <w:color w:val="FFFFFF"/>
                <w:sz w:val="20"/>
                <w:szCs w:val="20"/>
              </w:rPr>
              <w:t xml:space="preserve">Term</w:t>
            </w:r>
          </w:p>
        </w:tc>
        <w:tc>
          <w:tcPr>
            <w:tcW w:type="dxa" w:w="7100"/>
            <w:shd w:fill="1F3864" w:val="clear"/>
            <w:tcMar>
              <w:top w:type="dxa" w:w="80"/>
              <w:left w:type="dxa" w:w="100"/>
              <w:bottom w:type="dxa" w:w="80"/>
              <w:right w:type="dxa" w:w="100"/>
            </w:tcMar>
            <w:vAlign w:val="center"/>
          </w:tcPr>
          <w:p>
            <w:pPr>
              <w:spacing w:after="0" w:line="260"/>
            </w:pPr>
            <w:r>
              <w:rPr>
                <w:b/>
                <w:bCs/>
                <w:color w:val="FFFFFF"/>
                <w:sz w:val="20"/>
                <w:szCs w:val="20"/>
              </w:rPr>
              <w:t xml:space="preserve">Definition</w:t>
            </w:r>
          </w:p>
        </w:tc>
      </w:tr>
      <w:tr>
        <w:trPr>
          <w:tblHeader w:val="false"/>
        </w:trPr>
        <w:tc>
          <w:tcPr>
            <w:tcW w:type="dxa" w:w="2400"/>
            <w:tcMar>
              <w:top w:type="dxa" w:w="80"/>
              <w:left w:type="dxa" w:w="100"/>
              <w:bottom w:type="dxa" w:w="80"/>
              <w:right w:type="dxa" w:w="100"/>
            </w:tcMar>
            <w:vAlign w:val="center"/>
          </w:tcPr>
          <w:p>
            <w:pPr>
              <w:spacing w:after="0" w:line="260"/>
            </w:pPr>
            <w:r>
              <w:rPr>
                <w:b w:val="false"/>
                <w:bCs w:val="false"/>
                <w:color w:val="000000"/>
                <w:sz w:val="20"/>
                <w:szCs w:val="20"/>
              </w:rPr>
              <w:t xml:space="preserve">Loyalty Partner</w:t>
            </w:r>
          </w:p>
        </w:tc>
        <w:tc>
          <w:tcPr>
            <w:tcW w:type="dxa" w:w="7100"/>
            <w:tcMar>
              <w:top w:type="dxa" w:w="80"/>
              <w:left w:type="dxa" w:w="100"/>
              <w:bottom w:type="dxa" w:w="80"/>
              <w:right w:type="dxa" w:w="100"/>
            </w:tcMar>
            <w:vAlign w:val="center"/>
          </w:tcPr>
          <w:p>
            <w:pPr>
              <w:spacing w:after="0" w:line="260"/>
            </w:pPr>
            <w:r>
              <w:rPr>
                <w:b w:val="false"/>
                <w:bCs w:val="false"/>
                <w:color w:val="000000"/>
                <w:sz w:val="20"/>
                <w:szCs w:val="20"/>
              </w:rPr>
              <w:t xml:space="preserve">A third-party loyalty/rewards program whose point balances can be connected and redeemed through Pull2Spend.</w:t>
            </w:r>
          </w:p>
        </w:tc>
      </w:tr>
      <w:tr>
        <w:trPr>
          <w:tblHeader w:val="false"/>
        </w:trPr>
        <w:tc>
          <w:tcPr>
            <w:tcW w:type="dxa" w:w="24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Connector</w:t>
            </w:r>
          </w:p>
        </w:tc>
        <w:tc>
          <w:tcPr>
            <w:tcW w:type="dxa" w:w="7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The technical integration (API-based or file-based) between Pull2Spend and a given Loyalty Partner's system.</w:t>
            </w:r>
          </w:p>
        </w:tc>
      </w:tr>
      <w:tr>
        <w:trPr>
          <w:tblHeader w:val="false"/>
        </w:trPr>
        <w:tc>
          <w:tcPr>
            <w:tcW w:type="dxa" w:w="2400"/>
            <w:tcMar>
              <w:top w:type="dxa" w:w="80"/>
              <w:left w:type="dxa" w:w="100"/>
              <w:bottom w:type="dxa" w:w="80"/>
              <w:right w:type="dxa" w:w="100"/>
            </w:tcMar>
            <w:vAlign w:val="center"/>
          </w:tcPr>
          <w:p>
            <w:pPr>
              <w:spacing w:after="0" w:line="260"/>
            </w:pPr>
            <w:r>
              <w:rPr>
                <w:b w:val="false"/>
                <w:bCs w:val="false"/>
                <w:color w:val="000000"/>
                <w:sz w:val="20"/>
                <w:szCs w:val="20"/>
              </w:rPr>
              <w:t xml:space="preserve">Redemption</w:t>
            </w:r>
          </w:p>
        </w:tc>
        <w:tc>
          <w:tcPr>
            <w:tcW w:type="dxa" w:w="7100"/>
            <w:tcMar>
              <w:top w:type="dxa" w:w="80"/>
              <w:left w:type="dxa" w:w="100"/>
              <w:bottom w:type="dxa" w:w="80"/>
              <w:right w:type="dxa" w:w="100"/>
            </w:tcMar>
            <w:vAlign w:val="center"/>
          </w:tcPr>
          <w:p>
            <w:pPr>
              <w:spacing w:after="0" w:line="260"/>
            </w:pPr>
            <w:r>
              <w:rPr>
                <w:b w:val="false"/>
                <w:bCs w:val="false"/>
                <w:color w:val="000000"/>
                <w:sz w:val="20"/>
                <w:szCs w:val="20"/>
              </w:rPr>
              <w:t xml:space="preserve">The user-initiated action of converting a specified quantity of points from one or more Loyalty Partners into wallet balance.</w:t>
            </w:r>
          </w:p>
        </w:tc>
      </w:tr>
      <w:tr>
        <w:trPr>
          <w:tblHeader w:val="false"/>
        </w:trPr>
        <w:tc>
          <w:tcPr>
            <w:tcW w:type="dxa" w:w="24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Wallet</w:t>
            </w:r>
          </w:p>
        </w:tc>
        <w:tc>
          <w:tcPr>
            <w:tcW w:type="dxa" w:w="7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The single, platform-held cash-equivalent balance a user accumulates from redemptions, used to fund the virtual card.</w:t>
            </w:r>
          </w:p>
        </w:tc>
      </w:tr>
      <w:tr>
        <w:trPr>
          <w:tblHeader w:val="false"/>
        </w:trPr>
        <w:tc>
          <w:tcPr>
            <w:tcW w:type="dxa" w:w="2400"/>
            <w:tcMar>
              <w:top w:type="dxa" w:w="80"/>
              <w:left w:type="dxa" w:w="100"/>
              <w:bottom w:type="dxa" w:w="80"/>
              <w:right w:type="dxa" w:w="100"/>
            </w:tcMar>
            <w:vAlign w:val="center"/>
          </w:tcPr>
          <w:p>
            <w:pPr>
              <w:spacing w:after="0" w:line="260"/>
            </w:pPr>
            <w:r>
              <w:rPr>
                <w:b w:val="false"/>
                <w:bCs w:val="false"/>
                <w:color w:val="000000"/>
                <w:sz w:val="20"/>
                <w:szCs w:val="20"/>
              </w:rPr>
              <w:t xml:space="preserve">Virtual Card</w:t>
            </w:r>
          </w:p>
        </w:tc>
        <w:tc>
          <w:tcPr>
            <w:tcW w:type="dxa" w:w="7100"/>
            <w:tcMar>
              <w:top w:type="dxa" w:w="80"/>
              <w:left w:type="dxa" w:w="100"/>
              <w:bottom w:type="dxa" w:w="80"/>
              <w:right w:type="dxa" w:w="100"/>
            </w:tcMar>
            <w:vAlign w:val="center"/>
          </w:tcPr>
          <w:p>
            <w:pPr>
              <w:spacing w:after="0" w:line="260"/>
            </w:pPr>
            <w:r>
              <w:rPr>
                <w:b w:val="false"/>
                <w:bCs w:val="false"/>
                <w:color w:val="000000"/>
                <w:sz w:val="20"/>
                <w:szCs w:val="20"/>
              </w:rPr>
              <w:t xml:space="preserve">A card-scheme-branded payment card issued digitally (no physical plastic) for online and tap-to-pay (mobile wallet) spend.</w:t>
            </w:r>
          </w:p>
        </w:tc>
      </w:tr>
      <w:tr>
        <w:trPr>
          <w:tblHeader w:val="false"/>
        </w:trPr>
        <w:tc>
          <w:tcPr>
            <w:tcW w:type="dxa" w:w="24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Issuing Partner / BIN Sponsor</w:t>
            </w:r>
          </w:p>
        </w:tc>
        <w:tc>
          <w:tcPr>
            <w:tcW w:type="dxa" w:w="7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The regulated bank or licensed processor that legally issues the virtual card and settles with the card scheme.</w:t>
            </w:r>
          </w:p>
        </w:tc>
      </w:tr>
      <w:tr>
        <w:trPr>
          <w:tblHeader w:val="false"/>
        </w:trPr>
        <w:tc>
          <w:tcPr>
            <w:tcW w:type="dxa" w:w="2400"/>
            <w:tcMar>
              <w:top w:type="dxa" w:w="80"/>
              <w:left w:type="dxa" w:w="100"/>
              <w:bottom w:type="dxa" w:w="80"/>
              <w:right w:type="dxa" w:w="100"/>
            </w:tcMar>
            <w:vAlign w:val="center"/>
          </w:tcPr>
          <w:p>
            <w:pPr>
              <w:spacing w:after="0" w:line="260"/>
            </w:pPr>
            <w:r>
              <w:rPr>
                <w:b w:val="false"/>
                <w:bCs w:val="false"/>
                <w:color w:val="000000"/>
                <w:sz w:val="20"/>
                <w:szCs w:val="20"/>
              </w:rPr>
              <w:t xml:space="preserve">Revenue Share</w:t>
            </w:r>
          </w:p>
        </w:tc>
        <w:tc>
          <w:tcPr>
            <w:tcW w:type="dxa" w:w="7100"/>
            <w:tcMar>
              <w:top w:type="dxa" w:w="80"/>
              <w:left w:type="dxa" w:w="100"/>
              <w:bottom w:type="dxa" w:w="80"/>
              <w:right w:type="dxa" w:w="100"/>
            </w:tcMar>
            <w:vAlign w:val="center"/>
          </w:tcPr>
          <w:p>
            <w:pPr>
              <w:spacing w:after="0" w:line="260"/>
            </w:pPr>
            <w:r>
              <w:rPr>
                <w:b w:val="false"/>
                <w:bCs w:val="false"/>
                <w:color w:val="000000"/>
                <w:sz w:val="20"/>
                <w:szCs w:val="20"/>
              </w:rPr>
              <w:t xml:space="preserve">The commercially agreed split of value generated at redemption between Pull2Spend and the Loyalty Partner.</w:t>
            </w:r>
          </w:p>
        </w:tc>
      </w:tr>
      <w:tr>
        <w:trPr>
          <w:tblHeader w:val="false"/>
        </w:trPr>
        <w:tc>
          <w:tcPr>
            <w:tcW w:type="dxa" w:w="24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Merchant Revenue Share</w:t>
            </w:r>
          </w:p>
        </w:tc>
        <w:tc>
          <w:tcPr>
            <w:tcW w:type="dxa" w:w="7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A configurable payout from Pull2Spend back to a Loyalty Partner on each redemption transaction sourced from that partner's points, distinct from (and capped by) the platform's own share (Section 7.6.1).</w:t>
            </w:r>
          </w:p>
        </w:tc>
      </w:tr>
      <w:tr>
        <w:trPr>
          <w:tblHeader w:val="false"/>
        </w:trPr>
        <w:tc>
          <w:tcPr>
            <w:tcW w:type="dxa" w:w="2400"/>
            <w:tcMar>
              <w:top w:type="dxa" w:w="80"/>
              <w:left w:type="dxa" w:w="100"/>
              <w:bottom w:type="dxa" w:w="80"/>
              <w:right w:type="dxa" w:w="100"/>
            </w:tcMar>
            <w:vAlign w:val="center"/>
          </w:tcPr>
          <w:p>
            <w:pPr>
              <w:spacing w:after="0" w:line="260"/>
            </w:pPr>
            <w:r>
              <w:rPr>
                <w:b w:val="false"/>
                <w:bCs w:val="false"/>
                <w:color w:val="000000"/>
                <w:sz w:val="20"/>
                <w:szCs w:val="20"/>
              </w:rPr>
              <w:t xml:space="preserve">Settlement File</w:t>
            </w:r>
          </w:p>
        </w:tc>
        <w:tc>
          <w:tcPr>
            <w:tcW w:type="dxa" w:w="7100"/>
            <w:tcMar>
              <w:top w:type="dxa" w:w="80"/>
              <w:left w:type="dxa" w:w="100"/>
              <w:bottom w:type="dxa" w:w="80"/>
              <w:right w:type="dxa" w:w="100"/>
            </w:tcMar>
            <w:vAlign w:val="center"/>
          </w:tcPr>
          <w:p>
            <w:pPr>
              <w:spacing w:after="0" w:line="260"/>
            </w:pPr>
            <w:r>
              <w:rPr>
                <w:b w:val="false"/>
                <w:bCs w:val="false"/>
                <w:color w:val="000000"/>
                <w:sz w:val="20"/>
                <w:szCs w:val="20"/>
              </w:rPr>
              <w:t xml:space="preserve">A periodic, dated file summarizing redemptions and amounts owed between Pull2Spend and a Loyalty Partner, used to trigger a funds transfer.</w:t>
            </w:r>
          </w:p>
        </w:tc>
      </w:tr>
      <w:tr>
        <w:trPr>
          <w:tblHeader w:val="false"/>
        </w:trPr>
        <w:tc>
          <w:tcPr>
            <w:tcW w:type="dxa" w:w="24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Reconciliation Report</w:t>
            </w:r>
          </w:p>
        </w:tc>
        <w:tc>
          <w:tcPr>
            <w:tcW w:type="dxa" w:w="7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A report comparing card transaction settlement data (from the card scheme/processor) against Pull2Spend's internal ledger to confirm they match.</w:t>
            </w:r>
          </w:p>
        </w:tc>
      </w:tr>
      <w:tr>
        <w:trPr>
          <w:tblHeader w:val="false"/>
        </w:trPr>
        <w:tc>
          <w:tcPr>
            <w:tcW w:type="dxa" w:w="2400"/>
            <w:tcMar>
              <w:top w:type="dxa" w:w="80"/>
              <w:left w:type="dxa" w:w="100"/>
              <w:bottom w:type="dxa" w:w="80"/>
              <w:right w:type="dxa" w:w="100"/>
            </w:tcMar>
            <w:vAlign w:val="center"/>
          </w:tcPr>
          <w:p>
            <w:pPr>
              <w:spacing w:after="0" w:line="260"/>
            </w:pPr>
            <w:r>
              <w:rPr>
                <w:b w:val="false"/>
                <w:bCs w:val="false"/>
                <w:color w:val="000000"/>
                <w:sz w:val="20"/>
                <w:szCs w:val="20"/>
              </w:rPr>
              <w:t xml:space="preserve">KYC / KYB</w:t>
            </w:r>
          </w:p>
        </w:tc>
        <w:tc>
          <w:tcPr>
            <w:tcW w:type="dxa" w:w="7100"/>
            <w:tcMar>
              <w:top w:type="dxa" w:w="80"/>
              <w:left w:type="dxa" w:w="100"/>
              <w:bottom w:type="dxa" w:w="80"/>
              <w:right w:type="dxa" w:w="100"/>
            </w:tcMar>
            <w:vAlign w:val="center"/>
          </w:tcPr>
          <w:p>
            <w:pPr>
              <w:spacing w:after="0" w:line="260"/>
            </w:pPr>
            <w:r>
              <w:rPr>
                <w:b w:val="false"/>
                <w:bCs w:val="false"/>
                <w:color w:val="000000"/>
                <w:sz w:val="20"/>
                <w:szCs w:val="20"/>
              </w:rPr>
              <w:t xml:space="preserve">Know Your Customer / Know Your Business — identity verification processes required before enrollment or before onboarding a Loyalty Partner.</w:t>
            </w:r>
          </w:p>
        </w:tc>
      </w:tr>
      <w:tr>
        <w:trPr>
          <w:tblHeader w:val="false"/>
        </w:trPr>
        <w:tc>
          <w:tcPr>
            <w:tcW w:type="dxa" w:w="24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PAN</w:t>
            </w:r>
          </w:p>
        </w:tc>
        <w:tc>
          <w:tcPr>
            <w:tcW w:type="dxa" w:w="7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Primary Account Number — the card number; never stored or displayed in full within Pull2Spend systems (tokenized by the Issuing Partner).</w:t>
            </w:r>
          </w:p>
        </w:tc>
      </w:tr>
    </w:tbl>
    <w:p>
      <w:r>
        <w:br w:type="page"/>
      </w:r>
    </w:p>
    <w:p>
      <w:pPr>
        <w:pStyle w:val="Heading1"/>
        <w:spacing w:after="160" w:before="360"/>
      </w:pPr>
      <w:r>
        <w:t xml:space="preserve">7. Functional Requirements</w:t>
      </w:r>
    </w:p>
    <w:p>
      <w:pPr>
        <w:spacing w:after="160" w:line="276"/>
      </w:pPr>
      <w:r>
        <w:t xml:space="preserve">Each requirement is tagged with an ID for traceability (FR = Functional Requirement). Priority: M = Must have (MVP), S = Should have, C = Could have / Phase 2.</w:t>
      </w:r>
    </w:p>
    <w:p>
      <w:pPr>
        <w:pStyle w:val="Heading2"/>
        <w:spacing w:after="120" w:before="280"/>
      </w:pPr>
      <w:r>
        <w:t xml:space="preserve">7.1 User Onboarding, Authentication, and Identity Verification</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1100"/>
        <w:gridCol w:w="6800"/>
        <w:gridCol w:w="1600"/>
      </w:tblGrid>
      <w:tr>
        <w:trPr>
          <w:tblHeader/>
        </w:trPr>
        <w:tc>
          <w:tcPr>
            <w:tcW w:type="dxa" w:w="1100"/>
            <w:shd w:fill="1F3864" w:val="clear"/>
            <w:tcMar>
              <w:top w:type="dxa" w:w="80"/>
              <w:left w:type="dxa" w:w="100"/>
              <w:bottom w:type="dxa" w:w="80"/>
              <w:right w:type="dxa" w:w="100"/>
            </w:tcMar>
            <w:vAlign w:val="center"/>
          </w:tcPr>
          <w:p>
            <w:pPr>
              <w:spacing w:after="0" w:line="260"/>
            </w:pPr>
            <w:r>
              <w:rPr>
                <w:b/>
                <w:bCs/>
                <w:color w:val="FFFFFF"/>
                <w:sz w:val="20"/>
                <w:szCs w:val="20"/>
              </w:rPr>
              <w:t xml:space="preserve">ID</w:t>
            </w:r>
          </w:p>
        </w:tc>
        <w:tc>
          <w:tcPr>
            <w:tcW w:type="dxa" w:w="6800"/>
            <w:shd w:fill="1F3864" w:val="clear"/>
            <w:tcMar>
              <w:top w:type="dxa" w:w="80"/>
              <w:left w:type="dxa" w:w="100"/>
              <w:bottom w:type="dxa" w:w="80"/>
              <w:right w:type="dxa" w:w="100"/>
            </w:tcMar>
            <w:vAlign w:val="center"/>
          </w:tcPr>
          <w:p>
            <w:pPr>
              <w:spacing w:after="0" w:line="260"/>
            </w:pPr>
            <w:r>
              <w:rPr>
                <w:b/>
                <w:bCs/>
                <w:color w:val="FFFFFF"/>
                <w:sz w:val="20"/>
                <w:szCs w:val="20"/>
              </w:rPr>
              <w:t xml:space="preserve">Requirement</w:t>
            </w:r>
          </w:p>
        </w:tc>
        <w:tc>
          <w:tcPr>
            <w:tcW w:type="dxa" w:w="1600"/>
            <w:shd w:fill="1F3864" w:val="clear"/>
            <w:tcMar>
              <w:top w:type="dxa" w:w="80"/>
              <w:left w:type="dxa" w:w="100"/>
              <w:bottom w:type="dxa" w:w="80"/>
              <w:right w:type="dxa" w:w="100"/>
            </w:tcMar>
            <w:vAlign w:val="center"/>
          </w:tcPr>
          <w:p>
            <w:pPr>
              <w:spacing w:after="0" w:line="260"/>
            </w:pPr>
            <w:r>
              <w:rPr>
                <w:b/>
                <w:bCs/>
                <w:color w:val="FFFFFF"/>
                <w:sz w:val="20"/>
                <w:szCs w:val="20"/>
              </w:rPr>
              <w:t xml:space="preserve">Priority</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FR-1.1</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User can register using mobile number and/or email, with OTP verification before account activation.</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FR-1.2</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User must complete identity verification (KYC) — document capture (national ID/passport/Qatar ID), liveness-checked selfie, and automated ID-document authenticity check — before any wallet or card feature is unlocked.</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FR-1.3</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System performs sanctions/PEP/adverse-media screening on every enrolled user as part of KYC, with a manual review queue for hits.</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FR-1.4</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System applies risk-based tiered limits: a user who has not completed full KYC may browse aggregated point balances (read-only) but cannot redeem, hold wallet balance, or receive a card.</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S</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FR-1.5</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User authenticates into the app using biometric login (Face ID / fingerprint) backed by a device-bound key, with PIN/password fallback.</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FR-1.6</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Step-up authentication (biometric + OTP, or equivalent) is required for high-risk actions: redemption above a configurable threshold, adding a new loyalty connection, changing a linked payout detail, or freezing/closing a card.</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FR-1.7</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Session auto-locks after a configurable period of inactivity and requires re-authentication.</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FR-1.8</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User can view and manage consent given to each connected Loyalty Partner, and revoke it at any time (see FR-2.6).</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FR-1.9</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New-device or new-location login triggers a step-up challenge and a notification to the user's other verified channel (e.g., email).</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S</w:t>
            </w:r>
          </w:p>
        </w:tc>
      </w:tr>
    </w:tbl>
    <w:p>
      <w:pPr>
        <w:pStyle w:val="Heading2"/>
        <w:spacing w:after="120" w:before="280"/>
      </w:pPr>
      <w:r>
        <w:t xml:space="preserve">7.2 Loyalty Program Connectivity and Point Aggregation</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1100"/>
        <w:gridCol w:w="6800"/>
        <w:gridCol w:w="1600"/>
      </w:tblGrid>
      <w:tr>
        <w:trPr>
          <w:tblHeader/>
        </w:trPr>
        <w:tc>
          <w:tcPr>
            <w:tcW w:type="dxa" w:w="1100"/>
            <w:shd w:fill="1F3864" w:val="clear"/>
            <w:tcMar>
              <w:top w:type="dxa" w:w="80"/>
              <w:left w:type="dxa" w:w="100"/>
              <w:bottom w:type="dxa" w:w="80"/>
              <w:right w:type="dxa" w:w="100"/>
            </w:tcMar>
            <w:vAlign w:val="center"/>
          </w:tcPr>
          <w:p>
            <w:pPr>
              <w:spacing w:after="0" w:line="260"/>
            </w:pPr>
            <w:r>
              <w:rPr>
                <w:b/>
                <w:bCs/>
                <w:color w:val="FFFFFF"/>
                <w:sz w:val="20"/>
                <w:szCs w:val="20"/>
              </w:rPr>
              <w:t xml:space="preserve">ID</w:t>
            </w:r>
          </w:p>
        </w:tc>
        <w:tc>
          <w:tcPr>
            <w:tcW w:type="dxa" w:w="6800"/>
            <w:shd w:fill="1F3864" w:val="clear"/>
            <w:tcMar>
              <w:top w:type="dxa" w:w="80"/>
              <w:left w:type="dxa" w:w="100"/>
              <w:bottom w:type="dxa" w:w="80"/>
              <w:right w:type="dxa" w:w="100"/>
            </w:tcMar>
            <w:vAlign w:val="center"/>
          </w:tcPr>
          <w:p>
            <w:pPr>
              <w:spacing w:after="0" w:line="260"/>
            </w:pPr>
            <w:r>
              <w:rPr>
                <w:b/>
                <w:bCs/>
                <w:color w:val="FFFFFF"/>
                <w:sz w:val="20"/>
                <w:szCs w:val="20"/>
              </w:rPr>
              <w:t xml:space="preserve">Requirement</w:t>
            </w:r>
          </w:p>
        </w:tc>
        <w:tc>
          <w:tcPr>
            <w:tcW w:type="dxa" w:w="1600"/>
            <w:shd w:fill="1F3864" w:val="clear"/>
            <w:tcMar>
              <w:top w:type="dxa" w:w="80"/>
              <w:left w:type="dxa" w:w="100"/>
              <w:bottom w:type="dxa" w:w="80"/>
              <w:right w:type="dxa" w:w="100"/>
            </w:tcMar>
            <w:vAlign w:val="center"/>
          </w:tcPr>
          <w:p>
            <w:pPr>
              <w:spacing w:after="0" w:line="260"/>
            </w:pPr>
            <w:r>
              <w:rPr>
                <w:b/>
                <w:bCs/>
                <w:color w:val="FFFFFF"/>
                <w:sz w:val="20"/>
                <w:szCs w:val="20"/>
              </w:rPr>
              <w:t xml:space="preserve">Priority</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FR-2.1</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System provides a configuration-driven connector framework so a new Loyalty Partner can be onboarded by configuring endpoint, auth method, and data-mapping rather than writing bespoke code per partner (see Section 9.7, Admin Portal).</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FR-2.2</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System supports OAuth 2.0 / OpenID Connect delegated authorization as the preferred connection method, so the user authenticates directly with the Loyalty Partner and Pull2Spend never sees or stores the partner's password.</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FR-2.3</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Where a Loyalty Partner has no delegated-auth API, the system supports a secure, explicitly consented credential-vault connector: partner credentials are encrypted client-side and server-side with per-user keys, held in a hardware security module (HSM) or equivalent key-management service, used only to establish an automated session for balance retrieval, and never displayed back to any human operator.</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S</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FR-2.4</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Once connected, the app displays each Loyalty Partner's current point balance, an approximate cash-equivalent value at the current conversion rate, last-refreshed timestamp, and connection health status.</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FR-2.5</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User can manually refresh a single connection or pull-to-refresh all connections; system also refreshes balances on a background schedule (e.g., every 24 hours) subject to each partner's API rate limits.</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FR-2.6</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User can disconnect (revoke) a Loyalty Partner connection at any time; system deletes or securely archives (per policy) the associated credentials/tokens.</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FR-2.7</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System detects and surfaces connector failures distinctly from a genuine "zero balance" (e.g., "Unable to reach [Partner] — we'll keep trying" vs. "0 points"), and logs the failure for back-office visibility (Section 9.10).</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FR-2.8</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System supports both real-time (API) and batch/file-based (e.g., nightly SFTP extract) Loyalty Partner integrations, clearly indicating to the user which mode applies and how current a shown balance is.</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S</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FR-2.9</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System caches last-known balances for offline/low-connectivity viewing, clearly timestamped "as of [time]", and never allows a redemption to be initiated against a stale cached balance without a live re-check.</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bl>
    <w:p>
      <w:pPr>
        <w:pStyle w:val="Heading2"/>
        <w:spacing w:after="120" w:before="280"/>
      </w:pPr>
      <w:r>
        <w:t xml:space="preserve">7.3 Points Redemption and Wallet Conversion</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1100"/>
        <w:gridCol w:w="6800"/>
        <w:gridCol w:w="1600"/>
      </w:tblGrid>
      <w:tr>
        <w:trPr>
          <w:tblHeader/>
        </w:trPr>
        <w:tc>
          <w:tcPr>
            <w:tcW w:type="dxa" w:w="1100"/>
            <w:shd w:fill="1F3864" w:val="clear"/>
            <w:tcMar>
              <w:top w:type="dxa" w:w="80"/>
              <w:left w:type="dxa" w:w="100"/>
              <w:bottom w:type="dxa" w:w="80"/>
              <w:right w:type="dxa" w:w="100"/>
            </w:tcMar>
            <w:vAlign w:val="center"/>
          </w:tcPr>
          <w:p>
            <w:pPr>
              <w:spacing w:after="0" w:line="260"/>
            </w:pPr>
            <w:r>
              <w:rPr>
                <w:b/>
                <w:bCs/>
                <w:color w:val="FFFFFF"/>
                <w:sz w:val="20"/>
                <w:szCs w:val="20"/>
              </w:rPr>
              <w:t xml:space="preserve">ID</w:t>
            </w:r>
          </w:p>
        </w:tc>
        <w:tc>
          <w:tcPr>
            <w:tcW w:type="dxa" w:w="6800"/>
            <w:shd w:fill="1F3864" w:val="clear"/>
            <w:tcMar>
              <w:top w:type="dxa" w:w="80"/>
              <w:left w:type="dxa" w:w="100"/>
              <w:bottom w:type="dxa" w:w="80"/>
              <w:right w:type="dxa" w:w="100"/>
            </w:tcMar>
            <w:vAlign w:val="center"/>
          </w:tcPr>
          <w:p>
            <w:pPr>
              <w:spacing w:after="0" w:line="260"/>
            </w:pPr>
            <w:r>
              <w:rPr>
                <w:b/>
                <w:bCs/>
                <w:color w:val="FFFFFF"/>
                <w:sz w:val="20"/>
                <w:szCs w:val="20"/>
              </w:rPr>
              <w:t xml:space="preserve">Requirement</w:t>
            </w:r>
          </w:p>
        </w:tc>
        <w:tc>
          <w:tcPr>
            <w:tcW w:type="dxa" w:w="1600"/>
            <w:shd w:fill="1F3864" w:val="clear"/>
            <w:tcMar>
              <w:top w:type="dxa" w:w="80"/>
              <w:left w:type="dxa" w:w="100"/>
              <w:bottom w:type="dxa" w:w="80"/>
              <w:right w:type="dxa" w:w="100"/>
            </w:tcMar>
            <w:vAlign w:val="center"/>
          </w:tcPr>
          <w:p>
            <w:pPr>
              <w:spacing w:after="0" w:line="260"/>
            </w:pPr>
            <w:r>
              <w:rPr>
                <w:b/>
                <w:bCs/>
                <w:color w:val="FFFFFF"/>
                <w:sz w:val="20"/>
                <w:szCs w:val="20"/>
              </w:rPr>
              <w:t xml:space="preserve">Priority</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FR-3.1</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User can select one Loyalty Partner and specify a quantity of points (or "all available") to redeem into the wallet.</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FR-3.2</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User can select multiple Loyalty Partners in a single redemption session and redeem from each into the same wallet, with a consolidated confirmation screen showing each partner's contribution before the user confirms.</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FR-3.3</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System displays the applicable conversion rate, any partner-specific minimum/maximum redemption amount, and the resulting wallet credit before the user confirms — no hidden fees.</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FR-3.4</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System enforces per-transaction and rolling-period (daily/monthly) redemption limits per user, configurable per risk tier, aligned with AML/CFT and Issuing Partner requirements.</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FR-3.5</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Redemption executes as an atomic, idempotent transaction: points are only deducted at the Loyalty Partner if and only if the wallet credit succeeds, using a two-phase reserve/confirm pattern with automatic compensating reversal on partial failure.</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FR-3.6</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Every redemption produces an immutable transaction record with a unique reference, timestamp, source partner(s), points debited, rate applied, resulting wallet credit, and the computed revenue-share split (Section 7.5).</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FR-3.7</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User receives real-time status (Pending / Processing / Completed / Failed) for each redemption, with a push notification on completion or failure.</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FR-3.8</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Failed redemptions are automatically retried under a defined backoff policy for transient errors, and routed to a back-office failed-transaction queue for anything not auto-resolved within a defined SLA (Section 9.10).</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FR-3.9</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Where a Loyalty Partner integration is batch/file-based, the user is clearly told the redemption is "pending partner confirmation" with an expected completion window, rather than shown a false real-time confirmation.</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FR-3.10</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System is point-expiry aware where the Loyalty Partner exposes an expiry date, and can send an opt-in notification before points are due to expire unused.</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C</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FR-3.11</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User can view a full redemption history with filters by partner, date range, and status, and export a personal statement (PDF/CSV).</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S</w:t>
            </w:r>
          </w:p>
        </w:tc>
      </w:tr>
    </w:tbl>
    <w:p>
      <w:pPr>
        <w:pStyle w:val="Heading2"/>
        <w:spacing w:after="120" w:before="280"/>
      </w:pPr>
      <w:r>
        <w:t xml:space="preserve">7.4 Digital Wallet</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1100"/>
        <w:gridCol w:w="6800"/>
        <w:gridCol w:w="1600"/>
      </w:tblGrid>
      <w:tr>
        <w:trPr>
          <w:tblHeader/>
        </w:trPr>
        <w:tc>
          <w:tcPr>
            <w:tcW w:type="dxa" w:w="1100"/>
            <w:shd w:fill="1F3864" w:val="clear"/>
            <w:tcMar>
              <w:top w:type="dxa" w:w="80"/>
              <w:left w:type="dxa" w:w="100"/>
              <w:bottom w:type="dxa" w:w="80"/>
              <w:right w:type="dxa" w:w="100"/>
            </w:tcMar>
            <w:vAlign w:val="center"/>
          </w:tcPr>
          <w:p>
            <w:pPr>
              <w:spacing w:after="0" w:line="260"/>
            </w:pPr>
            <w:r>
              <w:rPr>
                <w:b/>
                <w:bCs/>
                <w:color w:val="FFFFFF"/>
                <w:sz w:val="20"/>
                <w:szCs w:val="20"/>
              </w:rPr>
              <w:t xml:space="preserve">ID</w:t>
            </w:r>
          </w:p>
        </w:tc>
        <w:tc>
          <w:tcPr>
            <w:tcW w:type="dxa" w:w="6800"/>
            <w:shd w:fill="1F3864" w:val="clear"/>
            <w:tcMar>
              <w:top w:type="dxa" w:w="80"/>
              <w:left w:type="dxa" w:w="100"/>
              <w:bottom w:type="dxa" w:w="80"/>
              <w:right w:type="dxa" w:w="100"/>
            </w:tcMar>
            <w:vAlign w:val="center"/>
          </w:tcPr>
          <w:p>
            <w:pPr>
              <w:spacing w:after="0" w:line="260"/>
            </w:pPr>
            <w:r>
              <w:rPr>
                <w:b/>
                <w:bCs/>
                <w:color w:val="FFFFFF"/>
                <w:sz w:val="20"/>
                <w:szCs w:val="20"/>
              </w:rPr>
              <w:t xml:space="preserve">Requirement</w:t>
            </w:r>
          </w:p>
        </w:tc>
        <w:tc>
          <w:tcPr>
            <w:tcW w:type="dxa" w:w="1600"/>
            <w:shd w:fill="1F3864" w:val="clear"/>
            <w:tcMar>
              <w:top w:type="dxa" w:w="80"/>
              <w:left w:type="dxa" w:w="100"/>
              <w:bottom w:type="dxa" w:w="80"/>
              <w:right w:type="dxa" w:w="100"/>
            </w:tcMar>
            <w:vAlign w:val="center"/>
          </w:tcPr>
          <w:p>
            <w:pPr>
              <w:spacing w:after="0" w:line="260"/>
            </w:pPr>
            <w:r>
              <w:rPr>
                <w:b/>
                <w:bCs/>
                <w:color w:val="FFFFFF"/>
                <w:sz w:val="20"/>
                <w:szCs w:val="20"/>
              </w:rPr>
              <w:t xml:space="preserve">Priority</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FR-4.1</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Each verified user has exactly one wallet holding a single cash-equivalent balance in the platform's operating currency (default QAR).</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FR-4.2</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Wallet balance increases only via a completed redemption (Section 7.3) or an approved reversal/refund; it decreases only via card spend, card fees (if any), or an approved reversal.</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FR-4.3</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Wallet ledger is double-entry: every movement has a matching, immutable ledger entry pair, queryable by the user (statement view) and by back-office (Section 9).</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FR-4.4</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User can view real-time wallet balance, a running statement, and a breakdown of "funded from" per Loyalty Partner for transparency.</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FR-4.5</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System enforces a maximum wallet balance (configurable, aligned to Issuing Partner / e-money regulatory limits, see Section 10.2) and blocks further redemption once reached, guiding the user to spend down first.</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FR-4.6</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Wallet funds are held in a segregated, safeguarded pooled account at the Issuing Partner in line with e-money safeguarding practice — no commingling with Pull2Spend's operating funds.</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bl>
    <w:p>
      <w:pPr>
        <w:pStyle w:val="Heading2"/>
        <w:spacing w:after="120" w:before="280"/>
      </w:pPr>
      <w:r>
        <w:t xml:space="preserve">7.5 Virtual Card Issuance and Spend</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1100"/>
        <w:gridCol w:w="6800"/>
        <w:gridCol w:w="1600"/>
      </w:tblGrid>
      <w:tr>
        <w:trPr>
          <w:tblHeader/>
        </w:trPr>
        <w:tc>
          <w:tcPr>
            <w:tcW w:type="dxa" w:w="1100"/>
            <w:shd w:fill="1F3864" w:val="clear"/>
            <w:tcMar>
              <w:top w:type="dxa" w:w="80"/>
              <w:left w:type="dxa" w:w="100"/>
              <w:bottom w:type="dxa" w:w="80"/>
              <w:right w:type="dxa" w:w="100"/>
            </w:tcMar>
            <w:vAlign w:val="center"/>
          </w:tcPr>
          <w:p>
            <w:pPr>
              <w:spacing w:after="0" w:line="260"/>
            </w:pPr>
            <w:r>
              <w:rPr>
                <w:b/>
                <w:bCs/>
                <w:color w:val="FFFFFF"/>
                <w:sz w:val="20"/>
                <w:szCs w:val="20"/>
              </w:rPr>
              <w:t xml:space="preserve">ID</w:t>
            </w:r>
          </w:p>
        </w:tc>
        <w:tc>
          <w:tcPr>
            <w:tcW w:type="dxa" w:w="6800"/>
            <w:shd w:fill="1F3864" w:val="clear"/>
            <w:tcMar>
              <w:top w:type="dxa" w:w="80"/>
              <w:left w:type="dxa" w:w="100"/>
              <w:bottom w:type="dxa" w:w="80"/>
              <w:right w:type="dxa" w:w="100"/>
            </w:tcMar>
            <w:vAlign w:val="center"/>
          </w:tcPr>
          <w:p>
            <w:pPr>
              <w:spacing w:after="0" w:line="260"/>
            </w:pPr>
            <w:r>
              <w:rPr>
                <w:b/>
                <w:bCs/>
                <w:color w:val="FFFFFF"/>
                <w:sz w:val="20"/>
                <w:szCs w:val="20"/>
              </w:rPr>
              <w:t xml:space="preserve">Requirement</w:t>
            </w:r>
          </w:p>
        </w:tc>
        <w:tc>
          <w:tcPr>
            <w:tcW w:type="dxa" w:w="1600"/>
            <w:shd w:fill="1F3864" w:val="clear"/>
            <w:tcMar>
              <w:top w:type="dxa" w:w="80"/>
              <w:left w:type="dxa" w:w="100"/>
              <w:bottom w:type="dxa" w:w="80"/>
              <w:right w:type="dxa" w:w="100"/>
            </w:tcMar>
            <w:vAlign w:val="center"/>
          </w:tcPr>
          <w:p>
            <w:pPr>
              <w:spacing w:after="0" w:line="260"/>
            </w:pPr>
            <w:r>
              <w:rPr>
                <w:b/>
                <w:bCs/>
                <w:color w:val="FFFFFF"/>
                <w:sz w:val="20"/>
                <w:szCs w:val="20"/>
              </w:rPr>
              <w:t xml:space="preserve">Priority</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FR-5.1</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Immediately upon successful KYC verification and enrollment, the system calls the Issuing Partner's card-issuing API to create a virtual card for the user, with no manual step required.</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FR-5.2</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The virtual card's available-to-spend balance is always equal to (and capped by) the wallet balance; the card is never funded ahead of, or independently of, confirmed wallet balance (no credit extended).</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FR-5.3</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Card details (PAN, CVV, expiry) are never stored or displayed by Pull2Spend beyond a short-lived, tokenized, on-device reveal (last 4 digits shown by default; full PAN reveal requires step-up authentication and is streamed from the Issuing Partner, not persisted).</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FR-5.4</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User can add the virtual card to Apple Pay / Google Pay for contactless in-store spend, and use it directly for online/e-commerce transactions.</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FR-5.5</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User can freeze/unfreeze the card instantly from the app (e.g., if the phone is lost) and request card re-issuance, which invalidates the old card token.</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FR-5.6</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System supports merchant-category-code (MCC) and/or geographic spend controls configurable per user or by platform-wide risk policy (e.g., block gambling MCCs by default, allow opt-out where legally permitted).</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S</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FR-5.7</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Every card authorization, capture, refund, decline, and chargeback event is captured as an event in the platform ledger and reconciled against the Issuing Partner/processor feed (Section 7.7).</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FR-5.8</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User receives real-time push notification on every card transaction (approved or declined) with merchant name and amount.</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FR-5.9</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Card issuance and all card-present/card-not-present transaction flows comply with the applicable card scheme rules and EMV/3-D Secure standards enforced by the Issuing Partner.</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bl>
    <w:p>
      <w:pPr>
        <w:pStyle w:val="Heading2"/>
        <w:spacing w:after="120" w:before="280"/>
      </w:pPr>
      <w:r>
        <w:t xml:space="preserve">7.6 Revenue Share Configuration and Split Accounting</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1100"/>
        <w:gridCol w:w="6800"/>
        <w:gridCol w:w="1600"/>
      </w:tblGrid>
      <w:tr>
        <w:trPr>
          <w:tblHeader/>
        </w:trPr>
        <w:tc>
          <w:tcPr>
            <w:tcW w:type="dxa" w:w="1100"/>
            <w:shd w:fill="1F3864" w:val="clear"/>
            <w:tcMar>
              <w:top w:type="dxa" w:w="80"/>
              <w:left w:type="dxa" w:w="100"/>
              <w:bottom w:type="dxa" w:w="80"/>
              <w:right w:type="dxa" w:w="100"/>
            </w:tcMar>
            <w:vAlign w:val="center"/>
          </w:tcPr>
          <w:p>
            <w:pPr>
              <w:spacing w:after="0" w:line="260"/>
            </w:pPr>
            <w:r>
              <w:rPr>
                <w:b/>
                <w:bCs/>
                <w:color w:val="FFFFFF"/>
                <w:sz w:val="20"/>
                <w:szCs w:val="20"/>
              </w:rPr>
              <w:t xml:space="preserve">ID</w:t>
            </w:r>
          </w:p>
        </w:tc>
        <w:tc>
          <w:tcPr>
            <w:tcW w:type="dxa" w:w="6800"/>
            <w:shd w:fill="1F3864" w:val="clear"/>
            <w:tcMar>
              <w:top w:type="dxa" w:w="80"/>
              <w:left w:type="dxa" w:w="100"/>
              <w:bottom w:type="dxa" w:w="80"/>
              <w:right w:type="dxa" w:w="100"/>
            </w:tcMar>
            <w:vAlign w:val="center"/>
          </w:tcPr>
          <w:p>
            <w:pPr>
              <w:spacing w:after="0" w:line="260"/>
            </w:pPr>
            <w:r>
              <w:rPr>
                <w:b/>
                <w:bCs/>
                <w:color w:val="FFFFFF"/>
                <w:sz w:val="20"/>
                <w:szCs w:val="20"/>
              </w:rPr>
              <w:t xml:space="preserve">Requirement</w:t>
            </w:r>
          </w:p>
        </w:tc>
        <w:tc>
          <w:tcPr>
            <w:tcW w:type="dxa" w:w="1600"/>
            <w:shd w:fill="1F3864" w:val="clear"/>
            <w:tcMar>
              <w:top w:type="dxa" w:w="80"/>
              <w:left w:type="dxa" w:w="100"/>
              <w:bottom w:type="dxa" w:w="80"/>
              <w:right w:type="dxa" w:w="100"/>
            </w:tcMar>
            <w:vAlign w:val="center"/>
          </w:tcPr>
          <w:p>
            <w:pPr>
              <w:spacing w:after="0" w:line="260"/>
            </w:pPr>
            <w:r>
              <w:rPr>
                <w:b/>
                <w:bCs/>
                <w:color w:val="FFFFFF"/>
                <w:sz w:val="20"/>
                <w:szCs w:val="20"/>
              </w:rPr>
              <w:t xml:space="preserve">Priority</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FR-6.1</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Back office can configure, per Loyalty Partner, a revenue-share model: percentage of redemption value, flat fee per redemption, flat fee per point, tiered percentage by volume, or a combination, with an effective-date range.</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FR-6.2</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System supports a minimum-fee and/or maximum-fee cap per redemption, per partner, where commercially agreed.</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S</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FR-6.3</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At the moment a redemption completes, the system computes and records: gross redemption value, platform share amount, Loyalty Partner share amount, and the rule/version applied — as an immutable entry linked to the transaction record (FR-3.6).</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FR-6.4</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Revenue-share configuration changes require dual control (maker-checker): one admin proposes a change, a second, different admin approves it before it becomes effective, with the full change history retained in the audit log.</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FR-6.5</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Back office can generate a revenue-share summary report per partner, per period, showing total redemptions, gross value, platform share, partner share, and any fee caps applied.</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FR-6.6</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System supports backdated correction of a misconfigured rate only via an explicit adjustment transaction that is itself audited and reported — never by silently editing historical ledger entries.</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bl>
    <w:p>
      <w:pPr>
        <w:spacing w:after="100"/>
      </w:pPr>
    </w:p>
    <w:p>
      <w:pPr>
        <w:spacing w:after="160" w:line="276"/>
      </w:pPr>
      <w:r>
        <w:t xml:space="preserve">Illustrative example — a user redeems 10,000 points from "Partner A" at a conversion rate of QAR 0.035 per point, under a 12% platform revenue share:</w:t>
      </w:r>
    </w:p>
    <w:tbl>
      <w:tblPr>
        <w:tblW w:type="dxa" w:w="9300"/>
        <w:tblBorders>
          <w:top w:val="single" w:color="BFBFBF" w:sz="4"/>
          <w:left w:val="single" w:color="BFBFBF" w:sz="4"/>
          <w:bottom w:val="single" w:color="BFBFBF" w:sz="4"/>
          <w:right w:val="single" w:color="BFBFBF" w:sz="4"/>
          <w:insideH w:val="single" w:color="D9D9D9" w:sz="4"/>
          <w:insideV w:val="single" w:color="D9D9D9" w:sz="4"/>
        </w:tblBorders>
      </w:tblPr>
      <w:tblGrid>
        <w:gridCol w:w="3600"/>
        <w:gridCol w:w="5700"/>
      </w:tblGrid>
      <w:tr>
        <w:trPr>
          <w:tblHeader/>
        </w:trPr>
        <w:tc>
          <w:tcPr>
            <w:tcW w:type="dxa" w:w="3600"/>
            <w:shd w:fill="1F3864" w:val="clear"/>
            <w:tcMar>
              <w:top w:type="dxa" w:w="80"/>
              <w:left w:type="dxa" w:w="100"/>
              <w:bottom w:type="dxa" w:w="80"/>
              <w:right w:type="dxa" w:w="100"/>
            </w:tcMar>
            <w:vAlign w:val="center"/>
          </w:tcPr>
          <w:p>
            <w:pPr>
              <w:spacing w:after="0" w:line="260"/>
            </w:pPr>
            <w:r>
              <w:rPr>
                <w:b/>
                <w:bCs/>
                <w:color w:val="FFFFFF"/>
                <w:sz w:val="20"/>
                <w:szCs w:val="20"/>
              </w:rPr>
              <w:t xml:space="preserve">Line Item</w:t>
            </w:r>
          </w:p>
        </w:tc>
        <w:tc>
          <w:tcPr>
            <w:tcW w:type="dxa" w:w="5700"/>
            <w:shd w:fill="1F3864" w:val="clear"/>
            <w:tcMar>
              <w:top w:type="dxa" w:w="80"/>
              <w:left w:type="dxa" w:w="100"/>
              <w:bottom w:type="dxa" w:w="80"/>
              <w:right w:type="dxa" w:w="100"/>
            </w:tcMar>
            <w:vAlign w:val="center"/>
          </w:tcPr>
          <w:p>
            <w:pPr>
              <w:spacing w:after="0" w:line="260"/>
            </w:pPr>
            <w:r>
              <w:rPr>
                <w:b/>
                <w:bCs/>
                <w:color w:val="FFFFFF"/>
                <w:sz w:val="20"/>
                <w:szCs w:val="20"/>
              </w:rPr>
              <w:t xml:space="preserve">Value</w:t>
            </w:r>
          </w:p>
        </w:tc>
      </w:tr>
      <w:tr>
        <w:trPr>
          <w:tblHeader w:val="false"/>
        </w:trPr>
        <w:tc>
          <w:tcPr>
            <w:tcW w:type="dxa" w:w="3600"/>
            <w:tcMar>
              <w:top w:type="dxa" w:w="80"/>
              <w:left w:type="dxa" w:w="100"/>
              <w:bottom w:type="dxa" w:w="80"/>
              <w:right w:type="dxa" w:w="100"/>
            </w:tcMar>
            <w:vAlign w:val="center"/>
          </w:tcPr>
          <w:p>
            <w:pPr>
              <w:spacing w:after="0" w:line="260"/>
            </w:pPr>
            <w:r>
              <w:rPr>
                <w:b w:val="false"/>
                <w:bCs w:val="false"/>
                <w:color w:val="000000"/>
                <w:sz w:val="20"/>
                <w:szCs w:val="20"/>
              </w:rPr>
              <w:t xml:space="preserve">Points redeemed</w:t>
            </w:r>
          </w:p>
        </w:tc>
        <w:tc>
          <w:tcPr>
            <w:tcW w:type="dxa" w:w="5700"/>
            <w:tcMar>
              <w:top w:type="dxa" w:w="80"/>
              <w:left w:type="dxa" w:w="100"/>
              <w:bottom w:type="dxa" w:w="80"/>
              <w:right w:type="dxa" w:w="100"/>
            </w:tcMar>
            <w:vAlign w:val="center"/>
          </w:tcPr>
          <w:p>
            <w:pPr>
              <w:spacing w:after="0" w:line="260"/>
            </w:pPr>
            <w:r>
              <w:rPr>
                <w:b w:val="false"/>
                <w:bCs w:val="false"/>
                <w:color w:val="000000"/>
                <w:sz w:val="20"/>
                <w:szCs w:val="20"/>
              </w:rPr>
              <w:t xml:space="preserve">10,000 points</w:t>
            </w:r>
          </w:p>
        </w:tc>
      </w:tr>
      <w:tr>
        <w:trPr>
          <w:tblHeader w:val="false"/>
        </w:trPr>
        <w:tc>
          <w:tcPr>
            <w:tcW w:type="dxa" w:w="3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Conversion rate</w:t>
            </w:r>
          </w:p>
        </w:tc>
        <w:tc>
          <w:tcPr>
            <w:tcW w:type="dxa" w:w="57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QAR 0.035 / point</w:t>
            </w:r>
          </w:p>
        </w:tc>
      </w:tr>
      <w:tr>
        <w:trPr>
          <w:tblHeader w:val="false"/>
        </w:trPr>
        <w:tc>
          <w:tcPr>
            <w:tcW w:type="dxa" w:w="3600"/>
            <w:tcMar>
              <w:top w:type="dxa" w:w="80"/>
              <w:left w:type="dxa" w:w="100"/>
              <w:bottom w:type="dxa" w:w="80"/>
              <w:right w:type="dxa" w:w="100"/>
            </w:tcMar>
            <w:vAlign w:val="center"/>
          </w:tcPr>
          <w:p>
            <w:pPr>
              <w:spacing w:after="0" w:line="260"/>
            </w:pPr>
            <w:r>
              <w:rPr>
                <w:b w:val="false"/>
                <w:bCs w:val="false"/>
                <w:color w:val="000000"/>
                <w:sz w:val="20"/>
                <w:szCs w:val="20"/>
              </w:rPr>
              <w:t xml:space="preserve">Gross redemption value</w:t>
            </w:r>
          </w:p>
        </w:tc>
        <w:tc>
          <w:tcPr>
            <w:tcW w:type="dxa" w:w="5700"/>
            <w:tcMar>
              <w:top w:type="dxa" w:w="80"/>
              <w:left w:type="dxa" w:w="100"/>
              <w:bottom w:type="dxa" w:w="80"/>
              <w:right w:type="dxa" w:w="100"/>
            </w:tcMar>
            <w:vAlign w:val="center"/>
          </w:tcPr>
          <w:p>
            <w:pPr>
              <w:spacing w:after="0" w:line="260"/>
            </w:pPr>
            <w:r>
              <w:rPr>
                <w:b w:val="false"/>
                <w:bCs w:val="false"/>
                <w:color w:val="000000"/>
                <w:sz w:val="20"/>
                <w:szCs w:val="20"/>
              </w:rPr>
              <w:t xml:space="preserve">QAR 350.00</w:t>
            </w:r>
          </w:p>
        </w:tc>
      </w:tr>
      <w:tr>
        <w:trPr>
          <w:tblHeader w:val="false"/>
        </w:trPr>
        <w:tc>
          <w:tcPr>
            <w:tcW w:type="dxa" w:w="3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Platform revenue share (12%)</w:t>
            </w:r>
          </w:p>
        </w:tc>
        <w:tc>
          <w:tcPr>
            <w:tcW w:type="dxa" w:w="57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QAR 42.00</w:t>
            </w:r>
          </w:p>
        </w:tc>
      </w:tr>
      <w:tr>
        <w:trPr>
          <w:tblHeader w:val="false"/>
        </w:trPr>
        <w:tc>
          <w:tcPr>
            <w:tcW w:type="dxa" w:w="3600"/>
            <w:tcMar>
              <w:top w:type="dxa" w:w="80"/>
              <w:left w:type="dxa" w:w="100"/>
              <w:bottom w:type="dxa" w:w="80"/>
              <w:right w:type="dxa" w:w="100"/>
            </w:tcMar>
            <w:vAlign w:val="center"/>
          </w:tcPr>
          <w:p>
            <w:pPr>
              <w:spacing w:after="0" w:line="260"/>
            </w:pPr>
            <w:r>
              <w:rPr>
                <w:b w:val="false"/>
                <w:bCs w:val="false"/>
                <w:color w:val="000000"/>
                <w:sz w:val="20"/>
                <w:szCs w:val="20"/>
              </w:rPr>
              <w:t xml:space="preserve">Amount credited to user's wallet</w:t>
            </w:r>
          </w:p>
        </w:tc>
        <w:tc>
          <w:tcPr>
            <w:tcW w:type="dxa" w:w="5700"/>
            <w:tcMar>
              <w:top w:type="dxa" w:w="80"/>
              <w:left w:type="dxa" w:w="100"/>
              <w:bottom w:type="dxa" w:w="80"/>
              <w:right w:type="dxa" w:w="100"/>
            </w:tcMar>
            <w:vAlign w:val="center"/>
          </w:tcPr>
          <w:p>
            <w:pPr>
              <w:spacing w:after="0" w:line="260"/>
            </w:pPr>
            <w:r>
              <w:rPr>
                <w:b w:val="false"/>
                <w:bCs w:val="false"/>
                <w:color w:val="000000"/>
                <w:sz w:val="20"/>
                <w:szCs w:val="20"/>
              </w:rPr>
              <w:t xml:space="preserve">QAR 308.00</w:t>
            </w:r>
          </w:p>
        </w:tc>
      </w:tr>
      <w:tr>
        <w:trPr>
          <w:tblHeader w:val="false"/>
        </w:trPr>
        <w:tc>
          <w:tcPr>
            <w:tcW w:type="dxa" w:w="3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Amount payable to / withheld from Loyalty Partner at settlement</w:t>
            </w:r>
          </w:p>
        </w:tc>
        <w:tc>
          <w:tcPr>
            <w:tcW w:type="dxa" w:w="57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QAR 350.00 gross, less QAR 42.00 platform share = QAR 308.00 net to reconcile, depending on commercial flow of funds agreed in the partner contract</w:t>
            </w:r>
          </w:p>
        </w:tc>
      </w:tr>
    </w:tbl>
    <w:p>
      <w:pPr>
        <w:pBdr>
          <w:left w:val="single" w:color="BF8F00" w:sz="16"/>
        </w:pBdr>
        <w:shd w:fill="FFF2CC" w:val="clear"/>
        <w:spacing w:after="200" w:before="80" w:line="276"/>
        <w:ind w:left="120"/>
      </w:pPr>
      <w:r>
        <w:rPr>
          <w:b/>
          <w:bCs/>
          <w:i/>
          <w:iCs/>
          <w:sz w:val="20"/>
          <w:szCs w:val="20"/>
        </w:rPr>
        <w:t xml:space="preserve">Assumption: </w:t>
      </w:r>
      <w:r>
        <w:rPr>
          <w:i/>
          <w:iCs/>
          <w:sz w:val="20"/>
          <w:szCs w:val="20"/>
        </w:rPr>
        <w:t xml:space="preserve">Whether the platform share is deducted from the redemption value credited to the user, or billed separately to the Loyalty Partner on top of a 1:1 credit to the user, is a commercial decision. This BRD assumes the former (share deducted from gross value) as the simplest default, but the revenue-share engine (FR-6.1) must support either model per partner.</w:t>
      </w:r>
    </w:p>
    <w:p>
      <w:pPr>
        <w:pStyle w:val="Heading3"/>
        <w:spacing w:after="100" w:before="200"/>
      </w:pPr>
      <w:r>
        <w:t xml:space="preserve">7.6.1 Configurable Merchant Revenue Share (Payout to the Loyalty Partner)</w:t>
      </w:r>
    </w:p>
    <w:p>
      <w:pPr>
        <w:spacing w:after="160" w:line="276"/>
      </w:pPr>
      <w:r>
        <w:t xml:space="preserve">In addition to charging a platform share on redemption (Section 7.6), the owner has requested the ability to share a portion of the revenue generated on a transaction back with the Loyalty Partner whose points were redeemed — for example, as a volume incentive/commission that rewards partners who drive the most redemption activity through Pull2Spend. This is modeled as a distinct, independently configurable rule per partner, so a given Loyalty Partner can be on a "platform charges partner" model, a "platform pays partner" model, both at once (net settled), or neither.</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1100"/>
        <w:gridCol w:w="6800"/>
        <w:gridCol w:w="1600"/>
      </w:tblGrid>
      <w:tr>
        <w:trPr>
          <w:tblHeader/>
        </w:trPr>
        <w:tc>
          <w:tcPr>
            <w:tcW w:type="dxa" w:w="1100"/>
            <w:shd w:fill="1F3864" w:val="clear"/>
            <w:tcMar>
              <w:top w:type="dxa" w:w="80"/>
              <w:left w:type="dxa" w:w="100"/>
              <w:bottom w:type="dxa" w:w="80"/>
              <w:right w:type="dxa" w:w="100"/>
            </w:tcMar>
            <w:vAlign w:val="center"/>
          </w:tcPr>
          <w:p>
            <w:pPr>
              <w:spacing w:after="0" w:line="260"/>
            </w:pPr>
            <w:r>
              <w:rPr>
                <w:b/>
                <w:bCs/>
                <w:color w:val="FFFFFF"/>
                <w:sz w:val="20"/>
                <w:szCs w:val="20"/>
              </w:rPr>
              <w:t xml:space="preserve">ID</w:t>
            </w:r>
          </w:p>
        </w:tc>
        <w:tc>
          <w:tcPr>
            <w:tcW w:type="dxa" w:w="6800"/>
            <w:shd w:fill="1F3864" w:val="clear"/>
            <w:tcMar>
              <w:top w:type="dxa" w:w="80"/>
              <w:left w:type="dxa" w:w="100"/>
              <w:bottom w:type="dxa" w:w="80"/>
              <w:right w:type="dxa" w:w="100"/>
            </w:tcMar>
            <w:vAlign w:val="center"/>
          </w:tcPr>
          <w:p>
            <w:pPr>
              <w:spacing w:after="0" w:line="260"/>
            </w:pPr>
            <w:r>
              <w:rPr>
                <w:b/>
                <w:bCs/>
                <w:color w:val="FFFFFF"/>
                <w:sz w:val="20"/>
                <w:szCs w:val="20"/>
              </w:rPr>
              <w:t xml:space="preserve">Requirement</w:t>
            </w:r>
          </w:p>
        </w:tc>
        <w:tc>
          <w:tcPr>
            <w:tcW w:type="dxa" w:w="1600"/>
            <w:shd w:fill="1F3864" w:val="clear"/>
            <w:tcMar>
              <w:top w:type="dxa" w:w="80"/>
              <w:left w:type="dxa" w:w="100"/>
              <w:bottom w:type="dxa" w:w="80"/>
              <w:right w:type="dxa" w:w="100"/>
            </w:tcMar>
            <w:vAlign w:val="center"/>
          </w:tcPr>
          <w:p>
            <w:pPr>
              <w:spacing w:after="0" w:line="260"/>
            </w:pPr>
            <w:r>
              <w:rPr>
                <w:b/>
                <w:bCs/>
                <w:color w:val="FFFFFF"/>
                <w:sz w:val="20"/>
                <w:szCs w:val="20"/>
              </w:rPr>
              <w:t xml:space="preserve">Priority</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FR-6.7</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Back office can enable, per Loyalty Partner, a "Merchant Revenue Share" rule under which Pull2Spend pays that partner a configurable share of the revenue generated on each redemption transaction sourced from that partner's points. Disabled by default for a newly onboarded partner.</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FR-6.8</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The Merchant Revenue Share rule uses the same configuration model as FR-6.1: percentage of gross redemption value, percentage of Pull2Spend's net platform margin on the transaction, flat fee per redemption, flat fee per point, or tiered by monthly redemption volume — selectable per partner, with an effective-date range.</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FR-6.9</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System supports a per-transaction and/or per-period cap on the Merchant Revenue Share payout (e.g., "no more than QAR X per transaction" or "no more than QAR Y per calendar month"), to bound Pull2Spend's payout exposure to a single partner.</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S</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FR-6.10</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System validates that a proposed Merchant Revenue Share rule cannot, by construction, exceed the platform's own revenue on the same transaction (i.e., Pull2Spend cannot be configured to pay out more than it earns) unless an authorized override with documented business justification is approved via dual control.</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FR-6.11</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At the moment a redemption completes, if a Merchant Revenue Share rule is active for that partner, the system computes and records the payout amount as its own immutable ledger line, separate from (but linked to) the platform-share entry in FR-6.3.</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FR-6.12</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Merchant Revenue Share amounts are enabled/disabled and configured through the same dual-control (maker-checker) workflow as FR-6.4, with full change history retained in the audit log.</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FR-6.13</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The per-partner revenue-share summary report (FR-6.5) is extended to show, per period: total platform share earned, total Merchant Revenue Share paid out, and the resulting net amount, per partner.</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FR-6.14</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The Merchant Revenue Share payout for a given settlement period is included as a distinct, itemized line in that partner's settlement file (Section 7.7) and Settlement Verification Report, so the partner can independently verify what they are owed.</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bl>
    <w:p>
      <w:pPr>
        <w:spacing w:after="100"/>
      </w:pPr>
    </w:p>
    <w:p>
      <w:pPr>
        <w:spacing w:after="160" w:line="276"/>
      </w:pPr>
      <w:r>
        <w:t xml:space="preserve">Illustrative example — building on the redemption above (10,000 points from "Partner A", QAR 350.00 gross, 12% platform share of QAR 42.00), assume Partner A also has a Merchant Revenue Share rule of 25% of Pull2Spend's platform margin on the transaction:</w:t>
      </w:r>
    </w:p>
    <w:tbl>
      <w:tblPr>
        <w:tblW w:type="dxa" w:w="9300"/>
        <w:tblBorders>
          <w:top w:val="single" w:color="BFBFBF" w:sz="4"/>
          <w:left w:val="single" w:color="BFBFBF" w:sz="4"/>
          <w:bottom w:val="single" w:color="BFBFBF" w:sz="4"/>
          <w:right w:val="single" w:color="BFBFBF" w:sz="4"/>
          <w:insideH w:val="single" w:color="D9D9D9" w:sz="4"/>
          <w:insideV w:val="single" w:color="D9D9D9" w:sz="4"/>
        </w:tblBorders>
      </w:tblPr>
      <w:tblGrid>
        <w:gridCol w:w="3600"/>
        <w:gridCol w:w="5700"/>
      </w:tblGrid>
      <w:tr>
        <w:trPr>
          <w:tblHeader/>
        </w:trPr>
        <w:tc>
          <w:tcPr>
            <w:tcW w:type="dxa" w:w="3600"/>
            <w:shd w:fill="1F3864" w:val="clear"/>
            <w:tcMar>
              <w:top w:type="dxa" w:w="80"/>
              <w:left w:type="dxa" w:w="100"/>
              <w:bottom w:type="dxa" w:w="80"/>
              <w:right w:type="dxa" w:w="100"/>
            </w:tcMar>
            <w:vAlign w:val="center"/>
          </w:tcPr>
          <w:p>
            <w:pPr>
              <w:spacing w:after="0" w:line="260"/>
            </w:pPr>
            <w:r>
              <w:rPr>
                <w:b/>
                <w:bCs/>
                <w:color w:val="FFFFFF"/>
                <w:sz w:val="20"/>
                <w:szCs w:val="20"/>
              </w:rPr>
              <w:t xml:space="preserve">Line Item</w:t>
            </w:r>
          </w:p>
        </w:tc>
        <w:tc>
          <w:tcPr>
            <w:tcW w:type="dxa" w:w="5700"/>
            <w:shd w:fill="1F3864" w:val="clear"/>
            <w:tcMar>
              <w:top w:type="dxa" w:w="80"/>
              <w:left w:type="dxa" w:w="100"/>
              <w:bottom w:type="dxa" w:w="80"/>
              <w:right w:type="dxa" w:w="100"/>
            </w:tcMar>
            <w:vAlign w:val="center"/>
          </w:tcPr>
          <w:p>
            <w:pPr>
              <w:spacing w:after="0" w:line="260"/>
            </w:pPr>
            <w:r>
              <w:rPr>
                <w:b/>
                <w:bCs/>
                <w:color w:val="FFFFFF"/>
                <w:sz w:val="20"/>
                <w:szCs w:val="20"/>
              </w:rPr>
              <w:t xml:space="preserve">Value</w:t>
            </w:r>
          </w:p>
        </w:tc>
      </w:tr>
      <w:tr>
        <w:trPr>
          <w:tblHeader w:val="false"/>
        </w:trPr>
        <w:tc>
          <w:tcPr>
            <w:tcW w:type="dxa" w:w="3600"/>
            <w:tcMar>
              <w:top w:type="dxa" w:w="80"/>
              <w:left w:type="dxa" w:w="100"/>
              <w:bottom w:type="dxa" w:w="80"/>
              <w:right w:type="dxa" w:w="100"/>
            </w:tcMar>
            <w:vAlign w:val="center"/>
          </w:tcPr>
          <w:p>
            <w:pPr>
              <w:spacing w:after="0" w:line="260"/>
            </w:pPr>
            <w:r>
              <w:rPr>
                <w:b w:val="false"/>
                <w:bCs w:val="false"/>
                <w:color w:val="000000"/>
                <w:sz w:val="20"/>
                <w:szCs w:val="20"/>
              </w:rPr>
              <w:t xml:space="preserve">Gross redemption value</w:t>
            </w:r>
          </w:p>
        </w:tc>
        <w:tc>
          <w:tcPr>
            <w:tcW w:type="dxa" w:w="5700"/>
            <w:tcMar>
              <w:top w:type="dxa" w:w="80"/>
              <w:left w:type="dxa" w:w="100"/>
              <w:bottom w:type="dxa" w:w="80"/>
              <w:right w:type="dxa" w:w="100"/>
            </w:tcMar>
            <w:vAlign w:val="center"/>
          </w:tcPr>
          <w:p>
            <w:pPr>
              <w:spacing w:after="0" w:line="260"/>
            </w:pPr>
            <w:r>
              <w:rPr>
                <w:b w:val="false"/>
                <w:bCs w:val="false"/>
                <w:color w:val="000000"/>
                <w:sz w:val="20"/>
                <w:szCs w:val="20"/>
              </w:rPr>
              <w:t xml:space="preserve">QAR 350.00</w:t>
            </w:r>
          </w:p>
        </w:tc>
      </w:tr>
      <w:tr>
        <w:trPr>
          <w:tblHeader w:val="false"/>
        </w:trPr>
        <w:tc>
          <w:tcPr>
            <w:tcW w:type="dxa" w:w="3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Platform revenue share withheld (12%)</w:t>
            </w:r>
          </w:p>
        </w:tc>
        <w:tc>
          <w:tcPr>
            <w:tcW w:type="dxa" w:w="57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QAR 42.00</w:t>
            </w:r>
          </w:p>
        </w:tc>
      </w:tr>
      <w:tr>
        <w:trPr>
          <w:tblHeader w:val="false"/>
        </w:trPr>
        <w:tc>
          <w:tcPr>
            <w:tcW w:type="dxa" w:w="3600"/>
            <w:tcMar>
              <w:top w:type="dxa" w:w="80"/>
              <w:left w:type="dxa" w:w="100"/>
              <w:bottom w:type="dxa" w:w="80"/>
              <w:right w:type="dxa" w:w="100"/>
            </w:tcMar>
            <w:vAlign w:val="center"/>
          </w:tcPr>
          <w:p>
            <w:pPr>
              <w:spacing w:after="0" w:line="260"/>
            </w:pPr>
            <w:r>
              <w:rPr>
                <w:b w:val="false"/>
                <w:bCs w:val="false"/>
                <w:color w:val="000000"/>
                <w:sz w:val="20"/>
                <w:szCs w:val="20"/>
              </w:rPr>
              <w:t xml:space="preserve">Amount credited to user's wallet</w:t>
            </w:r>
          </w:p>
        </w:tc>
        <w:tc>
          <w:tcPr>
            <w:tcW w:type="dxa" w:w="5700"/>
            <w:tcMar>
              <w:top w:type="dxa" w:w="80"/>
              <w:left w:type="dxa" w:w="100"/>
              <w:bottom w:type="dxa" w:w="80"/>
              <w:right w:type="dxa" w:w="100"/>
            </w:tcMar>
            <w:vAlign w:val="center"/>
          </w:tcPr>
          <w:p>
            <w:pPr>
              <w:spacing w:after="0" w:line="260"/>
            </w:pPr>
            <w:r>
              <w:rPr>
                <w:b w:val="false"/>
                <w:bCs w:val="false"/>
                <w:color w:val="000000"/>
                <w:sz w:val="20"/>
                <w:szCs w:val="20"/>
              </w:rPr>
              <w:t xml:space="preserve">QAR 308.00</w:t>
            </w:r>
          </w:p>
        </w:tc>
      </w:tr>
      <w:tr>
        <w:trPr>
          <w:tblHeader w:val="false"/>
        </w:trPr>
        <w:tc>
          <w:tcPr>
            <w:tcW w:type="dxa" w:w="3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Merchant Revenue Share rate (configured for Partner A)</w:t>
            </w:r>
          </w:p>
        </w:tc>
        <w:tc>
          <w:tcPr>
            <w:tcW w:type="dxa" w:w="57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25% of platform margin</w:t>
            </w:r>
          </w:p>
        </w:tc>
      </w:tr>
      <w:tr>
        <w:trPr>
          <w:tblHeader w:val="false"/>
        </w:trPr>
        <w:tc>
          <w:tcPr>
            <w:tcW w:type="dxa" w:w="3600"/>
            <w:tcMar>
              <w:top w:type="dxa" w:w="80"/>
              <w:left w:type="dxa" w:w="100"/>
              <w:bottom w:type="dxa" w:w="80"/>
              <w:right w:type="dxa" w:w="100"/>
            </w:tcMar>
            <w:vAlign w:val="center"/>
          </w:tcPr>
          <w:p>
            <w:pPr>
              <w:spacing w:after="0" w:line="260"/>
            </w:pPr>
            <w:r>
              <w:rPr>
                <w:b w:val="false"/>
                <w:bCs w:val="false"/>
                <w:color w:val="000000"/>
                <w:sz w:val="20"/>
                <w:szCs w:val="20"/>
              </w:rPr>
              <w:t xml:space="preserve">Merchant Revenue Share payout to Partner A</w:t>
            </w:r>
          </w:p>
        </w:tc>
        <w:tc>
          <w:tcPr>
            <w:tcW w:type="dxa" w:w="5700"/>
            <w:tcMar>
              <w:top w:type="dxa" w:w="80"/>
              <w:left w:type="dxa" w:w="100"/>
              <w:bottom w:type="dxa" w:w="80"/>
              <w:right w:type="dxa" w:w="100"/>
            </w:tcMar>
            <w:vAlign w:val="center"/>
          </w:tcPr>
          <w:p>
            <w:pPr>
              <w:spacing w:after="0" w:line="260"/>
            </w:pPr>
            <w:r>
              <w:rPr>
                <w:b w:val="false"/>
                <w:bCs w:val="false"/>
                <w:color w:val="000000"/>
                <w:sz w:val="20"/>
                <w:szCs w:val="20"/>
              </w:rPr>
              <w:t xml:space="preserve">QAR 10.50 (25% of the QAR 42.00 platform margin)</w:t>
            </w:r>
          </w:p>
        </w:tc>
      </w:tr>
      <w:tr>
        <w:trPr>
          <w:tblHeader w:val="false"/>
        </w:trPr>
        <w:tc>
          <w:tcPr>
            <w:tcW w:type="dxa" w:w="3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Net revenue retained by Pull2Spend on this transaction</w:t>
            </w:r>
          </w:p>
        </w:tc>
        <w:tc>
          <w:tcPr>
            <w:tcW w:type="dxa" w:w="57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QAR 31.50 (QAR 42.00 platform share less QAR 10.50 paid out to the partner)</w:t>
            </w:r>
          </w:p>
        </w:tc>
      </w:tr>
      <w:tr>
        <w:trPr>
          <w:tblHeader w:val="false"/>
        </w:trPr>
        <w:tc>
          <w:tcPr>
            <w:tcW w:type="dxa" w:w="3600"/>
            <w:tcMar>
              <w:top w:type="dxa" w:w="80"/>
              <w:left w:type="dxa" w:w="100"/>
              <w:bottom w:type="dxa" w:w="80"/>
              <w:right w:type="dxa" w:w="100"/>
            </w:tcMar>
            <w:vAlign w:val="center"/>
          </w:tcPr>
          <w:p>
            <w:pPr>
              <w:spacing w:after="0" w:line="260"/>
            </w:pPr>
            <w:r>
              <w:rPr>
                <w:b w:val="false"/>
                <w:bCs w:val="false"/>
                <w:color w:val="000000"/>
                <w:sz w:val="20"/>
                <w:szCs w:val="20"/>
              </w:rPr>
              <w:t xml:space="preserve">Net settlement position with Partner A for this transaction</w:t>
            </w:r>
          </w:p>
        </w:tc>
        <w:tc>
          <w:tcPr>
            <w:tcW w:type="dxa" w:w="5700"/>
            <w:tcMar>
              <w:top w:type="dxa" w:w="80"/>
              <w:left w:type="dxa" w:w="100"/>
              <w:bottom w:type="dxa" w:w="80"/>
              <w:right w:type="dxa" w:w="100"/>
            </w:tcMar>
            <w:vAlign w:val="center"/>
          </w:tcPr>
          <w:p>
            <w:pPr>
              <w:spacing w:after="0" w:line="260"/>
            </w:pPr>
            <w:r>
              <w:rPr>
                <w:b w:val="false"/>
                <w:bCs w:val="false"/>
                <w:color w:val="000000"/>
                <w:sz w:val="20"/>
                <w:szCs w:val="20"/>
              </w:rPr>
              <w:t xml:space="preserve">Partner A receives QAR 10.50, itemized separately from any point-liability settlement already agreed in the partner contract</w:t>
            </w:r>
          </w:p>
        </w:tc>
      </w:tr>
    </w:tbl>
    <w:p>
      <w:pPr>
        <w:pBdr>
          <w:left w:val="single" w:color="BF8F00" w:sz="16"/>
        </w:pBdr>
        <w:shd w:fill="FFF2CC" w:val="clear"/>
        <w:spacing w:after="200" w:before="80" w:line="276"/>
        <w:ind w:left="120"/>
      </w:pPr>
      <w:r>
        <w:rPr>
          <w:b/>
          <w:bCs/>
          <w:i/>
          <w:iCs/>
          <w:sz w:val="20"/>
          <w:szCs w:val="20"/>
        </w:rPr>
        <w:t xml:space="preserve">Assumption: </w:t>
      </w:r>
      <w:r>
        <w:rPr>
          <w:i/>
          <w:iCs/>
          <w:sz w:val="20"/>
          <w:szCs w:val="20"/>
        </w:rPr>
        <w:t xml:space="preserve">This BRD assumes the Merchant Revenue Share is calculated as a share of Pull2Spend's own platform margin (so it can never exceed what the platform earns — see FR-6.10), rather than as a share of the full gross redemption value. The exact base (platform margin vs. gross value vs. card-spend interchange once the wallet is spent) is a commercial decision to confirm with the project owner and should be finalized before this rule is offered to any Loyalty Partner, since it directly affects Pull2Spend's per-transaction economics.</w:t>
      </w:r>
    </w:p>
    <w:p>
      <w:pPr>
        <w:pStyle w:val="Heading2"/>
        <w:spacing w:after="120" w:before="280"/>
      </w:pPr>
      <w:r>
        <w:t xml:space="preserve">7.7 Settlement and Reconciliation with Loyalty Partners</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1100"/>
        <w:gridCol w:w="6800"/>
        <w:gridCol w:w="1600"/>
      </w:tblGrid>
      <w:tr>
        <w:trPr>
          <w:tblHeader/>
        </w:trPr>
        <w:tc>
          <w:tcPr>
            <w:tcW w:type="dxa" w:w="1100"/>
            <w:shd w:fill="1F3864" w:val="clear"/>
            <w:tcMar>
              <w:top w:type="dxa" w:w="80"/>
              <w:left w:type="dxa" w:w="100"/>
              <w:bottom w:type="dxa" w:w="80"/>
              <w:right w:type="dxa" w:w="100"/>
            </w:tcMar>
            <w:vAlign w:val="center"/>
          </w:tcPr>
          <w:p>
            <w:pPr>
              <w:spacing w:after="0" w:line="260"/>
            </w:pPr>
            <w:r>
              <w:rPr>
                <w:b/>
                <w:bCs/>
                <w:color w:val="FFFFFF"/>
                <w:sz w:val="20"/>
                <w:szCs w:val="20"/>
              </w:rPr>
              <w:t xml:space="preserve">ID</w:t>
            </w:r>
          </w:p>
        </w:tc>
        <w:tc>
          <w:tcPr>
            <w:tcW w:type="dxa" w:w="6800"/>
            <w:shd w:fill="1F3864" w:val="clear"/>
            <w:tcMar>
              <w:top w:type="dxa" w:w="80"/>
              <w:left w:type="dxa" w:w="100"/>
              <w:bottom w:type="dxa" w:w="80"/>
              <w:right w:type="dxa" w:w="100"/>
            </w:tcMar>
            <w:vAlign w:val="center"/>
          </w:tcPr>
          <w:p>
            <w:pPr>
              <w:spacing w:after="0" w:line="260"/>
            </w:pPr>
            <w:r>
              <w:rPr>
                <w:b/>
                <w:bCs/>
                <w:color w:val="FFFFFF"/>
                <w:sz w:val="20"/>
                <w:szCs w:val="20"/>
              </w:rPr>
              <w:t xml:space="preserve">Requirement</w:t>
            </w:r>
          </w:p>
        </w:tc>
        <w:tc>
          <w:tcPr>
            <w:tcW w:type="dxa" w:w="1600"/>
            <w:shd w:fill="1F3864" w:val="clear"/>
            <w:tcMar>
              <w:top w:type="dxa" w:w="80"/>
              <w:left w:type="dxa" w:w="100"/>
              <w:bottom w:type="dxa" w:w="80"/>
              <w:right w:type="dxa" w:w="100"/>
            </w:tcMar>
            <w:vAlign w:val="center"/>
          </w:tcPr>
          <w:p>
            <w:pPr>
              <w:spacing w:after="0" w:line="260"/>
            </w:pPr>
            <w:r>
              <w:rPr>
                <w:b/>
                <w:bCs/>
                <w:color w:val="FFFFFF"/>
                <w:sz w:val="20"/>
                <w:szCs w:val="20"/>
              </w:rPr>
              <w:t xml:space="preserve">Priority</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FR-7.1</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Back office can configure a settlement schedule per Loyalty Partner by date/time (e.g., daily at 23:00, weekly on Sundays, or monthly on the 1st), independent of other partners' schedules.</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FR-7.2</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At each scheduled run, the system automatically generates a settlement file per partner covering the defined period, listing every redemption transaction, points redeemed, gross value, platform share, and net amount, in an agreed machine-readable format (e.g., CSV or ISO 20022-style structured file).</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FR-7.3</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Settlement files are numbered/versioned, checksummed, and delivered via a secure channel (SFTP with key-based auth, or partner API) with delivery confirmation logged.</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FR-7.4</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Back office can trigger an on-demand/ad-hoc settlement run for a custom date/time range, outside the regular schedule, for investigation or catch-up purposes.</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S</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FR-7.5</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System supports both settlement directions: platform pays partner (e.g., partner is owed the point-liability value) and partner pays platform (e.g., partner pays platform its share) — configurable per partner contract.</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FR-7.6</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System produces a Settlement Verification Report per run, reconciling the settlement file total against the underlying transaction ledger, and flags any mismatch before the file is marked "final".</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FR-7.7</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System produces a separate Card Settlement Reconciliation Report reconciling card-scheme/Issuing-Partner settlement feeds (authorizations, captures, refunds, chargebacks) against Pull2Spend's internal wallet and card ledgers, run at least daily.</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FR-7.8</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Any reconciliation break (settlement file vs. ledger, or card feed vs. ledger) creates a case in a back-office exceptions queue with aging, owner assignment, and resolution audit trail.</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tcMar>
              <w:top w:type="dxa" w:w="80"/>
              <w:left w:type="dxa" w:w="100"/>
              <w:bottom w:type="dxa" w:w="80"/>
              <w:right w:type="dxa" w:w="100"/>
            </w:tcMar>
            <w:vAlign w:val="center"/>
          </w:tcPr>
          <w:p>
            <w:pPr>
              <w:spacing w:after="0" w:line="260"/>
            </w:pPr>
            <w:r>
              <w:rPr>
                <w:b w:val="false"/>
                <w:bCs w:val="false"/>
                <w:color w:val="000000"/>
                <w:sz w:val="20"/>
                <w:szCs w:val="20"/>
              </w:rPr>
              <w:t xml:space="preserve">FR-7.9</w:t>
            </w:r>
          </w:p>
        </w:tc>
        <w:tc>
          <w:tcPr>
            <w:tcW w:type="dxa" w:w="6800"/>
            <w:tcMar>
              <w:top w:type="dxa" w:w="80"/>
              <w:left w:type="dxa" w:w="100"/>
              <w:bottom w:type="dxa" w:w="80"/>
              <w:right w:type="dxa" w:w="100"/>
            </w:tcMar>
            <w:vAlign w:val="center"/>
          </w:tcPr>
          <w:p>
            <w:pPr>
              <w:spacing w:after="0" w:line="260"/>
            </w:pPr>
            <w:r>
              <w:rPr>
                <w:b w:val="false"/>
                <w:bCs w:val="false"/>
                <w:color w:val="000000"/>
                <w:sz w:val="20"/>
                <w:szCs w:val="20"/>
              </w:rPr>
              <w:t xml:space="preserve">Historical settlement files and reconciliation reports are retained and retrievable for a configurable retention period aligned with regulatory record-keeping requirements (Section 10.2).</w:t>
            </w:r>
          </w:p>
        </w:tc>
        <w:tc>
          <w:tcPr>
            <w:tcW w:type="dxa" w:w="1600"/>
            <w:tcMar>
              <w:top w:type="dxa" w:w="80"/>
              <w:left w:type="dxa" w:w="100"/>
              <w:bottom w:type="dxa" w:w="80"/>
              <w:right w:type="dxa" w:w="100"/>
            </w:tcMar>
            <w:vAlign w:val="center"/>
          </w:tcPr>
          <w:p>
            <w:pPr>
              <w:spacing w:after="0" w:line="260"/>
            </w:pPr>
            <w:r>
              <w:rPr>
                <w:b w:val="false"/>
                <w:bCs w:val="false"/>
                <w:color w:val="000000"/>
                <w:sz w:val="20"/>
                <w:szCs w:val="20"/>
              </w:rPr>
              <w:t xml:space="preserve">M</w:t>
            </w:r>
          </w:p>
        </w:tc>
      </w:tr>
      <w:tr>
        <w:trPr>
          <w:tblHeader w:val="false"/>
        </w:trPr>
        <w:tc>
          <w:tcPr>
            <w:tcW w:type="dxa" w:w="11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FR-7.10</w:t>
            </w:r>
          </w:p>
        </w:tc>
        <w:tc>
          <w:tcPr>
            <w:tcW w:type="dxa" w:w="68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Loyalty Partners can optionally be given restricted, read-only portal access to view and download their own settlement statements and reconciliation confirmations (self-service), reducing manual back-and-forth.</w:t>
            </w:r>
          </w:p>
        </w:tc>
        <w:tc>
          <w:tcPr>
            <w:tcW w:type="dxa" w:w="1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C</w:t>
            </w:r>
          </w:p>
        </w:tc>
      </w:tr>
    </w:tbl>
    <w:p>
      <w:r>
        <w:br w:type="page"/>
      </w:r>
    </w:p>
    <w:p>
      <w:pPr>
        <w:pStyle w:val="Heading2"/>
        <w:spacing w:after="120" w:before="280"/>
      </w:pPr>
      <w:r>
        <w:t xml:space="preserve">7.8 Back-Office (Admin) Portal</w:t>
      </w:r>
    </w:p>
    <w:p>
      <w:pPr>
        <w:spacing w:after="160" w:line="276"/>
      </w:pPr>
      <w:r>
        <w:t xml:space="preserve">A secure, role-based web portal for internal staff, separate from the consumer mobile app, covering the following functional areas:</w:t>
      </w:r>
    </w:p>
    <w:p>
      <w:pPr>
        <w:pStyle w:val="Heading3"/>
        <w:spacing w:after="100" w:before="200"/>
      </w:pPr>
      <w:r>
        <w:t xml:space="preserve">7.8.1 User &amp; Account Management</w:t>
      </w:r>
    </w:p>
    <w:p>
      <w:pPr>
        <w:pStyle w:val="ListParagraph"/>
        <w:numPr>
          <w:ilvl w:val="0"/>
          <w:numId w:val="2"/>
        </w:numPr>
        <w:spacing w:after="80" w:line="276"/>
      </w:pPr>
      <w:r>
        <w:t xml:space="preserve">Search and view user profiles, KYC status/documents, connected Loyalty Partners, wallet balance, card status, and full transaction history.</w:t>
      </w:r>
    </w:p>
    <w:p>
      <w:pPr>
        <w:pStyle w:val="ListParagraph"/>
        <w:numPr>
          <w:ilvl w:val="0"/>
          <w:numId w:val="2"/>
        </w:numPr>
        <w:spacing w:after="80" w:line="276"/>
      </w:pPr>
      <w:r>
        <w:t xml:space="preserve">Suspend, reinstate, or offboard a user account; force step-up re-verification if fraud is suspected.</w:t>
      </w:r>
    </w:p>
    <w:p>
      <w:pPr>
        <w:pStyle w:val="ListParagraph"/>
        <w:numPr>
          <w:ilvl w:val="0"/>
          <w:numId w:val="2"/>
        </w:numPr>
        <w:spacing w:after="80" w:line="276"/>
      </w:pPr>
      <w:r>
        <w:t xml:space="preserve">View and manage KYC review queue (sanctions/PEP hits, document exceptions) with approve/reject workflow and reason codes.</w:t>
      </w:r>
    </w:p>
    <w:p>
      <w:pPr>
        <w:pStyle w:val="Heading3"/>
        <w:spacing w:after="100" w:before="200"/>
      </w:pPr>
      <w:r>
        <w:t xml:space="preserve">7.8.2 Failed Transactions &amp; Case Management</w:t>
      </w:r>
    </w:p>
    <w:p>
      <w:pPr>
        <w:pStyle w:val="ListParagraph"/>
        <w:numPr>
          <w:ilvl w:val="0"/>
          <w:numId w:val="2"/>
        </w:numPr>
        <w:spacing w:after="80" w:line="276"/>
      </w:pPr>
      <w:r>
        <w:t xml:space="preserve">Unified queue of failed redemptions, failed card provisioning, and reconciliation exceptions, each with status, owner, SLA timer, and resolution notes.</w:t>
      </w:r>
    </w:p>
    <w:p>
      <w:pPr>
        <w:pStyle w:val="ListParagraph"/>
        <w:numPr>
          <w:ilvl w:val="0"/>
          <w:numId w:val="2"/>
        </w:numPr>
        <w:spacing w:after="80" w:line="276"/>
      </w:pPr>
      <w:r>
        <w:t xml:space="preserve">Ability to manually retry, reverse, or escalate a failed transaction, with every action captured in the audit log.</w:t>
      </w:r>
    </w:p>
    <w:p>
      <w:pPr>
        <w:pStyle w:val="Heading3"/>
        <w:spacing w:after="100" w:before="200"/>
      </w:pPr>
      <w:r>
        <w:t xml:space="preserve">7.8.3 Loyalty Partner (Connector) Configuration</w:t>
      </w:r>
    </w:p>
    <w:p>
      <w:pPr>
        <w:pStyle w:val="ListParagraph"/>
        <w:numPr>
          <w:ilvl w:val="0"/>
          <w:numId w:val="2"/>
        </w:numPr>
        <w:spacing w:after="80" w:line="276"/>
      </w:pPr>
      <w:r>
        <w:t xml:space="preserve">Onboard a new Loyalty Partner: connection type (API/OAuth, batch/file, credential-vault), endpoint/credentials (stored via secrets manager, never shown in plaintext in the UI), data-mapping rules, and go-live status (sandbox/staging/production).</w:t>
      </w:r>
    </w:p>
    <w:p>
      <w:pPr>
        <w:pStyle w:val="ListParagraph"/>
        <w:numPr>
          <w:ilvl w:val="0"/>
          <w:numId w:val="2"/>
        </w:numPr>
        <w:spacing w:after="80" w:line="276"/>
      </w:pPr>
      <w:r>
        <w:t xml:space="preserve">Configure per-partner conversion rate(s), minimum/maximum redemption limits, and settlement schedule.</w:t>
      </w:r>
    </w:p>
    <w:p>
      <w:pPr>
        <w:pStyle w:val="ListParagraph"/>
        <w:numPr>
          <w:ilvl w:val="0"/>
          <w:numId w:val="2"/>
        </w:numPr>
        <w:spacing w:after="80" w:line="276"/>
      </w:pPr>
      <w:r>
        <w:t xml:space="preserve">Monitor per-partner connector health: success rate, latency, last successful sync, error trend.</w:t>
      </w:r>
    </w:p>
    <w:p>
      <w:pPr>
        <w:pStyle w:val="Heading3"/>
        <w:spacing w:after="100" w:before="200"/>
      </w:pPr>
      <w:r>
        <w:t xml:space="preserve">7.8.4 Revenue Share Configuration</w:t>
      </w:r>
    </w:p>
    <w:p>
      <w:pPr>
        <w:pStyle w:val="ListParagraph"/>
        <w:numPr>
          <w:ilvl w:val="0"/>
          <w:numId w:val="2"/>
        </w:numPr>
        <w:spacing w:after="80" w:line="276"/>
      </w:pPr>
      <w:r>
        <w:t xml:space="preserve">Create/update revenue-share rules per partner (percentage, flat, tiered, caps) with dual-control approval (FR-6.4).</w:t>
      </w:r>
    </w:p>
    <w:p>
      <w:pPr>
        <w:pStyle w:val="ListParagraph"/>
        <w:numPr>
          <w:ilvl w:val="0"/>
          <w:numId w:val="2"/>
        </w:numPr>
        <w:spacing w:after="80" w:line="276"/>
      </w:pPr>
      <w:r>
        <w:t xml:space="preserve">Enable or disable the Merchant Revenue Share payout rule per partner (FR-6.7), configure its rate/model and caps (FR-6.8, FR-6.9), and see a system warning if a proposed rate would exceed the platform's own margin on the transaction (FR-6.10).</w:t>
      </w:r>
    </w:p>
    <w:p>
      <w:pPr>
        <w:pStyle w:val="ListParagraph"/>
        <w:numPr>
          <w:ilvl w:val="0"/>
          <w:numId w:val="2"/>
        </w:numPr>
        <w:spacing w:after="80" w:line="276"/>
      </w:pPr>
      <w:r>
        <w:t xml:space="preserve">View full history of rate changes with effective dates and the admins who proposed/approved each change, covering both the platform-share and Merchant Revenue Share rules.</w:t>
      </w:r>
    </w:p>
    <w:p>
      <w:pPr>
        <w:pStyle w:val="Heading3"/>
        <w:spacing w:after="100" w:before="200"/>
      </w:pPr>
      <w:r>
        <w:t xml:space="preserve">7.8.5 Audit Logs</w:t>
      </w:r>
    </w:p>
    <w:p>
      <w:pPr>
        <w:pStyle w:val="ListParagraph"/>
        <w:numPr>
          <w:ilvl w:val="0"/>
          <w:numId w:val="2"/>
        </w:numPr>
        <w:spacing w:after="80" w:line="276"/>
      </w:pPr>
      <w:r>
        <w:t xml:space="preserve">Immutable, tamper-evident log of every administrative action (who, what, when, before/after values, IP/device) covering configuration changes, manual transaction actions, user account actions, and admin access to sensitive data (e.g., viewing a full PAN).</w:t>
      </w:r>
    </w:p>
    <w:p>
      <w:pPr>
        <w:pStyle w:val="ListParagraph"/>
        <w:numPr>
          <w:ilvl w:val="0"/>
          <w:numId w:val="2"/>
        </w:numPr>
        <w:spacing w:after="80" w:line="276"/>
      </w:pPr>
      <w:r>
        <w:t xml:space="preserve">Audit log is write-once (append-only) and independently exportable for external audit or regulator request.</w:t>
      </w:r>
    </w:p>
    <w:p>
      <w:pPr>
        <w:pStyle w:val="ListParagraph"/>
        <w:numPr>
          <w:ilvl w:val="0"/>
          <w:numId w:val="2"/>
        </w:numPr>
        <w:spacing w:after="80" w:line="276"/>
      </w:pPr>
      <w:r>
        <w:t xml:space="preserve">Role-based access so only authorized compliance/security staff can view the audit log itself.</w:t>
      </w:r>
    </w:p>
    <w:p>
      <w:pPr>
        <w:pStyle w:val="Heading3"/>
        <w:spacing w:after="100" w:before="200"/>
      </w:pPr>
      <w:r>
        <w:t xml:space="preserve">7.8.6 Reporting and Analytics Dashboard</w:t>
      </w:r>
    </w:p>
    <w:p>
      <w:pPr>
        <w:pStyle w:val="ListParagraph"/>
        <w:numPr>
          <w:ilvl w:val="0"/>
          <w:numId w:val="2"/>
        </w:numPr>
        <w:spacing w:after="80" w:line="276"/>
      </w:pPr>
      <w:r>
        <w:t xml:space="preserve">Operational dashboard: active users, KYC funnel conversion, redemption volume/value trends, connector health, card issuance and spend volume, failed-transaction rate.</w:t>
      </w:r>
    </w:p>
    <w:p>
      <w:pPr>
        <w:pStyle w:val="ListParagraph"/>
        <w:numPr>
          <w:ilvl w:val="0"/>
          <w:numId w:val="2"/>
        </w:numPr>
        <w:spacing w:after="80" w:line="276"/>
      </w:pPr>
      <w:r>
        <w:t xml:space="preserve">Financial dashboard: revenue share earned (platform), amounts payable/receivable per partner, settlement status by partner and period, outstanding reconciliation breaks.</w:t>
      </w:r>
    </w:p>
    <w:p>
      <w:pPr>
        <w:pStyle w:val="ListParagraph"/>
        <w:numPr>
          <w:ilvl w:val="0"/>
          <w:numId w:val="2"/>
        </w:numPr>
        <w:spacing w:after="80" w:line="276"/>
      </w:pPr>
      <w:r>
        <w:t xml:space="preserve">Risk/compliance dashboard: sanctions-screening hit rate, suspicious-activity flags, velocity-rule triggers, chargeback rate.</w:t>
      </w:r>
    </w:p>
    <w:p>
      <w:pPr>
        <w:pStyle w:val="ListParagraph"/>
        <w:numPr>
          <w:ilvl w:val="0"/>
          <w:numId w:val="2"/>
        </w:numPr>
        <w:spacing w:after="80" w:line="276"/>
      </w:pPr>
      <w:r>
        <w:t xml:space="preserve">Configurable, exportable reports (CSV/PDF/Excel) and scheduled email delivery of standard reports to named recipients.</w:t>
      </w:r>
    </w:p>
    <w:p>
      <w:pPr>
        <w:pStyle w:val="ListParagraph"/>
        <w:numPr>
          <w:ilvl w:val="0"/>
          <w:numId w:val="2"/>
        </w:numPr>
        <w:spacing w:after="80" w:line="276"/>
      </w:pPr>
      <w:r>
        <w:t xml:space="preserve">Role-based dashboards — e.g., a Loyalty Partner manager sees only that partner's data if partner self-service (FR-7.10) is enabled.</w:t>
      </w:r>
    </w:p>
    <w:p>
      <w:pPr>
        <w:pStyle w:val="Heading3"/>
        <w:spacing w:after="100" w:before="200"/>
      </w:pPr>
      <w:r>
        <w:t xml:space="preserve">7.8.7 Back-Office Access Control</w:t>
      </w:r>
    </w:p>
    <w:p>
      <w:pPr>
        <w:pStyle w:val="ListParagraph"/>
        <w:numPr>
          <w:ilvl w:val="0"/>
          <w:numId w:val="2"/>
        </w:numPr>
        <w:spacing w:after="80" w:line="276"/>
      </w:pPr>
      <w:r>
        <w:t xml:space="preserve">Role-based access control (RBAC) with least-privilege default roles (e.g., Support Agent, Operations, Compliance Officer, Finance, Super Admin), each scoped to the minimum functions/data needed.</w:t>
      </w:r>
    </w:p>
    <w:p>
      <w:pPr>
        <w:pStyle w:val="ListParagraph"/>
        <w:numPr>
          <w:ilvl w:val="0"/>
          <w:numId w:val="2"/>
        </w:numPr>
        <w:spacing w:after="80" w:line="276"/>
      </w:pPr>
      <w:r>
        <w:t xml:space="preserve">Mandatory multi-factor authentication for all back-office logins; SSO/SAML integration recommended for larger teams.</w:t>
      </w:r>
    </w:p>
    <w:p>
      <w:pPr>
        <w:pStyle w:val="ListParagraph"/>
        <w:numPr>
          <w:ilvl w:val="0"/>
          <w:numId w:val="2"/>
        </w:numPr>
        <w:spacing w:after="80" w:line="276"/>
      </w:pPr>
      <w:r>
        <w:t xml:space="preserve">Time-bound, justified access elevation ("break-glass") for sensitive actions, itself logged and reviewed.</w:t>
      </w:r>
    </w:p>
    <w:p>
      <w:pPr>
        <w:pStyle w:val="Heading2"/>
        <w:spacing w:after="120" w:before="280"/>
      </w:pPr>
      <w:r>
        <w:t xml:space="preserve">7.9 Notifications and Customer Support</w:t>
      </w:r>
    </w:p>
    <w:p>
      <w:pPr>
        <w:pStyle w:val="ListParagraph"/>
        <w:numPr>
          <w:ilvl w:val="0"/>
          <w:numId w:val="2"/>
        </w:numPr>
        <w:spacing w:after="80" w:line="276"/>
      </w:pPr>
      <w:r>
        <w:t xml:space="preserve">Push, SMS, and email notifications for: redemption completed/failed, card transaction, low/zero wallet balance, KYC status change, security events (new device login, password change), and point-expiry alerts (if available).</w:t>
      </w:r>
    </w:p>
    <w:p>
      <w:pPr>
        <w:pStyle w:val="ListParagraph"/>
        <w:numPr>
          <w:ilvl w:val="0"/>
          <w:numId w:val="2"/>
        </w:numPr>
        <w:spacing w:after="80" w:line="276"/>
      </w:pPr>
      <w:r>
        <w:t xml:space="preserve">In-app help center with FAQs and an in-app support chat or ticketing entry point, with case tracking visible to the user.</w:t>
      </w:r>
    </w:p>
    <w:p>
      <w:pPr>
        <w:pStyle w:val="ListParagraph"/>
        <w:numPr>
          <w:ilvl w:val="0"/>
          <w:numId w:val="2"/>
        </w:numPr>
        <w:spacing w:after="80" w:line="276"/>
      </w:pPr>
      <w:r>
        <w:t xml:space="preserve">Dispute/chargeback initiation flow for card transactions the user does not recognize, routed to back-office case management (Section 7.8.2) and, where applicable, to the Issuing Partner's chargeback process.</w:t>
      </w:r>
    </w:p>
    <w:p>
      <w:r>
        <w:br w:type="page"/>
      </w:r>
    </w:p>
    <w:p>
      <w:pPr>
        <w:pStyle w:val="Heading1"/>
        <w:spacing w:after="160" w:before="360"/>
      </w:pPr>
      <w:r>
        <w:t xml:space="preserve">8. Platform Requirements (Mobile Apps and Availability)</w:t>
      </w:r>
    </w:p>
    <w:p>
      <w:pPr>
        <w:pStyle w:val="ListParagraph"/>
        <w:numPr>
          <w:ilvl w:val="0"/>
          <w:numId w:val="2"/>
        </w:numPr>
        <w:spacing w:after="80" w:line="276"/>
      </w:pPr>
      <w:r>
        <w:t xml:space="preserve">Native or high-fidelity cross-platform apps for iOS (current and prior two major OS versions) and Android (current and prior two major OS versions).</w:t>
      </w:r>
    </w:p>
    <w:p>
      <w:pPr>
        <w:pStyle w:val="ListParagraph"/>
        <w:numPr>
          <w:ilvl w:val="0"/>
          <w:numId w:val="2"/>
        </w:numPr>
        <w:spacing w:after="80" w:line="276"/>
      </w:pPr>
      <w:r>
        <w:t xml:space="preserve">Consistent design system and terminology across platforms; feature parity between iOS and Android at each release.</w:t>
      </w:r>
    </w:p>
    <w:p>
      <w:pPr>
        <w:pStyle w:val="ListParagraph"/>
        <w:numPr>
          <w:ilvl w:val="0"/>
          <w:numId w:val="2"/>
        </w:numPr>
        <w:spacing w:after="80" w:line="276"/>
      </w:pPr>
      <w:r>
        <w:t xml:space="preserve">Support for Apple Pay and Google Pay provisioning of the virtual card as a Day-1 requirement, given the card is virtual-only.</w:t>
      </w:r>
    </w:p>
    <w:p>
      <w:pPr>
        <w:pStyle w:val="ListParagraph"/>
        <w:numPr>
          <w:ilvl w:val="0"/>
          <w:numId w:val="2"/>
        </w:numPr>
        <w:spacing w:after="80" w:line="276"/>
      </w:pPr>
      <w:r>
        <w:t xml:space="preserve">Offline-tolerant UX: cached, clearly timestamped balances are viewable offline; actions requiring connectivity (redeem, spend) are disabled gracefully with a clear message rather than failing silently.</w:t>
      </w:r>
    </w:p>
    <w:p>
      <w:pPr>
        <w:pStyle w:val="ListParagraph"/>
        <w:numPr>
          <w:ilvl w:val="0"/>
          <w:numId w:val="2"/>
        </w:numPr>
        <w:spacing w:after="80" w:line="276"/>
      </w:pPr>
      <w:r>
        <w:t xml:space="preserve">Accessibility: design to WCAG 2.1 AA equivalent for mobile (font scaling, screen-reader labels, color-contrast) and support both English and Arabic (with right-to-left layout) given the Qatar/GCC market.</w:t>
      </w:r>
    </w:p>
    <w:p>
      <w:pPr>
        <w:pStyle w:val="ListParagraph"/>
        <w:numPr>
          <w:ilvl w:val="0"/>
          <w:numId w:val="2"/>
        </w:numPr>
        <w:spacing w:after="80" w:line="276"/>
      </w:pPr>
      <w:r>
        <w:t xml:space="preserve">Target application availability of 99.9% for core read functions (balance viewing, login) and clear, user-visible maintenance windows for planned downtime.</w:t>
      </w:r>
    </w:p>
    <w:p>
      <w:pPr>
        <w:pStyle w:val="Heading1"/>
        <w:spacing w:after="160" w:before="360"/>
      </w:pPr>
      <w:r>
        <w:t xml:space="preserve">9. Non-Functional Requirements</w:t>
      </w:r>
    </w:p>
    <w:p>
      <w:pPr>
        <w:pStyle w:val="Heading2"/>
        <w:spacing w:after="120" w:before="280"/>
      </w:pPr>
      <w:r>
        <w:t xml:space="preserve">9.1 Security</w:t>
      </w:r>
    </w:p>
    <w:p>
      <w:pPr>
        <w:pStyle w:val="ListParagraph"/>
        <w:numPr>
          <w:ilvl w:val="0"/>
          <w:numId w:val="2"/>
        </w:numPr>
        <w:spacing w:after="80" w:line="276"/>
      </w:pPr>
      <w:r>
        <w:t xml:space="preserve">End-to-end encryption in transit (TLS 1.2+/1.3) for all client-server and server-to-partner communication; certificate pinning on the mobile apps.</w:t>
      </w:r>
    </w:p>
    <w:p>
      <w:pPr>
        <w:pStyle w:val="ListParagraph"/>
        <w:numPr>
          <w:ilvl w:val="0"/>
          <w:numId w:val="2"/>
        </w:numPr>
        <w:spacing w:after="80" w:line="276"/>
      </w:pPr>
      <w:r>
        <w:t xml:space="preserve">Encryption at rest (AES-256 or equivalent) for all sensitive data, with cryptographic keys managed in a dedicated key-management service / HSM, not embedded in application code.</w:t>
      </w:r>
    </w:p>
    <w:p>
      <w:pPr>
        <w:pStyle w:val="ListParagraph"/>
        <w:numPr>
          <w:ilvl w:val="0"/>
          <w:numId w:val="2"/>
        </w:numPr>
        <w:spacing w:after="80" w:line="276"/>
      </w:pPr>
      <w:r>
        <w:t xml:space="preserve">No storage of full card PAN, CVV, or Loyalty Partner plaintext passwords in Pull2Spend's own database — card data is tokenized by the Issuing Partner (PCI DSS scope minimization); partner credentials, where unavoidable (FR-2.3), are held only in a vault with strict access control and automatic rotation support.</w:t>
      </w:r>
    </w:p>
    <w:p>
      <w:pPr>
        <w:pStyle w:val="ListParagraph"/>
        <w:numPr>
          <w:ilvl w:val="0"/>
          <w:numId w:val="2"/>
        </w:numPr>
        <w:spacing w:after="80" w:line="276"/>
      </w:pPr>
      <w:r>
        <w:t xml:space="preserve">PCI DSS compliance appropriate to Pull2Spend's actual role — targeting the smallest applicable SAQ by relying on the Issuing Partner/processor for card-data handling wherever the architecture allows; full PCI DSS v4.0.1 assessment if any component of the platform ever directly touches cardholder data.</w:t>
      </w:r>
    </w:p>
    <w:p>
      <w:pPr>
        <w:pStyle w:val="ListParagraph"/>
        <w:numPr>
          <w:ilvl w:val="0"/>
          <w:numId w:val="2"/>
        </w:numPr>
        <w:spacing w:after="80" w:line="276"/>
      </w:pPr>
      <w:r>
        <w:t xml:space="preserve">Device-level protections: jailbreak/root detection, app-integrity checks, secure local storage (Keychain/Keystore) for tokens, and refusal to run sensitive flows on compromised devices (with a clear user message).</w:t>
      </w:r>
    </w:p>
    <w:p>
      <w:pPr>
        <w:pStyle w:val="ListParagraph"/>
        <w:numPr>
          <w:ilvl w:val="0"/>
          <w:numId w:val="2"/>
        </w:numPr>
        <w:spacing w:after="80" w:line="276"/>
      </w:pPr>
      <w:r>
        <w:t xml:space="preserve">API security: OAuth 2.0/OIDC for user-delegated Loyalty Partner access, mutual TLS or signed-request (HMAC) authentication for server-to-server and back-office APIs, rate limiting, and replay protection.</w:t>
      </w:r>
    </w:p>
    <w:p>
      <w:pPr>
        <w:pStyle w:val="ListParagraph"/>
        <w:numPr>
          <w:ilvl w:val="0"/>
          <w:numId w:val="2"/>
        </w:numPr>
        <w:spacing w:after="80" w:line="276"/>
      </w:pPr>
      <w:r>
        <w:t xml:space="preserve">Webhook and callback endpoints (from Loyalty Partners, card processor, settlement confirmations) must verify cryptographic signatures and be idempotent to safely handle retries/duplicates.</w:t>
      </w:r>
    </w:p>
    <w:p>
      <w:pPr>
        <w:pStyle w:val="ListParagraph"/>
        <w:numPr>
          <w:ilvl w:val="0"/>
          <w:numId w:val="2"/>
        </w:numPr>
        <w:spacing w:after="80" w:line="276"/>
      </w:pPr>
      <w:r>
        <w:t xml:space="preserve">Secrets (API keys, database credentials, signing keys) managed via a dedicated secrets manager with rotation policy; never committed to source control or exposed in logs.</w:t>
      </w:r>
    </w:p>
    <w:p>
      <w:pPr>
        <w:pStyle w:val="ListParagraph"/>
        <w:numPr>
          <w:ilvl w:val="0"/>
          <w:numId w:val="2"/>
        </w:numPr>
        <w:spacing w:after="80" w:line="276"/>
      </w:pPr>
      <w:r>
        <w:t xml:space="preserve">Fraud and anomaly monitoring: velocity checks on redemptions and card spend, device-fingerprinting, and rules-based or ML-based anomaly scoring feeding the back-office risk dashboard (Section 7.8.6).</w:t>
      </w:r>
    </w:p>
    <w:p>
      <w:pPr>
        <w:pStyle w:val="ListParagraph"/>
        <w:numPr>
          <w:ilvl w:val="0"/>
          <w:numId w:val="2"/>
        </w:numPr>
        <w:spacing w:after="80" w:line="276"/>
      </w:pPr>
      <w:r>
        <w:t xml:space="preserve">Regular independent penetration testing (at least annually and after major releases) and an ongoing vulnerability-disclosure/bug-bounty channel.</w:t>
      </w:r>
    </w:p>
    <w:p>
      <w:pPr>
        <w:pStyle w:val="ListParagraph"/>
        <w:numPr>
          <w:ilvl w:val="0"/>
          <w:numId w:val="2"/>
        </w:numPr>
        <w:spacing w:after="80" w:line="276"/>
      </w:pPr>
      <w:r>
        <w:t xml:space="preserve">Formal incident-response plan with defined severity levels, notification timelines (including regulatory breach-notification obligations), and post-incident review process.</w:t>
      </w:r>
    </w:p>
    <w:p>
      <w:pPr>
        <w:pStyle w:val="ListParagraph"/>
        <w:numPr>
          <w:ilvl w:val="0"/>
          <w:numId w:val="2"/>
        </w:numPr>
        <w:spacing w:after="80" w:line="276"/>
      </w:pPr>
      <w:r>
        <w:t xml:space="preserve">Principle of least privilege applied to every internal role, service account, and third-party integration; periodic access recertification.</w:t>
      </w:r>
    </w:p>
    <w:p>
      <w:pPr>
        <w:pStyle w:val="Heading2"/>
        <w:spacing w:after="120" w:before="280"/>
      </w:pPr>
      <w:r>
        <w:t xml:space="preserve">9.2 Compliance and Regulatory</w:t>
      </w:r>
    </w:p>
    <w:p>
      <w:pPr>
        <w:spacing w:after="160" w:line="276"/>
      </w:pPr>
      <w:r>
        <w:t xml:space="preserve">The specific licensing route (e.g., partnering under an existing licensed Issuing Partner/e-money institution as a program manager, versus Pull2Spend itself seeking a Qatar Central Bank payment-service-provider license) is a legal and commercial decision outside the scope of this BRD and must be confirmed with qualified legal counsel before build. The following regulatory reference points are known to be relevant and should inform design; they are not a substitute for formal legal advice.</w:t>
      </w:r>
    </w:p>
    <w:p>
      <w:pPr>
        <w:pStyle w:val="ListParagraph"/>
        <w:numPr>
          <w:ilvl w:val="0"/>
          <w:numId w:val="2"/>
        </w:numPr>
        <w:spacing w:after="80" w:line="276"/>
      </w:pPr>
      <w:r>
        <w:t xml:space="preserve">Qatar Central Bank (QCB) Payment Services Regulation governs the licensing, authorization, and oversight of payment service providers and e-money issuance in Qatar; Pull2Spend's card/wallet function will need to operate either under its own QCB authorization or under an appropriately licensed Issuing/Program partner.</w:t>
      </w:r>
    </w:p>
    <w:p>
      <w:pPr>
        <w:pStyle w:val="ListParagraph"/>
        <w:numPr>
          <w:ilvl w:val="0"/>
          <w:numId w:val="2"/>
        </w:numPr>
        <w:spacing w:after="80" w:line="276"/>
      </w:pPr>
      <w:r>
        <w:t xml:space="preserve">Qatar's Data Protection Law (Law No. 13 of 2016, on Protecting Personal Data Privacy) governs the collection, processing, and cross-border transfer of personal data of individuals in Qatar, including biometric/KYC data — design for data-subject rights, purpose limitation, and lawful cross-border transfer safeguards if any processing occurs outside Qatar.</w:t>
      </w:r>
    </w:p>
    <w:p>
      <w:pPr>
        <w:pStyle w:val="ListParagraph"/>
        <w:numPr>
          <w:ilvl w:val="0"/>
          <w:numId w:val="2"/>
        </w:numPr>
        <w:spacing w:after="80" w:line="276"/>
      </w:pPr>
      <w:r>
        <w:t xml:space="preserve">Qatar's Anti-Money Laundering and Combating the Financing of Terrorism Law (Law No. 20 of 2019) and related QCB/Qatar Financial Information Unit (QFIU) guidance require customer due diligence, ongoing transaction monitoring, sanctions screening, and suspicious-transaction reporting — the KYC, screening, and velocity-limit requirements in Sections 7.1 and 7.3 are designed to support this.</w:t>
      </w:r>
    </w:p>
    <w:p>
      <w:pPr>
        <w:pStyle w:val="ListParagraph"/>
        <w:numPr>
          <w:ilvl w:val="0"/>
          <w:numId w:val="2"/>
        </w:numPr>
        <w:spacing w:after="80" w:line="276"/>
      </w:pPr>
      <w:r>
        <w:t xml:space="preserve">Applicable card-scheme rules (Visa/Mastercard operating regulations) and EMV/3-D Secure standards govern virtual card issuance and transaction processing, enforced primarily by the Issuing Partner but relevant to Pull2Spend's UX and dispute-handling design.</w:t>
      </w:r>
    </w:p>
    <w:p>
      <w:pPr>
        <w:pStyle w:val="ListParagraph"/>
        <w:numPr>
          <w:ilvl w:val="0"/>
          <w:numId w:val="2"/>
        </w:numPr>
        <w:spacing w:after="80" w:line="276"/>
      </w:pPr>
      <w:r>
        <w:t xml:space="preserve">PCI DSS v4.0.1 (the current Payment Card Industry Data Security Standard) applies to any component of the platform that stores, processes, or transmits cardholder data, even indirectly — reinforcing the tokenization/scope-minimization approach in Section 9.1.</w:t>
      </w:r>
    </w:p>
    <w:p>
      <w:pPr>
        <w:pStyle w:val="ListParagraph"/>
        <w:numPr>
          <w:ilvl w:val="0"/>
          <w:numId w:val="2"/>
        </w:numPr>
        <w:spacing w:after="80" w:line="276"/>
      </w:pPr>
      <w:r>
        <w:t xml:space="preserve">If Pull2Spend or its Issuing Partner operates from or via the Qatar Financial Centre (QFC), the QFC Regulatory Authority (QFCRA) regime may apply instead of or alongside QCB rules — to be confirmed based on the chosen corporate/licensing structure.</w:t>
      </w:r>
    </w:p>
    <w:p>
      <w:pPr>
        <w:pStyle w:val="ListParagraph"/>
        <w:numPr>
          <w:ilvl w:val="0"/>
          <w:numId w:val="2"/>
        </w:numPr>
        <w:spacing w:after="80" w:line="276"/>
      </w:pPr>
      <w:r>
        <w:t xml:space="preserve">Standard consumer-protection expectations apply regardless of exact regulator: clear fee/rate disclosure before redemption (FR-3.3), accessible complaints handling (Section 7.9), and fair treatment of disputes/chargebacks.</w:t>
      </w:r>
    </w:p>
    <w:p>
      <w:pPr>
        <w:pBdr>
          <w:left w:val="single" w:color="BF8F00" w:sz="16"/>
        </w:pBdr>
        <w:shd w:fill="FFF2CC" w:val="clear"/>
        <w:spacing w:after="200" w:before="80" w:line="276"/>
        <w:ind w:left="120"/>
      </w:pPr>
      <w:r>
        <w:rPr>
          <w:b/>
          <w:bCs/>
          <w:i/>
          <w:iCs/>
          <w:sz w:val="20"/>
          <w:szCs w:val="20"/>
        </w:rPr>
        <w:t xml:space="preserve">Assumption: </w:t>
      </w:r>
      <w:r>
        <w:rPr>
          <w:i/>
          <w:iCs/>
          <w:sz w:val="20"/>
          <w:szCs w:val="20"/>
        </w:rPr>
        <w:t xml:space="preserve">Regulatory names, law numbers, and standards above were checked against public sources at the time of writing (August 2026) but laws and regulator guidance change; confirm current requirements with legal/compliance counsel before finalizing scope, and re-verify before go-live.</w:t>
      </w:r>
    </w:p>
    <w:p>
      <w:pPr>
        <w:pStyle w:val="Heading2"/>
        <w:spacing w:after="120" w:before="280"/>
      </w:pPr>
      <w:r>
        <w:t xml:space="preserve">9.3 Performance and Scalability</w:t>
      </w:r>
    </w:p>
    <w:p>
      <w:pPr>
        <w:pStyle w:val="ListParagraph"/>
        <w:numPr>
          <w:ilvl w:val="0"/>
          <w:numId w:val="2"/>
        </w:numPr>
        <w:spacing w:after="80" w:line="276"/>
      </w:pPr>
      <w:r>
        <w:t xml:space="preserve">Balance-refresh and dashboard load targets: p95 under 3 seconds for cached data, under 8 seconds for a live partner refresh (subject to partner API latency).</w:t>
      </w:r>
    </w:p>
    <w:p>
      <w:pPr>
        <w:pStyle w:val="ListParagraph"/>
        <w:numPr>
          <w:ilvl w:val="0"/>
          <w:numId w:val="2"/>
        </w:numPr>
        <w:spacing w:after="80" w:line="276"/>
      </w:pPr>
      <w:r>
        <w:t xml:space="preserve">Redemption confirmation (for real-time/API partners) targeted at p95 under 60 seconds end-to-end, including compliance checks.</w:t>
      </w:r>
    </w:p>
    <w:p>
      <w:pPr>
        <w:pStyle w:val="ListParagraph"/>
        <w:numPr>
          <w:ilvl w:val="0"/>
          <w:numId w:val="2"/>
        </w:numPr>
        <w:spacing w:after="80" w:line="276"/>
      </w:pPr>
      <w:r>
        <w:t xml:space="preserve">Architecture must scale horizontally to accommodate growth in both users and number of connected Loyalty Partners without redesign — connector framework (FR-2.1) should support partner onboarding without core-system downtime.</w:t>
      </w:r>
    </w:p>
    <w:p>
      <w:pPr>
        <w:pStyle w:val="ListParagraph"/>
        <w:numPr>
          <w:ilvl w:val="0"/>
          <w:numId w:val="2"/>
        </w:numPr>
        <w:spacing w:after="80" w:line="276"/>
      </w:pPr>
      <w:r>
        <w:t xml:space="preserve">Settlement and reconciliation batch jobs must complete within the operational window before the next scheduled run, with alerting if a run overruns.</w:t>
      </w:r>
    </w:p>
    <w:p>
      <w:pPr>
        <w:pStyle w:val="Heading2"/>
        <w:spacing w:after="120" w:before="280"/>
      </w:pPr>
      <w:r>
        <w:t xml:space="preserve">9.4 Availability, Resilience, and Business Continuity</w:t>
      </w:r>
    </w:p>
    <w:p>
      <w:pPr>
        <w:pStyle w:val="ListParagraph"/>
        <w:numPr>
          <w:ilvl w:val="0"/>
          <w:numId w:val="2"/>
        </w:numPr>
        <w:spacing w:after="80" w:line="276"/>
      </w:pPr>
      <w:r>
        <w:t xml:space="preserve">Target 99.9% uptime for core services (login, balance view) and defined, monitored SLAs for redemption and card-spend availability.</w:t>
      </w:r>
    </w:p>
    <w:p>
      <w:pPr>
        <w:pStyle w:val="ListParagraph"/>
        <w:numPr>
          <w:ilvl w:val="0"/>
          <w:numId w:val="2"/>
        </w:numPr>
        <w:spacing w:after="80" w:line="276"/>
      </w:pPr>
      <w:r>
        <w:t xml:space="preserve">Documented Recovery Time Objective (RTO) and Recovery Point Objective (RPO) for the ledger and wallet databases (e.g., RTO ≤ 4 hours, RPO ≤ 15 minutes as an initial target, to be confirmed against business risk appetite).</w:t>
      </w:r>
    </w:p>
    <w:p>
      <w:pPr>
        <w:pStyle w:val="ListParagraph"/>
        <w:numPr>
          <w:ilvl w:val="0"/>
          <w:numId w:val="2"/>
        </w:numPr>
        <w:spacing w:after="80" w:line="276"/>
      </w:pPr>
      <w:r>
        <w:t xml:space="preserve">Multi-availability-zone deployment with automated failover for production infrastructure; regular, tested backup and disaster-recovery drills.</w:t>
      </w:r>
    </w:p>
    <w:p>
      <w:pPr>
        <w:pStyle w:val="ListParagraph"/>
        <w:numPr>
          <w:ilvl w:val="0"/>
          <w:numId w:val="2"/>
        </w:numPr>
        <w:spacing w:after="80" w:line="276"/>
      </w:pPr>
      <w:r>
        <w:t xml:space="preserve">Graceful degradation: if a single Loyalty Partner connector is down, the rest of the app (other balances, wallet, card) remains fully functional.</w:t>
      </w:r>
    </w:p>
    <w:p>
      <w:pPr>
        <w:pStyle w:val="Heading2"/>
        <w:spacing w:after="120" w:before="280"/>
      </w:pPr>
      <w:r>
        <w:t xml:space="preserve">9.5 Usability</w:t>
      </w:r>
    </w:p>
    <w:p>
      <w:pPr>
        <w:pStyle w:val="ListParagraph"/>
        <w:numPr>
          <w:ilvl w:val="0"/>
          <w:numId w:val="2"/>
        </w:numPr>
        <w:spacing w:after="80" w:line="276"/>
      </w:pPr>
      <w:r>
        <w:t xml:space="preserve">Redemption flow (select partner(s) → enter amount → confirm) targeted at 3 taps or fewer from the dashboard for a returning user.</w:t>
      </w:r>
    </w:p>
    <w:p>
      <w:pPr>
        <w:pStyle w:val="ListParagraph"/>
        <w:numPr>
          <w:ilvl w:val="0"/>
          <w:numId w:val="2"/>
        </w:numPr>
        <w:spacing w:after="80" w:line="276"/>
      </w:pPr>
      <w:r>
        <w:t xml:space="preserve">Plain-language, jargon-free copy for fees, rates, and statuses; every fee or rate shown before, not after, user confirmation.</w:t>
      </w:r>
    </w:p>
    <w:p>
      <w:pPr>
        <w:pStyle w:val="ListParagraph"/>
        <w:numPr>
          <w:ilvl w:val="0"/>
          <w:numId w:val="2"/>
        </w:numPr>
        <w:spacing w:after="80" w:line="276"/>
      </w:pPr>
      <w:r>
        <w:t xml:space="preserve">Consistent empty/error states (e.g., "no loyalty accounts connected yet" with a clear call-to-action) rather than blank screens.</w:t>
      </w:r>
    </w:p>
    <w:p>
      <w:pPr>
        <w:pStyle w:val="ListParagraph"/>
        <w:numPr>
          <w:ilvl w:val="0"/>
          <w:numId w:val="2"/>
        </w:numPr>
        <w:spacing w:after="80" w:line="276"/>
      </w:pPr>
      <w:r>
        <w:t xml:space="preserve">Usability testing with representative users before general availability, and in-app feedback capture post-launch.</w:t>
      </w:r>
    </w:p>
    <w:p>
      <w:pPr>
        <w:pStyle w:val="Heading2"/>
        <w:spacing w:after="120" w:before="280"/>
      </w:pPr>
      <w:r>
        <w:t xml:space="preserve">9.6 Auditability and Data Retention</w:t>
      </w:r>
    </w:p>
    <w:p>
      <w:pPr>
        <w:pStyle w:val="ListParagraph"/>
        <w:numPr>
          <w:ilvl w:val="0"/>
          <w:numId w:val="2"/>
        </w:numPr>
        <w:spacing w:after="80" w:line="276"/>
      </w:pPr>
      <w:r>
        <w:t xml:space="preserve">All financial transactions, revenue-share calculations, settlement files, and administrative actions are retained per applicable statutory record-keeping periods (commonly 5+ years in AML contexts in the region — to be confirmed with counsel) and are retrievable in a legible, exportable form for audit or regulator request.</w:t>
      </w:r>
    </w:p>
    <w:p>
      <w:pPr>
        <w:pStyle w:val="ListParagraph"/>
        <w:numPr>
          <w:ilvl w:val="0"/>
          <w:numId w:val="2"/>
        </w:numPr>
        <w:spacing w:after="80" w:line="276"/>
      </w:pPr>
      <w:r>
        <w:t xml:space="preserve">Audit logs and financial ledgers are immutable/append-only; corrections are made via new, linked adjustment entries, never by editing history (consistent with FR-6.6).</w:t>
      </w:r>
    </w:p>
    <w:p>
      <w:r>
        <w:br w:type="page"/>
      </w:r>
    </w:p>
    <w:p>
      <w:pPr>
        <w:pStyle w:val="Heading1"/>
        <w:spacing w:after="160" w:before="360"/>
      </w:pPr>
      <w:r>
        <w:t xml:space="preserve">10. High-Level Data Requirements</w:t>
      </w:r>
    </w:p>
    <w:p>
      <w:pPr>
        <w:spacing w:after="160" w:line="276"/>
      </w:pPr>
      <w:r>
        <w:t xml:space="preserve">The following core entities are expected; a full data dictionary and entity-relationship model should be produced during technical design.</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pPr>
              <w:spacing w:after="0" w:line="260"/>
            </w:pPr>
            <w:r>
              <w:rPr>
                <w:b/>
                <w:bCs/>
                <w:color w:val="FFFFFF"/>
                <w:sz w:val="20"/>
                <w:szCs w:val="20"/>
              </w:rPr>
              <w:t xml:space="preserve">Entity</w:t>
            </w:r>
          </w:p>
        </w:tc>
        <w:tc>
          <w:tcPr>
            <w:tcW w:type="dxa" w:w="6900"/>
            <w:shd w:fill="1F3864" w:val="clear"/>
            <w:tcMar>
              <w:top w:type="dxa" w:w="80"/>
              <w:left w:type="dxa" w:w="100"/>
              <w:bottom w:type="dxa" w:w="80"/>
              <w:right w:type="dxa" w:w="100"/>
            </w:tcMar>
            <w:vAlign w:val="center"/>
          </w:tcPr>
          <w:p>
            <w:pPr>
              <w:spacing w:after="0" w:line="260"/>
            </w:pPr>
            <w:r>
              <w:rPr>
                <w:b/>
                <w:bCs/>
                <w:color w:val="FFFFFF"/>
                <w:sz w:val="20"/>
                <w:szCs w:val="20"/>
              </w:rPr>
              <w:t xml:space="preserve">Key Attributes (illustrative, non-exhaustive)</w:t>
            </w:r>
          </w:p>
        </w:tc>
      </w:tr>
      <w:tr>
        <w:trPr>
          <w:tblHeader w:val="false"/>
        </w:trPr>
        <w:tc>
          <w:tcPr>
            <w:tcW w:type="dxa" w:w="2600"/>
            <w:tcMar>
              <w:top w:type="dxa" w:w="80"/>
              <w:left w:type="dxa" w:w="100"/>
              <w:bottom w:type="dxa" w:w="80"/>
              <w:right w:type="dxa" w:w="100"/>
            </w:tcMar>
            <w:vAlign w:val="center"/>
          </w:tcPr>
          <w:p>
            <w:pPr>
              <w:spacing w:after="0" w:line="260"/>
            </w:pPr>
            <w:r>
              <w:rPr>
                <w:b w:val="false"/>
                <w:bCs w:val="false"/>
                <w:color w:val="000000"/>
                <w:sz w:val="20"/>
                <w:szCs w:val="20"/>
              </w:rPr>
              <w:t xml:space="preserve">User</w:t>
            </w:r>
          </w:p>
        </w:tc>
        <w:tc>
          <w:tcPr>
            <w:tcW w:type="dxa" w:w="6900"/>
            <w:tcMar>
              <w:top w:type="dxa" w:w="80"/>
              <w:left w:type="dxa" w:w="100"/>
              <w:bottom w:type="dxa" w:w="80"/>
              <w:right w:type="dxa" w:w="100"/>
            </w:tcMar>
            <w:vAlign w:val="center"/>
          </w:tcPr>
          <w:p>
            <w:pPr>
              <w:spacing w:after="0" w:line="260"/>
            </w:pPr>
            <w:r>
              <w:rPr>
                <w:b w:val="false"/>
                <w:bCs w:val="false"/>
                <w:color w:val="000000"/>
                <w:sz w:val="20"/>
                <w:szCs w:val="20"/>
              </w:rPr>
              <w:t xml:space="preserve">User ID, contact details, KYC status/level, risk tier, device(s), consent records, created/updated timestamps.</w:t>
            </w:r>
          </w:p>
        </w:tc>
      </w:tr>
      <w:tr>
        <w:trPr>
          <w:tblHeader w:val="false"/>
        </w:trPr>
        <w:tc>
          <w:tcPr>
            <w:tcW w:type="dxa" w:w="2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LoyaltyPartnerConnection</w:t>
            </w:r>
          </w:p>
        </w:tc>
        <w:tc>
          <w:tcPr>
            <w:tcW w:type="dxa" w:w="69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Connection ID, User ID, Partner ID, auth method, token/vault reference, status, last-sync timestamp.</w:t>
            </w:r>
          </w:p>
        </w:tc>
      </w:tr>
      <w:tr>
        <w:trPr>
          <w:tblHeader w:val="false"/>
        </w:trPr>
        <w:tc>
          <w:tcPr>
            <w:tcW w:type="dxa" w:w="2600"/>
            <w:tcMar>
              <w:top w:type="dxa" w:w="80"/>
              <w:left w:type="dxa" w:w="100"/>
              <w:bottom w:type="dxa" w:w="80"/>
              <w:right w:type="dxa" w:w="100"/>
            </w:tcMar>
            <w:vAlign w:val="center"/>
          </w:tcPr>
          <w:p>
            <w:pPr>
              <w:spacing w:after="0" w:line="260"/>
            </w:pPr>
            <w:r>
              <w:rPr>
                <w:b w:val="false"/>
                <w:bCs w:val="false"/>
                <w:color w:val="000000"/>
                <w:sz w:val="20"/>
                <w:szCs w:val="20"/>
              </w:rPr>
              <w:t xml:space="preserve">LoyaltyPartner</w:t>
            </w:r>
          </w:p>
        </w:tc>
        <w:tc>
          <w:tcPr>
            <w:tcW w:type="dxa" w:w="6900"/>
            <w:tcMar>
              <w:top w:type="dxa" w:w="80"/>
              <w:left w:type="dxa" w:w="100"/>
              <w:bottom w:type="dxa" w:w="80"/>
              <w:right w:type="dxa" w:w="100"/>
            </w:tcMar>
            <w:vAlign w:val="center"/>
          </w:tcPr>
          <w:p>
            <w:pPr>
              <w:spacing w:after="0" w:line="260"/>
            </w:pPr>
            <w:r>
              <w:rPr>
                <w:b w:val="false"/>
                <w:bCs w:val="false"/>
                <w:color w:val="000000"/>
                <w:sz w:val="20"/>
                <w:szCs w:val="20"/>
              </w:rPr>
              <w:t xml:space="preserve">Partner ID, name, connector type, API/config reference, conversion rate(s) with effective dates, min/max redemption limits, settlement schedule, status (sandbox/production).</w:t>
            </w:r>
          </w:p>
        </w:tc>
      </w:tr>
      <w:tr>
        <w:trPr>
          <w:tblHeader w:val="false"/>
        </w:trPr>
        <w:tc>
          <w:tcPr>
            <w:tcW w:type="dxa" w:w="2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Redemption Transaction</w:t>
            </w:r>
          </w:p>
        </w:tc>
        <w:tc>
          <w:tcPr>
            <w:tcW w:type="dxa" w:w="69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Transaction ID, User ID, source partner(s) and points debited per partner, rate applied, gross value, revenue-share split, wallet credit, status, timestamps, idempotency key.</w:t>
            </w:r>
          </w:p>
        </w:tc>
      </w:tr>
      <w:tr>
        <w:trPr>
          <w:tblHeader w:val="false"/>
        </w:trPr>
        <w:tc>
          <w:tcPr>
            <w:tcW w:type="dxa" w:w="2600"/>
            <w:tcMar>
              <w:top w:type="dxa" w:w="80"/>
              <w:left w:type="dxa" w:w="100"/>
              <w:bottom w:type="dxa" w:w="80"/>
              <w:right w:type="dxa" w:w="100"/>
            </w:tcMar>
            <w:vAlign w:val="center"/>
          </w:tcPr>
          <w:p>
            <w:pPr>
              <w:spacing w:after="0" w:line="260"/>
            </w:pPr>
            <w:r>
              <w:rPr>
                <w:b w:val="false"/>
                <w:bCs w:val="false"/>
                <w:color w:val="000000"/>
                <w:sz w:val="20"/>
                <w:szCs w:val="20"/>
              </w:rPr>
              <w:t xml:space="preserve">Wallet Ledger Entry</w:t>
            </w:r>
          </w:p>
        </w:tc>
        <w:tc>
          <w:tcPr>
            <w:tcW w:type="dxa" w:w="6900"/>
            <w:tcMar>
              <w:top w:type="dxa" w:w="80"/>
              <w:left w:type="dxa" w:w="100"/>
              <w:bottom w:type="dxa" w:w="80"/>
              <w:right w:type="dxa" w:w="100"/>
            </w:tcMar>
            <w:vAlign w:val="center"/>
          </w:tcPr>
          <w:p>
            <w:pPr>
              <w:spacing w:after="0" w:line="260"/>
            </w:pPr>
            <w:r>
              <w:rPr>
                <w:b w:val="false"/>
                <w:bCs w:val="false"/>
                <w:color w:val="000000"/>
                <w:sz w:val="20"/>
                <w:szCs w:val="20"/>
              </w:rPr>
              <w:t xml:space="preserve">Entry ID, User ID, transaction reference, debit/credit, amount, running balance, entry type.</w:t>
            </w:r>
          </w:p>
        </w:tc>
      </w:tr>
      <w:tr>
        <w:trPr>
          <w:tblHeader w:val="false"/>
        </w:trPr>
        <w:tc>
          <w:tcPr>
            <w:tcW w:type="dxa" w:w="2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Virtual Card</w:t>
            </w:r>
          </w:p>
        </w:tc>
        <w:tc>
          <w:tcPr>
            <w:tcW w:type="dxa" w:w="69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Card ID (tokenized reference), User ID, Issuing Partner reference, status (active/frozen/closed), issuance date, linked wallet.</w:t>
            </w:r>
          </w:p>
        </w:tc>
      </w:tr>
      <w:tr>
        <w:trPr>
          <w:tblHeader w:val="false"/>
        </w:trPr>
        <w:tc>
          <w:tcPr>
            <w:tcW w:type="dxa" w:w="2600"/>
            <w:tcMar>
              <w:top w:type="dxa" w:w="80"/>
              <w:left w:type="dxa" w:w="100"/>
              <w:bottom w:type="dxa" w:w="80"/>
              <w:right w:type="dxa" w:w="100"/>
            </w:tcMar>
            <w:vAlign w:val="center"/>
          </w:tcPr>
          <w:p>
            <w:pPr>
              <w:spacing w:after="0" w:line="260"/>
            </w:pPr>
            <w:r>
              <w:rPr>
                <w:b w:val="false"/>
                <w:bCs w:val="false"/>
                <w:color w:val="000000"/>
                <w:sz w:val="20"/>
                <w:szCs w:val="20"/>
              </w:rPr>
              <w:t xml:space="preserve">Card Transaction Event</w:t>
            </w:r>
          </w:p>
        </w:tc>
        <w:tc>
          <w:tcPr>
            <w:tcW w:type="dxa" w:w="6900"/>
            <w:tcMar>
              <w:top w:type="dxa" w:w="80"/>
              <w:left w:type="dxa" w:w="100"/>
              <w:bottom w:type="dxa" w:w="80"/>
              <w:right w:type="dxa" w:w="100"/>
            </w:tcMar>
            <w:vAlign w:val="center"/>
          </w:tcPr>
          <w:p>
            <w:pPr>
              <w:spacing w:after="0" w:line="260"/>
            </w:pPr>
            <w:r>
              <w:rPr>
                <w:b w:val="false"/>
                <w:bCs w:val="false"/>
                <w:color w:val="000000"/>
                <w:sz w:val="20"/>
                <w:szCs w:val="20"/>
              </w:rPr>
              <w:t xml:space="preserve">Event ID, Card ID, type (auth/capture/refund/decline/chargeback), amount, merchant/MCC, processor reference, reconciliation status.</w:t>
            </w:r>
          </w:p>
        </w:tc>
      </w:tr>
      <w:tr>
        <w:trPr>
          <w:tblHeader w:val="false"/>
        </w:trPr>
        <w:tc>
          <w:tcPr>
            <w:tcW w:type="dxa" w:w="2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Revenue Share Rule</w:t>
            </w:r>
          </w:p>
        </w:tc>
        <w:tc>
          <w:tcPr>
            <w:tcW w:type="dxa" w:w="69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Rule ID, Partner ID, model type (percentage/flat/tiered), value(s), cap(s), effective date range, approval trail (maker/checker).</w:t>
            </w:r>
          </w:p>
        </w:tc>
      </w:tr>
      <w:tr>
        <w:trPr>
          <w:tblHeader w:val="false"/>
        </w:trPr>
        <w:tc>
          <w:tcPr>
            <w:tcW w:type="dxa" w:w="2600"/>
            <w:tcMar>
              <w:top w:type="dxa" w:w="80"/>
              <w:left w:type="dxa" w:w="100"/>
              <w:bottom w:type="dxa" w:w="80"/>
              <w:right w:type="dxa" w:w="100"/>
            </w:tcMar>
            <w:vAlign w:val="center"/>
          </w:tcPr>
          <w:p>
            <w:pPr>
              <w:spacing w:after="0" w:line="260"/>
            </w:pPr>
            <w:r>
              <w:rPr>
                <w:b w:val="false"/>
                <w:bCs w:val="false"/>
                <w:color w:val="000000"/>
                <w:sz w:val="20"/>
                <w:szCs w:val="20"/>
              </w:rPr>
              <w:t xml:space="preserve">Settlement File</w:t>
            </w:r>
          </w:p>
        </w:tc>
        <w:tc>
          <w:tcPr>
            <w:tcW w:type="dxa" w:w="6900"/>
            <w:tcMar>
              <w:top w:type="dxa" w:w="80"/>
              <w:left w:type="dxa" w:w="100"/>
              <w:bottom w:type="dxa" w:w="80"/>
              <w:right w:type="dxa" w:w="100"/>
            </w:tcMar>
            <w:vAlign w:val="center"/>
          </w:tcPr>
          <w:p>
            <w:pPr>
              <w:spacing w:after="0" w:line="260"/>
            </w:pPr>
            <w:r>
              <w:rPr>
                <w:b w:val="false"/>
                <w:bCs w:val="false"/>
                <w:color w:val="000000"/>
                <w:sz w:val="20"/>
                <w:szCs w:val="20"/>
              </w:rPr>
              <w:t xml:space="preserve">File ID, Partner ID, period start/end, generation timestamp, line items, totals, delivery status, verification status.</w:t>
            </w:r>
          </w:p>
        </w:tc>
      </w:tr>
      <w:tr>
        <w:trPr>
          <w:tblHeader w:val="false"/>
        </w:trPr>
        <w:tc>
          <w:tcPr>
            <w:tcW w:type="dxa" w:w="2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Reconciliation Report</w:t>
            </w:r>
          </w:p>
        </w:tc>
        <w:tc>
          <w:tcPr>
            <w:tcW w:type="dxa" w:w="69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Report ID, type (settlement/card), period, matched/unmatched items, exceptions and resolution status.</w:t>
            </w:r>
          </w:p>
        </w:tc>
      </w:tr>
      <w:tr>
        <w:trPr>
          <w:tblHeader w:val="false"/>
        </w:trPr>
        <w:tc>
          <w:tcPr>
            <w:tcW w:type="dxa" w:w="2600"/>
            <w:tcMar>
              <w:top w:type="dxa" w:w="80"/>
              <w:left w:type="dxa" w:w="100"/>
              <w:bottom w:type="dxa" w:w="80"/>
              <w:right w:type="dxa" w:w="100"/>
            </w:tcMar>
            <w:vAlign w:val="center"/>
          </w:tcPr>
          <w:p>
            <w:pPr>
              <w:spacing w:after="0" w:line="260"/>
            </w:pPr>
            <w:r>
              <w:rPr>
                <w:b w:val="false"/>
                <w:bCs w:val="false"/>
                <w:color w:val="000000"/>
                <w:sz w:val="20"/>
                <w:szCs w:val="20"/>
              </w:rPr>
              <w:t xml:space="preserve">Audit Log Entry</w:t>
            </w:r>
          </w:p>
        </w:tc>
        <w:tc>
          <w:tcPr>
            <w:tcW w:type="dxa" w:w="6900"/>
            <w:tcMar>
              <w:top w:type="dxa" w:w="80"/>
              <w:left w:type="dxa" w:w="100"/>
              <w:bottom w:type="dxa" w:w="80"/>
              <w:right w:type="dxa" w:w="100"/>
            </w:tcMar>
            <w:vAlign w:val="center"/>
          </w:tcPr>
          <w:p>
            <w:pPr>
              <w:spacing w:after="0" w:line="260"/>
            </w:pPr>
            <w:r>
              <w:rPr>
                <w:b w:val="false"/>
                <w:bCs w:val="false"/>
                <w:color w:val="000000"/>
                <w:sz w:val="20"/>
                <w:szCs w:val="20"/>
              </w:rPr>
              <w:t xml:space="preserve">Entry ID, actor, action, entity affected, before/after values, timestamp, IP/device, justification (if privileged action).</w:t>
            </w:r>
          </w:p>
        </w:tc>
      </w:tr>
    </w:tbl>
    <w:p>
      <w:pPr>
        <w:pStyle w:val="Heading1"/>
        <w:spacing w:after="160" w:before="360"/>
      </w:pPr>
      <w:r>
        <w:t xml:space="preserve">11. Integration and Architecture Overview (Business View)</w:t>
      </w:r>
    </w:p>
    <w:p>
      <w:pPr>
        <w:spacing w:after="160" w:line="276"/>
      </w:pPr>
      <w:r>
        <w:t xml:space="preserve">A detailed technical architecture is out of scope for this business-requirements document, but the following high-level building blocks are implied by the requirements above and should guide technical design:</w:t>
      </w:r>
    </w:p>
    <w:p>
      <w:pPr>
        <w:pStyle w:val="ListParagraph"/>
        <w:numPr>
          <w:ilvl w:val="0"/>
          <w:numId w:val="2"/>
        </w:numPr>
        <w:spacing w:after="80" w:line="276"/>
      </w:pPr>
      <w:r>
        <w:t xml:space="preserve">Mobile Apps (iOS/Android) — consumer-facing, communicating only with Pull2Spend's own backend, never directly with Loyalty Partner or Issuing Partner systems.</w:t>
      </w:r>
    </w:p>
    <w:p>
      <w:pPr>
        <w:pStyle w:val="ListParagraph"/>
        <w:numPr>
          <w:ilvl w:val="0"/>
          <w:numId w:val="2"/>
        </w:numPr>
        <w:spacing w:after="80" w:line="276"/>
      </w:pPr>
      <w:r>
        <w:t xml:space="preserve">API Gateway / Backend-for-Frontend — authentication, session management, and orchestration layer for the mobile apps.</w:t>
      </w:r>
    </w:p>
    <w:p>
      <w:pPr>
        <w:pStyle w:val="ListParagraph"/>
        <w:numPr>
          <w:ilvl w:val="0"/>
          <w:numId w:val="2"/>
        </w:numPr>
        <w:spacing w:after="80" w:line="276"/>
      </w:pPr>
      <w:r>
        <w:t xml:space="preserve">Connector Framework / Integration Layer — abstracts each Loyalty Partner's API or file interface behind a common internal contract (balance read, redemption debit, connection health).</w:t>
      </w:r>
    </w:p>
    <w:p>
      <w:pPr>
        <w:pStyle w:val="ListParagraph"/>
        <w:numPr>
          <w:ilvl w:val="0"/>
          <w:numId w:val="2"/>
        </w:numPr>
        <w:spacing w:after="80" w:line="276"/>
      </w:pPr>
      <w:r>
        <w:t xml:space="preserve">Redemption &amp; Ledger Engine — owns the atomic redemption workflow, wallet double-entry ledger, and revenue-share calculation.</w:t>
      </w:r>
    </w:p>
    <w:p>
      <w:pPr>
        <w:pStyle w:val="ListParagraph"/>
        <w:numPr>
          <w:ilvl w:val="0"/>
          <w:numId w:val="2"/>
        </w:numPr>
        <w:spacing w:after="80" w:line="276"/>
      </w:pPr>
      <w:r>
        <w:t xml:space="preserve">Card Issuance Gateway — integrates with the licensed Issuing Partner/processor for card creation, tokenization, lifecycle, and transaction event ingestion.</w:t>
      </w:r>
    </w:p>
    <w:p>
      <w:pPr>
        <w:pStyle w:val="ListParagraph"/>
        <w:numPr>
          <w:ilvl w:val="0"/>
          <w:numId w:val="2"/>
        </w:numPr>
        <w:spacing w:after="80" w:line="276"/>
      </w:pPr>
      <w:r>
        <w:t xml:space="preserve">Settlement &amp; Reconciliation Engine — scheduled job orchestrator generating settlement files and reconciliation reports, with an exceptions workflow feeding the back office.</w:t>
      </w:r>
    </w:p>
    <w:p>
      <w:pPr>
        <w:pStyle w:val="ListParagraph"/>
        <w:numPr>
          <w:ilvl w:val="0"/>
          <w:numId w:val="2"/>
        </w:numPr>
        <w:spacing w:after="80" w:line="276"/>
      </w:pPr>
      <w:r>
        <w:t xml:space="preserve">Identity &amp; Risk Services — KYC/document verification, sanctions/PEP screening, device/fraud risk scoring (likely via specialized third-party vendors rather than built in-house).</w:t>
      </w:r>
    </w:p>
    <w:p>
      <w:pPr>
        <w:pStyle w:val="ListParagraph"/>
        <w:numPr>
          <w:ilvl w:val="0"/>
          <w:numId w:val="2"/>
        </w:numPr>
        <w:spacing w:after="80" w:line="276"/>
      </w:pPr>
      <w:r>
        <w:t xml:space="preserve">Back-Office Portal — separate web application, RBAC-protected, consuming the same core services via internal APIs.</w:t>
      </w:r>
    </w:p>
    <w:p>
      <w:pPr>
        <w:pStyle w:val="ListParagraph"/>
        <w:numPr>
          <w:ilvl w:val="0"/>
          <w:numId w:val="2"/>
        </w:numPr>
        <w:spacing w:after="80" w:line="276"/>
      </w:pPr>
      <w:r>
        <w:t xml:space="preserve">Data &amp; Audit Store — immutable ledger and audit-log storage, plus an analytics/reporting layer (e.g., a data warehouse fed from the ledger) powering the dashboards in Section 7.8.6.</w:t>
      </w:r>
    </w:p>
    <w:p>
      <w:pPr>
        <w:pStyle w:val="ListParagraph"/>
        <w:numPr>
          <w:ilvl w:val="0"/>
          <w:numId w:val="2"/>
        </w:numPr>
        <w:spacing w:after="80" w:line="276"/>
      </w:pPr>
      <w:r>
        <w:t xml:space="preserve">Notification Service — push/SMS/email dispatch, decoupled from core transaction processing so notification delays never block a financial transaction.</w:t>
      </w:r>
    </w:p>
    <w:p>
      <w:pPr>
        <w:pBdr>
          <w:left w:val="single" w:color="BF8F00" w:sz="16"/>
        </w:pBdr>
        <w:shd w:fill="FFF2CC" w:val="clear"/>
        <w:spacing w:after="200" w:before="80" w:line="276"/>
        <w:ind w:left="120"/>
      </w:pPr>
      <w:r>
        <w:rPr>
          <w:b/>
          <w:bCs/>
          <w:i/>
          <w:iCs/>
          <w:sz w:val="20"/>
          <w:szCs w:val="20"/>
        </w:rPr>
        <w:t xml:space="preserve">Assumption: </w:t>
      </w:r>
      <w:r>
        <w:rPr>
          <w:i/>
          <w:iCs/>
          <w:sz w:val="20"/>
          <w:szCs w:val="20"/>
        </w:rPr>
        <w:t xml:space="preserve">Specific vendor selection (KYC provider, card issuing/BIN sponsor, cloud provider, fraud-scoring vendor) is a technical/procurement decision to be made during solution design and vendor due diligence, not fixed in this business document.</w:t>
      </w:r>
    </w:p>
    <w:p>
      <w:r>
        <w:br w:type="page"/>
      </w:r>
    </w:p>
    <w:p>
      <w:pPr>
        <w:pStyle w:val="Heading1"/>
        <w:spacing w:after="160" w:before="360"/>
      </w:pPr>
      <w:r>
        <w:t xml:space="preserve">12. Risks and Mitigations</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2400"/>
        <w:gridCol w:w="4200"/>
      </w:tblGrid>
      <w:tr>
        <w:trPr>
          <w:tblHeader/>
        </w:trPr>
        <w:tc>
          <w:tcPr>
            <w:tcW w:type="dxa" w:w="2600"/>
            <w:shd w:fill="1F3864" w:val="clear"/>
            <w:tcMar>
              <w:top w:type="dxa" w:w="80"/>
              <w:left w:type="dxa" w:w="100"/>
              <w:bottom w:type="dxa" w:w="80"/>
              <w:right w:type="dxa" w:w="100"/>
            </w:tcMar>
            <w:vAlign w:val="center"/>
          </w:tcPr>
          <w:p>
            <w:pPr>
              <w:spacing w:after="0" w:line="260"/>
            </w:pPr>
            <w:r>
              <w:rPr>
                <w:b/>
                <w:bCs/>
                <w:color w:val="FFFFFF"/>
                <w:sz w:val="20"/>
                <w:szCs w:val="20"/>
              </w:rPr>
              <w:t xml:space="preserve">Risk</w:t>
            </w:r>
          </w:p>
        </w:tc>
        <w:tc>
          <w:tcPr>
            <w:tcW w:type="dxa" w:w="2400"/>
            <w:shd w:fill="1F3864" w:val="clear"/>
            <w:tcMar>
              <w:top w:type="dxa" w:w="80"/>
              <w:left w:type="dxa" w:w="100"/>
              <w:bottom w:type="dxa" w:w="80"/>
              <w:right w:type="dxa" w:w="100"/>
            </w:tcMar>
            <w:vAlign w:val="center"/>
          </w:tcPr>
          <w:p>
            <w:pPr>
              <w:spacing w:after="0" w:line="260"/>
            </w:pPr>
            <w:r>
              <w:rPr>
                <w:b/>
                <w:bCs/>
                <w:color w:val="FFFFFF"/>
                <w:sz w:val="20"/>
                <w:szCs w:val="20"/>
              </w:rPr>
              <w:t xml:space="preserve">Impact</w:t>
            </w:r>
          </w:p>
        </w:tc>
        <w:tc>
          <w:tcPr>
            <w:tcW w:type="dxa" w:w="4200"/>
            <w:shd w:fill="1F3864" w:val="clear"/>
            <w:tcMar>
              <w:top w:type="dxa" w:w="80"/>
              <w:left w:type="dxa" w:w="100"/>
              <w:bottom w:type="dxa" w:w="80"/>
              <w:right w:type="dxa" w:w="100"/>
            </w:tcMar>
            <w:vAlign w:val="center"/>
          </w:tcPr>
          <w:p>
            <w:pPr>
              <w:spacing w:after="0" w:line="260"/>
            </w:pPr>
            <w:r>
              <w:rPr>
                <w:b/>
                <w:bCs/>
                <w:color w:val="FFFFFF"/>
                <w:sz w:val="20"/>
                <w:szCs w:val="20"/>
              </w:rPr>
              <w:t xml:space="preserve">Mitigation</w:t>
            </w:r>
          </w:p>
        </w:tc>
      </w:tr>
      <w:tr>
        <w:trPr>
          <w:tblHeader w:val="false"/>
        </w:trPr>
        <w:tc>
          <w:tcPr>
            <w:tcW w:type="dxa" w:w="2600"/>
            <w:tcMar>
              <w:top w:type="dxa" w:w="80"/>
              <w:left w:type="dxa" w:w="100"/>
              <w:bottom w:type="dxa" w:w="80"/>
              <w:right w:type="dxa" w:w="100"/>
            </w:tcMar>
            <w:vAlign w:val="center"/>
          </w:tcPr>
          <w:p>
            <w:pPr>
              <w:spacing w:after="0" w:line="260"/>
            </w:pPr>
            <w:r>
              <w:rPr>
                <w:b w:val="false"/>
                <w:bCs w:val="false"/>
                <w:color w:val="000000"/>
                <w:sz w:val="20"/>
                <w:szCs w:val="20"/>
              </w:rPr>
              <w:t xml:space="preserve">A Loyalty Partner changes or revokes API access without notice, breaking a connector.</w:t>
            </w:r>
          </w:p>
        </w:tc>
        <w:tc>
          <w:tcPr>
            <w:tcW w:type="dxa" w:w="2400"/>
            <w:tcMar>
              <w:top w:type="dxa" w:w="80"/>
              <w:left w:type="dxa" w:w="100"/>
              <w:bottom w:type="dxa" w:w="80"/>
              <w:right w:type="dxa" w:w="100"/>
            </w:tcMar>
            <w:vAlign w:val="center"/>
          </w:tcPr>
          <w:p>
            <w:pPr>
              <w:spacing w:after="0" w:line="260"/>
            </w:pPr>
            <w:r>
              <w:rPr>
                <w:b w:val="false"/>
                <w:bCs w:val="false"/>
                <w:color w:val="000000"/>
                <w:sz w:val="20"/>
                <w:szCs w:val="20"/>
              </w:rPr>
              <w:t xml:space="preserve">Users see stale/incorrect balances; failed redemptions.</w:t>
            </w:r>
          </w:p>
        </w:tc>
        <w:tc>
          <w:tcPr>
            <w:tcW w:type="dxa" w:w="4200"/>
            <w:tcMar>
              <w:top w:type="dxa" w:w="80"/>
              <w:left w:type="dxa" w:w="100"/>
              <w:bottom w:type="dxa" w:w="80"/>
              <w:right w:type="dxa" w:w="100"/>
            </w:tcMar>
            <w:vAlign w:val="center"/>
          </w:tcPr>
          <w:p>
            <w:pPr>
              <w:spacing w:after="0" w:line="260"/>
            </w:pPr>
            <w:r>
              <w:rPr>
                <w:b w:val="false"/>
                <w:bCs w:val="false"/>
                <w:color w:val="000000"/>
                <w:sz w:val="20"/>
                <w:szCs w:val="20"/>
              </w:rPr>
              <w:t xml:space="preserve">Contractual notice periods; automated connector health monitoring and alerting (FR-2.7); graceful degradation UX.</w:t>
            </w:r>
          </w:p>
        </w:tc>
      </w:tr>
      <w:tr>
        <w:trPr>
          <w:tblHeader w:val="false"/>
        </w:trPr>
        <w:tc>
          <w:tcPr>
            <w:tcW w:type="dxa" w:w="2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Regulatory licensing route takes longer than expected or requires a different structure than assumed.</w:t>
            </w:r>
          </w:p>
        </w:tc>
        <w:tc>
          <w:tcPr>
            <w:tcW w:type="dxa" w:w="24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Delayed launch; rework of card/wallet architecture.</w:t>
            </w:r>
          </w:p>
        </w:tc>
        <w:tc>
          <w:tcPr>
            <w:tcW w:type="dxa" w:w="42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Engage legal/compliance counsel and a licensed Issuing Partner early, before technical build of the card/wallet module begins.</w:t>
            </w:r>
          </w:p>
        </w:tc>
      </w:tr>
      <w:tr>
        <w:trPr>
          <w:tblHeader w:val="false"/>
        </w:trPr>
        <w:tc>
          <w:tcPr>
            <w:tcW w:type="dxa" w:w="2600"/>
            <w:tcMar>
              <w:top w:type="dxa" w:w="80"/>
              <w:left w:type="dxa" w:w="100"/>
              <w:bottom w:type="dxa" w:w="80"/>
              <w:right w:type="dxa" w:w="100"/>
            </w:tcMar>
            <w:vAlign w:val="center"/>
          </w:tcPr>
          <w:p>
            <w:pPr>
              <w:spacing w:after="0" w:line="260"/>
            </w:pPr>
            <w:r>
              <w:rPr>
                <w:b w:val="false"/>
                <w:bCs w:val="false"/>
                <w:color w:val="000000"/>
                <w:sz w:val="20"/>
                <w:szCs w:val="20"/>
              </w:rPr>
              <w:t xml:space="preserve">Credential-vault connector (for partners without APIs) is compromised.</w:t>
            </w:r>
          </w:p>
        </w:tc>
        <w:tc>
          <w:tcPr>
            <w:tcW w:type="dxa" w:w="2400"/>
            <w:tcMar>
              <w:top w:type="dxa" w:w="80"/>
              <w:left w:type="dxa" w:w="100"/>
              <w:bottom w:type="dxa" w:w="80"/>
              <w:right w:type="dxa" w:w="100"/>
            </w:tcMar>
            <w:vAlign w:val="center"/>
          </w:tcPr>
          <w:p>
            <w:pPr>
              <w:spacing w:after="0" w:line="260"/>
            </w:pPr>
            <w:r>
              <w:rPr>
                <w:b w:val="false"/>
                <w:bCs w:val="false"/>
                <w:color w:val="000000"/>
                <w:sz w:val="20"/>
                <w:szCs w:val="20"/>
              </w:rPr>
              <w:t xml:space="preserve">Unauthorized access to a user's Loyalty Partner account and points.</w:t>
            </w:r>
          </w:p>
        </w:tc>
        <w:tc>
          <w:tcPr>
            <w:tcW w:type="dxa" w:w="4200"/>
            <w:tcMar>
              <w:top w:type="dxa" w:w="80"/>
              <w:left w:type="dxa" w:w="100"/>
              <w:bottom w:type="dxa" w:w="80"/>
              <w:right w:type="dxa" w:w="100"/>
            </w:tcMar>
            <w:vAlign w:val="center"/>
          </w:tcPr>
          <w:p>
            <w:pPr>
              <w:spacing w:after="0" w:line="260"/>
            </w:pPr>
            <w:r>
              <w:rPr>
                <w:b w:val="false"/>
                <w:bCs w:val="false"/>
                <w:color w:val="000000"/>
                <w:sz w:val="20"/>
                <w:szCs w:val="20"/>
              </w:rPr>
              <w:t xml:space="preserve">Treat as highest-risk connector type; HSM-backed encryption, strict access control, prioritize migrating partners to API/OAuth over time (FR-2.3).</w:t>
            </w:r>
          </w:p>
        </w:tc>
      </w:tr>
      <w:tr>
        <w:trPr>
          <w:tblHeader w:val="false"/>
        </w:trPr>
        <w:tc>
          <w:tcPr>
            <w:tcW w:type="dxa" w:w="2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Revenue-share miscalculation or misconfiguration.</w:t>
            </w:r>
          </w:p>
        </w:tc>
        <w:tc>
          <w:tcPr>
            <w:tcW w:type="dxa" w:w="24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Financial loss or partner disputes.</w:t>
            </w:r>
          </w:p>
        </w:tc>
        <w:tc>
          <w:tcPr>
            <w:tcW w:type="dxa" w:w="42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Dual-control configuration (FR-6.4), automated reconciliation (FR-7.6), transparent per-transaction breakdown.</w:t>
            </w:r>
          </w:p>
        </w:tc>
      </w:tr>
      <w:tr>
        <w:trPr>
          <w:tblHeader w:val="false"/>
        </w:trPr>
        <w:tc>
          <w:tcPr>
            <w:tcW w:type="dxa" w:w="2600"/>
            <w:tcMar>
              <w:top w:type="dxa" w:w="80"/>
              <w:left w:type="dxa" w:w="100"/>
              <w:bottom w:type="dxa" w:w="80"/>
              <w:right w:type="dxa" w:w="100"/>
            </w:tcMar>
            <w:vAlign w:val="center"/>
          </w:tcPr>
          <w:p>
            <w:pPr>
              <w:spacing w:after="0" w:line="260"/>
            </w:pPr>
            <w:r>
              <w:rPr>
                <w:b w:val="false"/>
                <w:bCs w:val="false"/>
                <w:color w:val="000000"/>
                <w:sz w:val="20"/>
                <w:szCs w:val="20"/>
              </w:rPr>
              <w:t xml:space="preserve">Fraudulent redemption using compromised Loyalty Partner or Pull2Spend credentials.</w:t>
            </w:r>
          </w:p>
        </w:tc>
        <w:tc>
          <w:tcPr>
            <w:tcW w:type="dxa" w:w="2400"/>
            <w:tcMar>
              <w:top w:type="dxa" w:w="80"/>
              <w:left w:type="dxa" w:w="100"/>
              <w:bottom w:type="dxa" w:w="80"/>
              <w:right w:type="dxa" w:w="100"/>
            </w:tcMar>
            <w:vAlign w:val="center"/>
          </w:tcPr>
          <w:p>
            <w:pPr>
              <w:spacing w:after="0" w:line="260"/>
            </w:pPr>
            <w:r>
              <w:rPr>
                <w:b w:val="false"/>
                <w:bCs w:val="false"/>
                <w:color w:val="000000"/>
                <w:sz w:val="20"/>
                <w:szCs w:val="20"/>
              </w:rPr>
              <w:t xml:space="preserve">Financial loss; reputational damage.</w:t>
            </w:r>
          </w:p>
        </w:tc>
        <w:tc>
          <w:tcPr>
            <w:tcW w:type="dxa" w:w="4200"/>
            <w:tcMar>
              <w:top w:type="dxa" w:w="80"/>
              <w:left w:type="dxa" w:w="100"/>
              <w:bottom w:type="dxa" w:w="80"/>
              <w:right w:type="dxa" w:w="100"/>
            </w:tcMar>
            <w:vAlign w:val="center"/>
          </w:tcPr>
          <w:p>
            <w:pPr>
              <w:spacing w:after="0" w:line="260"/>
            </w:pPr>
            <w:r>
              <w:rPr>
                <w:b w:val="false"/>
                <w:bCs w:val="false"/>
                <w:color w:val="000000"/>
                <w:sz w:val="20"/>
                <w:szCs w:val="20"/>
              </w:rPr>
              <w:t xml:space="preserve">Step-up authentication on high-risk actions (FR-1.6), velocity limits (FR-3.4), fraud/anomaly monitoring (Section 9.1).</w:t>
            </w:r>
          </w:p>
        </w:tc>
      </w:tr>
      <w:tr>
        <w:trPr>
          <w:tblHeader w:val="false"/>
        </w:trPr>
        <w:tc>
          <w:tcPr>
            <w:tcW w:type="dxa" w:w="2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Card scheme or Issuing Partner declines to support a fully virtual, points-funded card model as proposed.</w:t>
            </w:r>
          </w:p>
        </w:tc>
        <w:tc>
          <w:tcPr>
            <w:tcW w:type="dxa" w:w="24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Core product premise blocked.</w:t>
            </w:r>
          </w:p>
        </w:tc>
        <w:tc>
          <w:tcPr>
            <w:tcW w:type="dxa" w:w="42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Validate the model with candidate Issuing Partners/BIN sponsors as an early feasibility step, before full-scale build.</w:t>
            </w:r>
          </w:p>
        </w:tc>
      </w:tr>
      <w:tr>
        <w:trPr>
          <w:tblHeader w:val="false"/>
        </w:trPr>
        <w:tc>
          <w:tcPr>
            <w:tcW w:type="dxa" w:w="2600"/>
            <w:tcMar>
              <w:top w:type="dxa" w:w="80"/>
              <w:left w:type="dxa" w:w="100"/>
              <w:bottom w:type="dxa" w:w="80"/>
              <w:right w:type="dxa" w:w="100"/>
            </w:tcMar>
            <w:vAlign w:val="center"/>
          </w:tcPr>
          <w:p>
            <w:pPr>
              <w:spacing w:after="0" w:line="260"/>
            </w:pPr>
            <w:r>
              <w:rPr>
                <w:b w:val="false"/>
                <w:bCs w:val="false"/>
                <w:color w:val="000000"/>
                <w:sz w:val="20"/>
                <w:szCs w:val="20"/>
              </w:rPr>
              <w:t xml:space="preserve">Settlement file format or schedule mismatch with a partner's own systems.</w:t>
            </w:r>
          </w:p>
        </w:tc>
        <w:tc>
          <w:tcPr>
            <w:tcW w:type="dxa" w:w="2400"/>
            <w:tcMar>
              <w:top w:type="dxa" w:w="80"/>
              <w:left w:type="dxa" w:w="100"/>
              <w:bottom w:type="dxa" w:w="80"/>
              <w:right w:type="dxa" w:w="100"/>
            </w:tcMar>
            <w:vAlign w:val="center"/>
          </w:tcPr>
          <w:p>
            <w:pPr>
              <w:spacing w:after="0" w:line="260"/>
            </w:pPr>
            <w:r>
              <w:rPr>
                <w:b w:val="false"/>
                <w:bCs w:val="false"/>
                <w:color w:val="000000"/>
                <w:sz w:val="20"/>
                <w:szCs w:val="20"/>
              </w:rPr>
              <w:t xml:space="preserve">Manual reconciliation overhead; partner dissatisfaction.</w:t>
            </w:r>
          </w:p>
        </w:tc>
        <w:tc>
          <w:tcPr>
            <w:tcW w:type="dxa" w:w="4200"/>
            <w:tcMar>
              <w:top w:type="dxa" w:w="80"/>
              <w:left w:type="dxa" w:w="100"/>
              <w:bottom w:type="dxa" w:w="80"/>
              <w:right w:type="dxa" w:w="100"/>
            </w:tcMar>
            <w:vAlign w:val="center"/>
          </w:tcPr>
          <w:p>
            <w:pPr>
              <w:spacing w:after="0" w:line="260"/>
            </w:pPr>
            <w:r>
              <w:rPr>
                <w:b w:val="false"/>
                <w:bCs w:val="false"/>
                <w:color w:val="000000"/>
                <w:sz w:val="20"/>
                <w:szCs w:val="20"/>
              </w:rPr>
              <w:t xml:space="preserve">Confirm file format/schedule per partner during onboarding (FR-7.1/7.2); partner self-service portal to reduce disputes (FR-7.10).</w:t>
            </w:r>
          </w:p>
        </w:tc>
      </w:tr>
      <w:tr>
        <w:trPr>
          <w:tblHeader w:val="false"/>
        </w:trPr>
        <w:tc>
          <w:tcPr>
            <w:tcW w:type="dxa" w:w="26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Point balances or conversion rates sourced from partners are inaccurate at the moment of redemption (timing/race conditions).</w:t>
            </w:r>
          </w:p>
        </w:tc>
        <w:tc>
          <w:tcPr>
            <w:tcW w:type="dxa" w:w="24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User redeems more/less than actually available; partner dispute.</w:t>
            </w:r>
          </w:p>
        </w:tc>
        <w:tc>
          <w:tcPr>
            <w:tcW w:type="dxa" w:w="4200"/>
            <w:shd w:fill="F2F2F2" w:val="clear"/>
            <w:tcMar>
              <w:top w:type="dxa" w:w="80"/>
              <w:left w:type="dxa" w:w="100"/>
              <w:bottom w:type="dxa" w:w="80"/>
              <w:right w:type="dxa" w:w="100"/>
            </w:tcMar>
            <w:vAlign w:val="center"/>
          </w:tcPr>
          <w:p>
            <w:pPr>
              <w:spacing w:after="0" w:line="260"/>
            </w:pPr>
            <w:r>
              <w:rPr>
                <w:b w:val="false"/>
                <w:bCs w:val="false"/>
                <w:color w:val="000000"/>
                <w:sz w:val="20"/>
                <w:szCs w:val="20"/>
              </w:rPr>
              <w:t xml:space="preserve">Live re-check before committing a redemption (FR-2.9), atomic two-phase redemption (FR-3.5).</w:t>
            </w:r>
          </w:p>
        </w:tc>
      </w:tr>
      <w:tr>
        <w:trPr>
          <w:tblHeader w:val="false"/>
        </w:trPr>
        <w:tc>
          <w:tcPr>
            <w:tcW w:type="dxa" w:w="2600"/>
            <w:tcMar>
              <w:top w:type="dxa" w:w="80"/>
              <w:left w:type="dxa" w:w="100"/>
              <w:bottom w:type="dxa" w:w="80"/>
              <w:right w:type="dxa" w:w="100"/>
            </w:tcMar>
            <w:vAlign w:val="center"/>
          </w:tcPr>
          <w:p>
            <w:pPr>
              <w:spacing w:after="0" w:line="260"/>
            </w:pPr>
            <w:r>
              <w:rPr>
                <w:b w:val="false"/>
                <w:bCs w:val="false"/>
                <w:color w:val="000000"/>
                <w:sz w:val="20"/>
                <w:szCs w:val="20"/>
              </w:rPr>
              <w:t xml:space="preserve">A Merchant Revenue Share rule is misconfigured and pays a partner more than Pull2Spend earns on the transaction.</w:t>
            </w:r>
          </w:p>
        </w:tc>
        <w:tc>
          <w:tcPr>
            <w:tcW w:type="dxa" w:w="2400"/>
            <w:tcMar>
              <w:top w:type="dxa" w:w="80"/>
              <w:left w:type="dxa" w:w="100"/>
              <w:bottom w:type="dxa" w:w="80"/>
              <w:right w:type="dxa" w:w="100"/>
            </w:tcMar>
            <w:vAlign w:val="center"/>
          </w:tcPr>
          <w:p>
            <w:pPr>
              <w:spacing w:after="0" w:line="260"/>
            </w:pPr>
            <w:r>
              <w:rPr>
                <w:b w:val="false"/>
                <w:bCs w:val="false"/>
                <w:color w:val="000000"/>
                <w:sz w:val="20"/>
                <w:szCs w:val="20"/>
              </w:rPr>
              <w:t xml:space="preserve">Negative margin on affected transactions; financial loss at scale.</w:t>
            </w:r>
          </w:p>
        </w:tc>
        <w:tc>
          <w:tcPr>
            <w:tcW w:type="dxa" w:w="4200"/>
            <w:tcMar>
              <w:top w:type="dxa" w:w="80"/>
              <w:left w:type="dxa" w:w="100"/>
              <w:bottom w:type="dxa" w:w="80"/>
              <w:right w:type="dxa" w:w="100"/>
            </w:tcMar>
            <w:vAlign w:val="center"/>
          </w:tcPr>
          <w:p>
            <w:pPr>
              <w:spacing w:after="0" w:line="260"/>
            </w:pPr>
            <w:r>
              <w:rPr>
                <w:b w:val="false"/>
                <w:bCs w:val="false"/>
                <w:color w:val="000000"/>
                <w:sz w:val="20"/>
                <w:szCs w:val="20"/>
              </w:rPr>
              <w:t xml:space="preserve">System-enforced cap tying payout to platform margin (FR-6.10), dual-control approval (FR-6.12), per-transaction/period payout caps (FR-6.9).</w:t>
            </w:r>
          </w:p>
        </w:tc>
      </w:tr>
    </w:tbl>
    <w:p>
      <w:pPr>
        <w:pStyle w:val="Heading1"/>
        <w:spacing w:after="160" w:before="360"/>
      </w:pPr>
      <w:r>
        <w:t xml:space="preserve">13. Success Metrics / KPIs</w:t>
      </w:r>
    </w:p>
    <w:p>
      <w:pPr>
        <w:pStyle w:val="ListParagraph"/>
        <w:numPr>
          <w:ilvl w:val="0"/>
          <w:numId w:val="2"/>
        </w:numPr>
        <w:spacing w:after="80" w:line="276"/>
      </w:pPr>
      <w:r>
        <w:t xml:space="preserve">Number of active Loyalty Partner connectors, and average time to onboard a new one.</w:t>
      </w:r>
    </w:p>
    <w:p>
      <w:pPr>
        <w:pStyle w:val="ListParagraph"/>
        <w:numPr>
          <w:ilvl w:val="0"/>
          <w:numId w:val="2"/>
        </w:numPr>
        <w:spacing w:after="80" w:line="276"/>
      </w:pPr>
      <w:r>
        <w:t xml:space="preserve">Monthly active users and percentage who complete at least one redemption.</w:t>
      </w:r>
    </w:p>
    <w:p>
      <w:pPr>
        <w:pStyle w:val="ListParagraph"/>
        <w:numPr>
          <w:ilvl w:val="0"/>
          <w:numId w:val="2"/>
        </w:numPr>
        <w:spacing w:after="80" w:line="276"/>
      </w:pPr>
      <w:r>
        <w:t xml:space="preserve">Average and median redemption completion time, by connector type (API vs. batch).</w:t>
      </w:r>
    </w:p>
    <w:p>
      <w:pPr>
        <w:pStyle w:val="ListParagraph"/>
        <w:numPr>
          <w:ilvl w:val="0"/>
          <w:numId w:val="2"/>
        </w:numPr>
        <w:spacing w:after="80" w:line="276"/>
      </w:pPr>
      <w:r>
        <w:t xml:space="preserve">Redemption success rate and failed-transaction resolution time (SLA adherence).</w:t>
      </w:r>
    </w:p>
    <w:p>
      <w:pPr>
        <w:pStyle w:val="ListParagraph"/>
        <w:numPr>
          <w:ilvl w:val="0"/>
          <w:numId w:val="2"/>
        </w:numPr>
        <w:spacing w:after="80" w:line="276"/>
      </w:pPr>
      <w:r>
        <w:t xml:space="preserve">Total wallet-to-card spend volume and card activation rate post-issuance.</w:t>
      </w:r>
    </w:p>
    <w:p>
      <w:pPr>
        <w:pStyle w:val="ListParagraph"/>
        <w:numPr>
          <w:ilvl w:val="0"/>
          <w:numId w:val="2"/>
        </w:numPr>
        <w:spacing w:after="80" w:line="276"/>
      </w:pPr>
      <w:r>
        <w:t xml:space="preserve">Revenue share earned per partner per period, and settlement-cycle accuracy (zero unresolved reconciliation breaks at close).</w:t>
      </w:r>
    </w:p>
    <w:p>
      <w:pPr>
        <w:pStyle w:val="ListParagraph"/>
        <w:numPr>
          <w:ilvl w:val="0"/>
          <w:numId w:val="2"/>
        </w:numPr>
        <w:spacing w:after="80" w:line="276"/>
      </w:pPr>
      <w:r>
        <w:t xml:space="preserve">Security/compliance KPIs: KYC pass-through rate, sanctions-screening false-positive rate, mean time to detect/respond to a security incident.</w:t>
      </w:r>
    </w:p>
    <w:p>
      <w:pPr>
        <w:pStyle w:val="ListParagraph"/>
        <w:numPr>
          <w:ilvl w:val="0"/>
          <w:numId w:val="2"/>
        </w:numPr>
        <w:spacing w:after="80" w:line="276"/>
      </w:pPr>
      <w:r>
        <w:t xml:space="preserve">Customer satisfaction: app store rating, support ticket volume per 1,000 active users, Net Promoter Score (if surveyed).</w:t>
      </w:r>
    </w:p>
    <w:p>
      <w:pPr>
        <w:pStyle w:val="Heading1"/>
        <w:spacing w:after="160" w:before="360"/>
      </w:pPr>
      <w:r>
        <w:t xml:space="preserve">14. Phased Roadmap Recommendation (Indicative)</w:t>
      </w:r>
    </w:p>
    <w:p>
      <w:pPr>
        <w:spacing w:after="160" w:line="276"/>
      </w:pPr>
      <w:r>
        <w:t xml:space="preserve">Not a commitment — a suggested sequencing to reduce risk, for the owner's consideration:</w:t>
      </w:r>
    </w:p>
    <w:p>
      <w:pPr>
        <w:pStyle w:val="ListParagraph"/>
        <w:numPr>
          <w:ilvl w:val="0"/>
          <w:numId w:val="3"/>
        </w:numPr>
        <w:spacing w:after="80" w:line="276"/>
      </w:pPr>
      <w:r>
        <w:t xml:space="preserve">Phase 0 — Feasibility &amp; Partner Validation: confirm licensing route with counsel; secure a candidate Issuing Partner/BIN sponsor and 2-3 pilot Loyalty Partners willing to integrate.</w:t>
      </w:r>
    </w:p>
    <w:p>
      <w:pPr>
        <w:pStyle w:val="ListParagraph"/>
        <w:numPr>
          <w:ilvl w:val="0"/>
          <w:numId w:val="3"/>
        </w:numPr>
        <w:spacing w:after="80" w:line="276"/>
      </w:pPr>
      <w:r>
        <w:t xml:space="preserve">Phase 1 — MVP: onboarding/KYC, 2-3 API-based loyalty connectors, single-partner and multi-partner redemption, wallet, virtual card issuance and basic spend, core back-office (users, failed transactions, audit log), basic settlement and reconciliation.</w:t>
      </w:r>
    </w:p>
    <w:p>
      <w:pPr>
        <w:pStyle w:val="ListParagraph"/>
        <w:numPr>
          <w:ilvl w:val="0"/>
          <w:numId w:val="3"/>
        </w:numPr>
        <w:spacing w:after="80" w:line="276"/>
      </w:pPr>
      <w:r>
        <w:t xml:space="preserve">Phase 2 — Scale connectors: connector framework hardened for faster partner onboarding, batch/file-based connector support, partner self-service portal, richer analytics dashboards.</w:t>
      </w:r>
    </w:p>
    <w:p>
      <w:pPr>
        <w:pStyle w:val="ListParagraph"/>
        <w:numPr>
          <w:ilvl w:val="0"/>
          <w:numId w:val="3"/>
        </w:numPr>
        <w:spacing w:after="80" w:line="276"/>
      </w:pPr>
      <w:r>
        <w:t xml:space="preserve">Phase 3 — Enhancements: point-expiry alerts, spend controls (MCC/geo), multi-currency support, additional markets/regulators, physical card evaluation if still desired.</w:t>
      </w:r>
    </w:p>
    <w:p>
      <w:pPr>
        <w:pStyle w:val="Heading1"/>
        <w:spacing w:after="160" w:before="360"/>
      </w:pPr>
      <w:r>
        <w:t xml:space="preserve">15. Open Questions for the Project Owner</w:t>
      </w:r>
    </w:p>
    <w:p>
      <w:pPr>
        <w:pStyle w:val="ListParagraph"/>
        <w:numPr>
          <w:ilvl w:val="0"/>
          <w:numId w:val="4"/>
        </w:numPr>
        <w:spacing w:after="80" w:line="276"/>
      </w:pPr>
      <w:r>
        <w:t xml:space="preserve">Preferred commercial/licensing structure: partner under an existing licensed Issuing Partner (program-manager model) vs. pursue a standalone QCB license — affects timeline materially.</w:t>
      </w:r>
    </w:p>
    <w:p>
      <w:pPr>
        <w:pStyle w:val="ListParagraph"/>
        <w:numPr>
          <w:ilvl w:val="0"/>
          <w:numId w:val="4"/>
        </w:numPr>
        <w:spacing w:after="80" w:line="276"/>
      </w:pPr>
      <w:r>
        <w:t xml:space="preserve">Target launch market: Qatar only first, or simultaneous GCC rollout?</w:t>
      </w:r>
    </w:p>
    <w:p>
      <w:pPr>
        <w:pStyle w:val="ListParagraph"/>
        <w:numPr>
          <w:ilvl w:val="0"/>
          <w:numId w:val="4"/>
        </w:numPr>
        <w:spacing w:after="80" w:line="276"/>
      </w:pPr>
      <w:r>
        <w:t xml:space="preserve">Initial list of candidate Loyalty Partners to approach for pilot integration, and whether any have existing public APIs.</w:t>
      </w:r>
    </w:p>
    <w:p>
      <w:pPr>
        <w:pStyle w:val="ListParagraph"/>
        <w:numPr>
          <w:ilvl w:val="0"/>
          <w:numId w:val="4"/>
        </w:numPr>
        <w:spacing w:after="80" w:line="276"/>
      </w:pPr>
      <w:r>
        <w:t xml:space="preserve">Default revenue-share model preference (percentage vs. flat vs. tiered) to use as the negotiating baseline with partners.</w:t>
      </w:r>
    </w:p>
    <w:p>
      <w:pPr>
        <w:pStyle w:val="ListParagraph"/>
        <w:numPr>
          <w:ilvl w:val="0"/>
          <w:numId w:val="4"/>
        </w:numPr>
        <w:spacing w:after="80" w:line="276"/>
      </w:pPr>
      <w:r>
        <w:t xml:space="preserve">Risk appetite for the interim credential-vault connector (FR-2.3) for partners without APIs — is it acceptable at all for MVP, or should MVP be restricted to API-only partners?</w:t>
      </w:r>
    </w:p>
    <w:p>
      <w:pPr>
        <w:pStyle w:val="ListParagraph"/>
        <w:numPr>
          <w:ilvl w:val="0"/>
          <w:numId w:val="4"/>
        </w:numPr>
        <w:spacing w:after="80" w:line="276"/>
      </w:pPr>
      <w:r>
        <w:t xml:space="preserve">Preferred operating currency and whether multi-currency is a near-term requirement rather than Phase 2.</w:t>
      </w:r>
    </w:p>
    <w:p>
      <w:pPr>
        <w:pStyle w:val="Heading1"/>
        <w:spacing w:after="160" w:before="360"/>
      </w:pPr>
      <w:r>
        <w:t xml:space="preserve">16. Approval</w:t>
      </w:r>
    </w:p>
    <w:p>
      <w:pPr>
        <w:spacing w:after="160" w:line="276"/>
      </w:pPr>
      <w:r>
        <w:t xml:space="preserve">This Business Requirement Document requires review and sign-off before proceeding to solution design.</w:t>
      </w:r>
    </w:p>
    <w:tbl>
      <w:tblPr>
        <w:tblW w:type="dxa" w:w="100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2500"/>
        <w:gridCol w:w="2500"/>
        <w:gridCol w:w="2000"/>
      </w:tblGrid>
      <w:tr>
        <w:trPr>
          <w:tblHeader/>
        </w:trPr>
        <w:tc>
          <w:tcPr>
            <w:tcW w:type="dxa" w:w="3000"/>
            <w:shd w:fill="1F3864" w:val="clear"/>
            <w:tcMar>
              <w:top w:type="dxa" w:w="80"/>
              <w:left w:type="dxa" w:w="100"/>
              <w:bottom w:type="dxa" w:w="80"/>
              <w:right w:type="dxa" w:w="100"/>
            </w:tcMar>
            <w:vAlign w:val="center"/>
          </w:tcPr>
          <w:p>
            <w:pPr>
              <w:spacing w:after="0" w:line="260"/>
            </w:pPr>
            <w:r>
              <w:rPr>
                <w:b/>
                <w:bCs/>
                <w:color w:val="FFFFFF"/>
                <w:sz w:val="20"/>
                <w:szCs w:val="20"/>
              </w:rPr>
              <w:t xml:space="preserve">Name</w:t>
            </w:r>
          </w:p>
        </w:tc>
        <w:tc>
          <w:tcPr>
            <w:tcW w:type="dxa" w:w="2500"/>
            <w:shd w:fill="1F3864" w:val="clear"/>
            <w:tcMar>
              <w:top w:type="dxa" w:w="80"/>
              <w:left w:type="dxa" w:w="100"/>
              <w:bottom w:type="dxa" w:w="80"/>
              <w:right w:type="dxa" w:w="100"/>
            </w:tcMar>
            <w:vAlign w:val="center"/>
          </w:tcPr>
          <w:p>
            <w:pPr>
              <w:spacing w:after="0" w:line="260"/>
            </w:pPr>
            <w:r>
              <w:rPr>
                <w:b/>
                <w:bCs/>
                <w:color w:val="FFFFFF"/>
                <w:sz w:val="20"/>
                <w:szCs w:val="20"/>
              </w:rPr>
              <w:t xml:space="preserve">Role</w:t>
            </w:r>
          </w:p>
        </w:tc>
        <w:tc>
          <w:tcPr>
            <w:tcW w:type="dxa" w:w="2500"/>
            <w:shd w:fill="1F3864" w:val="clear"/>
            <w:tcMar>
              <w:top w:type="dxa" w:w="80"/>
              <w:left w:type="dxa" w:w="100"/>
              <w:bottom w:type="dxa" w:w="80"/>
              <w:right w:type="dxa" w:w="100"/>
            </w:tcMar>
            <w:vAlign w:val="center"/>
          </w:tcPr>
          <w:p>
            <w:pPr>
              <w:spacing w:after="0" w:line="260"/>
            </w:pPr>
            <w:r>
              <w:rPr>
                <w:b/>
                <w:bCs/>
                <w:color w:val="FFFFFF"/>
                <w:sz w:val="20"/>
                <w:szCs w:val="20"/>
              </w:rPr>
              <w:t xml:space="preserve">Signature / Approval</w:t>
            </w:r>
          </w:p>
        </w:tc>
        <w:tc>
          <w:tcPr>
            <w:tcW w:type="dxa" w:w="2000"/>
            <w:shd w:fill="1F3864" w:val="clear"/>
            <w:tcMar>
              <w:top w:type="dxa" w:w="80"/>
              <w:left w:type="dxa" w:w="100"/>
              <w:bottom w:type="dxa" w:w="80"/>
              <w:right w:type="dxa" w:w="100"/>
            </w:tcMar>
            <w:vAlign w:val="center"/>
          </w:tcPr>
          <w:p>
            <w:pPr>
              <w:spacing w:after="0" w:line="260"/>
            </w:pPr>
            <w:r>
              <w:rPr>
                <w:b/>
                <w:bCs/>
                <w:color w:val="FFFFFF"/>
                <w:sz w:val="20"/>
                <w:szCs w:val="20"/>
              </w:rPr>
              <w:t xml:space="preserve">Date</w:t>
            </w:r>
          </w:p>
        </w:tc>
      </w:tr>
      <w:tr>
        <w:trPr>
          <w:tblHeader w:val="false"/>
        </w:trPr>
        <w:tc>
          <w:tcPr>
            <w:tcW w:type="dxa" w:w="3000"/>
            <w:tcMar>
              <w:top w:type="dxa" w:w="80"/>
              <w:left w:type="dxa" w:w="100"/>
              <w:bottom w:type="dxa" w:w="80"/>
              <w:right w:type="dxa" w:w="100"/>
            </w:tcMar>
            <w:vAlign w:val="center"/>
          </w:tcPr>
          <w:p>
            <w:pPr>
              <w:spacing w:after="0" w:line="260"/>
            </w:pPr>
            <w:r>
              <w:rPr>
                <w:b w:val="false"/>
                <w:bCs w:val="false"/>
                <w:color w:val="000000"/>
                <w:sz w:val="20"/>
                <w:szCs w:val="20"/>
              </w:rPr>
              <w:t xml:space="preserve">Bankole</w:t>
            </w:r>
          </w:p>
        </w:tc>
        <w:tc>
          <w:tcPr>
            <w:tcW w:type="dxa" w:w="2500"/>
            <w:tcMar>
              <w:top w:type="dxa" w:w="80"/>
              <w:left w:type="dxa" w:w="100"/>
              <w:bottom w:type="dxa" w:w="80"/>
              <w:right w:type="dxa" w:w="100"/>
            </w:tcMar>
            <w:vAlign w:val="center"/>
          </w:tcPr>
          <w:p>
            <w:pPr>
              <w:spacing w:after="0" w:line="260"/>
            </w:pPr>
            <w:r>
              <w:rPr>
                <w:b w:val="false"/>
                <w:bCs w:val="false"/>
                <w:color w:val="000000"/>
                <w:sz w:val="20"/>
                <w:szCs w:val="20"/>
              </w:rPr>
              <w:t xml:space="preserve">Project Owner</w:t>
            </w:r>
          </w:p>
        </w:tc>
        <w:tc>
          <w:tcPr>
            <w:tcW w:type="dxa" w:w="2500"/>
            <w:tcMar>
              <w:top w:type="dxa" w:w="80"/>
              <w:left w:type="dxa" w:w="100"/>
              <w:bottom w:type="dxa" w:w="80"/>
              <w:right w:type="dxa" w:w="100"/>
            </w:tcMar>
            <w:vAlign w:val="center"/>
          </w:tcPr>
          <w:p>
            <w:pPr>
              <w:spacing w:after="0" w:line="260"/>
            </w:pPr>
            <w:r>
              <w:rPr>
                <w:b w:val="false"/>
                <w:bCs w:val="false"/>
                <w:color w:val="000000"/>
                <w:sz w:val="20"/>
                <w:szCs w:val="20"/>
              </w:rPr>
              <w:t xml:space="preserve"/>
            </w:r>
          </w:p>
        </w:tc>
        <w:tc>
          <w:tcPr>
            <w:tcW w:type="dxa" w:w="2000"/>
            <w:tcMar>
              <w:top w:type="dxa" w:w="80"/>
              <w:left w:type="dxa" w:w="100"/>
              <w:bottom w:type="dxa" w:w="80"/>
              <w:right w:type="dxa" w:w="100"/>
            </w:tcMar>
            <w:vAlign w:val="center"/>
          </w:tcPr>
          <w:p>
            <w:pPr>
              <w:spacing w:after="0" w:line="260"/>
            </w:pPr>
            <w:r>
              <w:rPr>
                <w:b w:val="false"/>
                <w:bCs w:val="false"/>
                <w:color w:val="000000"/>
                <w:sz w:val="20"/>
                <w:szCs w:val="20"/>
              </w:rPr>
              <w:t xml:space="preserve"/>
            </w:r>
          </w:p>
        </w:tc>
      </w:tr>
    </w:tbl>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Confidential — Draft for Review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Pull2Spend — Business Requirement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Pull2Spend – Business Requirement Document</dc:title>
  <dc:creator>Pull2Spend Project</dc:creator>
  <dc:description>Business Requirement Document for the Pull2Spend mobile application</dc:description>
  <cp:lastModifiedBy>Un-named</cp:lastModifiedBy>
  <cp:revision>1</cp:revision>
  <dcterms:created xsi:type="dcterms:W3CDTF">2026-08-11T11:02:42.659Z</dcterms:created>
  <dcterms:modified xsi:type="dcterms:W3CDTF">2026-08-11T11:02:42.676Z</dcterms:modified>
</cp:coreProperties>
</file>

<file path=docProps/custom.xml><?xml version="1.0" encoding="utf-8"?>
<Properties xmlns="http://schemas.openxmlformats.org/officeDocument/2006/custom-properties" xmlns:vt="http://schemas.openxmlformats.org/officeDocument/2006/docPropsVTypes"/>
</file>