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C1BA3" w14:textId="75206407" w:rsidR="00345692" w:rsidRPr="00345692" w:rsidRDefault="00345692" w:rsidP="003456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Pharmaceutical Domain</w:t>
      </w:r>
    </w:p>
    <w:p w14:paraId="576CF529"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t>Transforming Molecules into Market-Ready Medicines</w:t>
      </w:r>
    </w:p>
    <w:p w14:paraId="0A060189"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b/>
          <w:bCs/>
          <w:kern w:val="0"/>
          <w14:ligatures w14:val="none"/>
        </w:rPr>
        <w:t>End-to-End Pharmaceutical Development Services</w:t>
      </w:r>
    </w:p>
    <w:p w14:paraId="23759DDE"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From pre-formulation research and formulation development to scale-up, regulatory submission, technology transfer, and commercial manufacturing support, we help pharmaceutical innovators accelerate development while reducing risk.</w:t>
      </w:r>
    </w:p>
    <w:p w14:paraId="723610DB"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b/>
          <w:bCs/>
          <w:kern w:val="0"/>
          <w14:ligatures w14:val="none"/>
        </w:rPr>
        <w:t>Building the future of healthcare through science, innovation, and regulatory excellence.</w:t>
      </w:r>
    </w:p>
    <w:p w14:paraId="1F319F24"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b/>
          <w:bCs/>
          <w:kern w:val="0"/>
          <w14:ligatures w14:val="none"/>
        </w:rPr>
        <w:t>CTA Buttons</w:t>
      </w:r>
    </w:p>
    <w:p w14:paraId="4DB2EC0A" w14:textId="77777777" w:rsidR="00345692" w:rsidRPr="00345692" w:rsidRDefault="00345692" w:rsidP="003456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Start Your Project</w:t>
      </w:r>
    </w:p>
    <w:p w14:paraId="64160BCE" w14:textId="77777777" w:rsidR="00345692" w:rsidRPr="00345692" w:rsidRDefault="00345692" w:rsidP="003456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Speak With Our Experts</w:t>
      </w:r>
    </w:p>
    <w:p w14:paraId="3CCFC550" w14:textId="77777777" w:rsidR="00345692" w:rsidRPr="00345692" w:rsidRDefault="00345692" w:rsidP="00345692">
      <w:pPr>
        <w:spacing w:after="0"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shd w:val="clear" w:color="auto" w:fill="A8D08D" w:themeFill="accent6" w:themeFillTint="99"/>
          <w14:ligatures w14:val="none"/>
        </w:rPr>
        <w:pict w14:anchorId="45AB4849">
          <v:rect id="_x0000_i1025" style="width:0;height:1.5pt" o:hralign="center" o:hrstd="t" o:hr="t" fillcolor="#a0a0a0" stroked="f"/>
        </w:pict>
      </w:r>
    </w:p>
    <w:p w14:paraId="09D161FC" w14:textId="77777777" w:rsidR="00345692" w:rsidRPr="00345692" w:rsidRDefault="00345692" w:rsidP="003456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5692">
        <w:rPr>
          <w:rFonts w:ascii="Times New Roman" w:eastAsia="Times New Roman" w:hAnsi="Times New Roman" w:cs="Times New Roman"/>
          <w:b/>
          <w:bCs/>
          <w:kern w:val="36"/>
          <w:sz w:val="48"/>
          <w:szCs w:val="48"/>
          <w14:ligatures w14:val="none"/>
        </w:rPr>
        <w:t>About Us</w:t>
      </w:r>
    </w:p>
    <w:p w14:paraId="40A8C4CF" w14:textId="77777777" w:rsidR="00345692" w:rsidRPr="00345692" w:rsidRDefault="00345692" w:rsidP="003456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5692">
        <w:rPr>
          <w:rFonts w:ascii="Times New Roman" w:eastAsia="Times New Roman" w:hAnsi="Times New Roman" w:cs="Times New Roman"/>
          <w:b/>
          <w:bCs/>
          <w:kern w:val="0"/>
          <w:sz w:val="36"/>
          <w:szCs w:val="36"/>
          <w14:ligatures w14:val="none"/>
        </w:rPr>
        <w:t>Your Strategic Pharmaceutical Development Partner</w:t>
      </w:r>
    </w:p>
    <w:p w14:paraId="2592FEE2"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We are a science-driven pharmaceutical development organization dedicated to transforming innovative concepts into commercially successful medicines. Our multidisciplinary team of formulation scientists, analytical experts, regulatory specialists, and manufacturing professionals collaborates across every stage of the product lifecycle.</w:t>
      </w:r>
    </w:p>
    <w:p w14:paraId="1348FB19"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Whether you are developing a generic product, a complex dosage form, a 505(b)(2) opportunity, or a novel drug delivery system, we provide the technical expertise and regulatory insight needed to achieve successful commercialization.</w:t>
      </w:r>
    </w:p>
    <w:p w14:paraId="71D59D22" w14:textId="77777777" w:rsidR="00345692" w:rsidRPr="00345692" w:rsidRDefault="00345692" w:rsidP="00345692">
      <w:pPr>
        <w:spacing w:after="0"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shd w:val="clear" w:color="auto" w:fill="A8D08D" w:themeFill="accent6" w:themeFillTint="99"/>
          <w14:ligatures w14:val="none"/>
        </w:rPr>
        <w:pict w14:anchorId="5700FA86">
          <v:rect id="_x0000_i1026" style="width:0;height:1.5pt" o:hralign="center" o:hrstd="t" o:hr="t" fillcolor="#a0a0a0" stroked="f"/>
        </w:pict>
      </w:r>
    </w:p>
    <w:p w14:paraId="2AFA2441" w14:textId="77777777" w:rsidR="00345692" w:rsidRPr="00345692" w:rsidRDefault="00345692" w:rsidP="003456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5692">
        <w:rPr>
          <w:rFonts w:ascii="Times New Roman" w:eastAsia="Times New Roman" w:hAnsi="Times New Roman" w:cs="Times New Roman"/>
          <w:b/>
          <w:bCs/>
          <w:kern w:val="36"/>
          <w:sz w:val="48"/>
          <w:szCs w:val="48"/>
          <w14:ligatures w14:val="none"/>
        </w:rPr>
        <w:t>Our Expertise</w:t>
      </w:r>
    </w:p>
    <w:p w14:paraId="594D91AD" w14:textId="77777777" w:rsidR="00345692" w:rsidRPr="00345692" w:rsidRDefault="00345692" w:rsidP="003456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5692">
        <w:rPr>
          <w:rFonts w:ascii="Times New Roman" w:eastAsia="Times New Roman" w:hAnsi="Times New Roman" w:cs="Times New Roman"/>
          <w:b/>
          <w:bCs/>
          <w:kern w:val="0"/>
          <w:sz w:val="36"/>
          <w:szCs w:val="36"/>
          <w14:ligatures w14:val="none"/>
        </w:rPr>
        <w:t>Complete Pharmaceutical Product Lifecycle Management</w:t>
      </w:r>
    </w:p>
    <w:p w14:paraId="0FDA7F4E"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t>Discovery Support &amp; Candidate Evaluation</w:t>
      </w:r>
    </w:p>
    <w:p w14:paraId="4C528490" w14:textId="77777777" w:rsidR="00345692" w:rsidRPr="00345692" w:rsidRDefault="00345692" w:rsidP="003456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Molecule assessment</w:t>
      </w:r>
    </w:p>
    <w:p w14:paraId="14B46F1E" w14:textId="77777777" w:rsidR="00345692" w:rsidRPr="00345692" w:rsidRDefault="00345692" w:rsidP="003456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Developability studies</w:t>
      </w:r>
    </w:p>
    <w:p w14:paraId="69178D77" w14:textId="77777777" w:rsidR="00345692" w:rsidRPr="00345692" w:rsidRDefault="00345692" w:rsidP="003456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lastRenderedPageBreak/>
        <w:t>Excipient compatibility screening</w:t>
      </w:r>
    </w:p>
    <w:p w14:paraId="479AF794" w14:textId="77777777" w:rsidR="00345692" w:rsidRPr="00345692" w:rsidRDefault="00345692" w:rsidP="003456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Route of administration selection</w:t>
      </w:r>
    </w:p>
    <w:p w14:paraId="1F18D171" w14:textId="77777777" w:rsidR="00345692" w:rsidRPr="00345692" w:rsidRDefault="00345692" w:rsidP="003456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Risk assessment and target product profile development</w:t>
      </w:r>
    </w:p>
    <w:p w14:paraId="1627AC60" w14:textId="2FA3E95A"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t>Pre</w:t>
      </w:r>
      <w:r>
        <w:rPr>
          <w:rFonts w:ascii="Times New Roman" w:eastAsia="Times New Roman" w:hAnsi="Times New Roman" w:cs="Times New Roman"/>
          <w:b/>
          <w:bCs/>
          <w:kern w:val="0"/>
          <w:sz w:val="27"/>
          <w:szCs w:val="27"/>
          <w14:ligatures w14:val="none"/>
        </w:rPr>
        <w:t>-</w:t>
      </w:r>
      <w:r w:rsidRPr="00345692">
        <w:rPr>
          <w:rFonts w:ascii="Times New Roman" w:eastAsia="Times New Roman" w:hAnsi="Times New Roman" w:cs="Times New Roman"/>
          <w:b/>
          <w:bCs/>
          <w:kern w:val="0"/>
          <w:sz w:val="27"/>
          <w:szCs w:val="27"/>
          <w14:ligatures w14:val="none"/>
        </w:rPr>
        <w:t>formulation Development</w:t>
      </w:r>
    </w:p>
    <w:p w14:paraId="0B0CADEE" w14:textId="77777777" w:rsidR="00345692" w:rsidRPr="00345692" w:rsidRDefault="00345692" w:rsidP="003456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Solubility characterization</w:t>
      </w:r>
    </w:p>
    <w:p w14:paraId="007928C8" w14:textId="77777777" w:rsidR="00345692" w:rsidRPr="00345692" w:rsidRDefault="00345692" w:rsidP="003456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Polymorph screening</w:t>
      </w:r>
    </w:p>
    <w:p w14:paraId="431E1F4D" w14:textId="77777777" w:rsidR="00345692" w:rsidRPr="00345692" w:rsidRDefault="00345692" w:rsidP="003456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Particle engineering</w:t>
      </w:r>
    </w:p>
    <w:p w14:paraId="75A3B1F9" w14:textId="77777777" w:rsidR="00345692" w:rsidRPr="00345692" w:rsidRDefault="00345692" w:rsidP="003456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Stability assessment</w:t>
      </w:r>
    </w:p>
    <w:p w14:paraId="23EFA36E" w14:textId="77777777" w:rsidR="00345692" w:rsidRPr="00345692" w:rsidRDefault="00345692" w:rsidP="003456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API-excipient compatibility studies</w:t>
      </w:r>
    </w:p>
    <w:p w14:paraId="3B5D841C"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t>Formulation Development</w:t>
      </w:r>
    </w:p>
    <w:p w14:paraId="0DA1F526" w14:textId="77777777" w:rsidR="00345692" w:rsidRPr="00345692" w:rsidRDefault="00345692" w:rsidP="003456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Immediate Release (IR) Products</w:t>
      </w:r>
    </w:p>
    <w:p w14:paraId="19467784" w14:textId="77777777" w:rsidR="00345692" w:rsidRPr="00345692" w:rsidRDefault="00345692" w:rsidP="003456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Modified Release (MR) Products</w:t>
      </w:r>
    </w:p>
    <w:p w14:paraId="3F63CC15" w14:textId="77777777" w:rsidR="00345692" w:rsidRPr="00345692" w:rsidRDefault="00345692" w:rsidP="003456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Extended Release (ER) Systems</w:t>
      </w:r>
    </w:p>
    <w:p w14:paraId="72992641" w14:textId="77777777" w:rsidR="00345692" w:rsidRPr="00345692" w:rsidRDefault="00345692" w:rsidP="003456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Delayed Release Formulations</w:t>
      </w:r>
    </w:p>
    <w:p w14:paraId="785D89A4" w14:textId="77777777" w:rsidR="00345692" w:rsidRPr="00345692" w:rsidRDefault="00345692" w:rsidP="003456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45692">
        <w:rPr>
          <w:rFonts w:ascii="Times New Roman" w:eastAsia="Times New Roman" w:hAnsi="Times New Roman" w:cs="Times New Roman"/>
          <w:kern w:val="0"/>
          <w14:ligatures w14:val="none"/>
        </w:rPr>
        <w:t>Multiparticulate</w:t>
      </w:r>
      <w:proofErr w:type="spellEnd"/>
      <w:r w:rsidRPr="00345692">
        <w:rPr>
          <w:rFonts w:ascii="Times New Roman" w:eastAsia="Times New Roman" w:hAnsi="Times New Roman" w:cs="Times New Roman"/>
          <w:kern w:val="0"/>
          <w14:ligatures w14:val="none"/>
        </w:rPr>
        <w:t xml:space="preserve"> Systems</w:t>
      </w:r>
    </w:p>
    <w:p w14:paraId="37764680" w14:textId="77777777" w:rsidR="00345692" w:rsidRPr="00345692" w:rsidRDefault="00345692" w:rsidP="003456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Orally Disintegrating Tablets</w:t>
      </w:r>
    </w:p>
    <w:p w14:paraId="4F7B61F5" w14:textId="77777777" w:rsidR="00345692" w:rsidRPr="00345692" w:rsidRDefault="00345692" w:rsidP="003456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Capsules &amp; Sachets</w:t>
      </w:r>
    </w:p>
    <w:p w14:paraId="4B69DC74" w14:textId="77777777" w:rsidR="00345692" w:rsidRPr="00345692" w:rsidRDefault="00345692" w:rsidP="003456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Topical &amp; Semisolid Products</w:t>
      </w:r>
    </w:p>
    <w:p w14:paraId="373B2FEC" w14:textId="77777777" w:rsidR="00345692" w:rsidRPr="00345692" w:rsidRDefault="00345692" w:rsidP="003456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Liquid Dosage Forms</w:t>
      </w:r>
    </w:p>
    <w:p w14:paraId="74AA4C25" w14:textId="77777777" w:rsidR="00345692" w:rsidRPr="00345692" w:rsidRDefault="00345692" w:rsidP="003456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Complex Generic Development</w:t>
      </w:r>
    </w:p>
    <w:p w14:paraId="4438185C"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t>Analytical Method Development</w:t>
      </w:r>
    </w:p>
    <w:p w14:paraId="370B5112" w14:textId="77777777" w:rsidR="00345692" w:rsidRPr="00345692" w:rsidRDefault="00345692" w:rsidP="003456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Method development and validation</w:t>
      </w:r>
    </w:p>
    <w:p w14:paraId="4831FC9A" w14:textId="77777777" w:rsidR="00345692" w:rsidRPr="00345692" w:rsidRDefault="00345692" w:rsidP="003456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Stability-indicating methods</w:t>
      </w:r>
    </w:p>
    <w:p w14:paraId="40B46A59" w14:textId="77777777" w:rsidR="00345692" w:rsidRPr="00345692" w:rsidRDefault="00345692" w:rsidP="003456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Dissolution method development</w:t>
      </w:r>
    </w:p>
    <w:p w14:paraId="6460C055" w14:textId="77777777" w:rsidR="00345692" w:rsidRPr="00345692" w:rsidRDefault="00345692" w:rsidP="003456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Impurity profiling</w:t>
      </w:r>
    </w:p>
    <w:p w14:paraId="6EBF5B36" w14:textId="1A05F84B" w:rsidR="00345692" w:rsidRPr="00345692" w:rsidRDefault="00345692" w:rsidP="003456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 xml:space="preserve">Extractables &amp; </w:t>
      </w:r>
      <w:proofErr w:type="spellStart"/>
      <w:r w:rsidRPr="00345692">
        <w:rPr>
          <w:rFonts w:ascii="Times New Roman" w:eastAsia="Times New Roman" w:hAnsi="Times New Roman" w:cs="Times New Roman"/>
          <w:kern w:val="0"/>
          <w14:ligatures w14:val="none"/>
        </w:rPr>
        <w:t>leachables</w:t>
      </w:r>
      <w:proofErr w:type="spellEnd"/>
      <w:r w:rsidRPr="00345692">
        <w:rPr>
          <w:rFonts w:ascii="Times New Roman" w:eastAsia="Times New Roman" w:hAnsi="Times New Roman" w:cs="Times New Roman"/>
          <w:kern w:val="0"/>
          <w14:ligatures w14:val="none"/>
        </w:rPr>
        <w:t xml:space="preserve"> support</w:t>
      </w:r>
    </w:p>
    <w:p w14:paraId="3E1B1AC2"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t>Process Development &amp; Scale-Up</w:t>
      </w:r>
    </w:p>
    <w:p w14:paraId="30DE4CEF" w14:textId="77777777" w:rsidR="00345692" w:rsidRPr="00345692" w:rsidRDefault="00345692" w:rsidP="003456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45692">
        <w:rPr>
          <w:rFonts w:ascii="Times New Roman" w:eastAsia="Times New Roman" w:hAnsi="Times New Roman" w:cs="Times New Roman"/>
          <w:kern w:val="0"/>
          <w14:ligatures w14:val="none"/>
        </w:rPr>
        <w:t>QbD</w:t>
      </w:r>
      <w:proofErr w:type="spellEnd"/>
      <w:r w:rsidRPr="00345692">
        <w:rPr>
          <w:rFonts w:ascii="Times New Roman" w:eastAsia="Times New Roman" w:hAnsi="Times New Roman" w:cs="Times New Roman"/>
          <w:kern w:val="0"/>
          <w14:ligatures w14:val="none"/>
        </w:rPr>
        <w:t>-based process optimization</w:t>
      </w:r>
    </w:p>
    <w:p w14:paraId="5B3A391A" w14:textId="77777777" w:rsidR="00345692" w:rsidRPr="00345692" w:rsidRDefault="00345692" w:rsidP="003456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Design of Experiments (DoE)</w:t>
      </w:r>
    </w:p>
    <w:p w14:paraId="63AD70D6" w14:textId="77777777" w:rsidR="00345692" w:rsidRPr="00345692" w:rsidRDefault="00345692" w:rsidP="003456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Process characterization</w:t>
      </w:r>
    </w:p>
    <w:p w14:paraId="0FCEAC25" w14:textId="77777777" w:rsidR="00345692" w:rsidRPr="00345692" w:rsidRDefault="00345692" w:rsidP="003456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Technology transfer</w:t>
      </w:r>
    </w:p>
    <w:p w14:paraId="06AEB839" w14:textId="77777777" w:rsidR="00345692" w:rsidRPr="00345692" w:rsidRDefault="00345692" w:rsidP="003456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Pilot and exhibit batch support</w:t>
      </w:r>
    </w:p>
    <w:p w14:paraId="77DE1FB2"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t>Regulatory &amp; CMC Support</w:t>
      </w:r>
    </w:p>
    <w:p w14:paraId="1F72EA53" w14:textId="77777777" w:rsidR="00345692" w:rsidRPr="00345692" w:rsidRDefault="00345692" w:rsidP="003456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CTD/eCTD dossier preparation</w:t>
      </w:r>
    </w:p>
    <w:p w14:paraId="169432F8" w14:textId="77777777" w:rsidR="00345692" w:rsidRPr="00345692" w:rsidRDefault="00345692" w:rsidP="003456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Module 3 documentation</w:t>
      </w:r>
    </w:p>
    <w:p w14:paraId="4E740C24" w14:textId="77777777" w:rsidR="00345692" w:rsidRPr="00345692" w:rsidRDefault="00345692" w:rsidP="003456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Development reports</w:t>
      </w:r>
    </w:p>
    <w:p w14:paraId="550295D2" w14:textId="77777777" w:rsidR="00345692" w:rsidRPr="00345692" w:rsidRDefault="00345692" w:rsidP="003456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lastRenderedPageBreak/>
        <w:t>Risk management documentation</w:t>
      </w:r>
    </w:p>
    <w:p w14:paraId="5F3A83D6" w14:textId="77777777" w:rsidR="00345692" w:rsidRPr="00345692" w:rsidRDefault="00345692" w:rsidP="003456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Regulatory response support</w:t>
      </w:r>
    </w:p>
    <w:p w14:paraId="62E08DD2"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t>Commercialization Support</w:t>
      </w:r>
    </w:p>
    <w:p w14:paraId="5BAD8C67" w14:textId="77777777" w:rsidR="00345692" w:rsidRPr="00345692" w:rsidRDefault="00345692" w:rsidP="003456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Manufacturing transfer</w:t>
      </w:r>
    </w:p>
    <w:p w14:paraId="2BF02077" w14:textId="77777777" w:rsidR="00345692" w:rsidRPr="00345692" w:rsidRDefault="00345692" w:rsidP="003456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Process validation</w:t>
      </w:r>
    </w:p>
    <w:p w14:paraId="361A2EED" w14:textId="77777777" w:rsidR="00345692" w:rsidRPr="00345692" w:rsidRDefault="00345692" w:rsidP="003456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Continued process verification</w:t>
      </w:r>
    </w:p>
    <w:p w14:paraId="25870EB2" w14:textId="77777777" w:rsidR="00345692" w:rsidRPr="00345692" w:rsidRDefault="00345692" w:rsidP="003456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Product launch readiness</w:t>
      </w:r>
    </w:p>
    <w:p w14:paraId="494B78E9" w14:textId="77777777" w:rsidR="00345692" w:rsidRPr="00345692" w:rsidRDefault="00345692" w:rsidP="003456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Post-approval lifecycle management</w:t>
      </w:r>
    </w:p>
    <w:p w14:paraId="6F6A6FF6" w14:textId="77777777" w:rsidR="00345692" w:rsidRPr="00345692" w:rsidRDefault="00345692" w:rsidP="00345692">
      <w:pPr>
        <w:spacing w:after="0"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shd w:val="clear" w:color="auto" w:fill="A8D08D" w:themeFill="accent6" w:themeFillTint="99"/>
          <w14:ligatures w14:val="none"/>
        </w:rPr>
        <w:pict w14:anchorId="5B97D6FF">
          <v:rect id="_x0000_i1027" style="width:0;height:1.5pt" o:hralign="center" o:hrstd="t" o:hr="t" fillcolor="#a0a0a0" stroked="f"/>
        </w:pict>
      </w:r>
    </w:p>
    <w:p w14:paraId="61563118" w14:textId="77777777" w:rsidR="00345692" w:rsidRPr="00345692" w:rsidRDefault="00345692" w:rsidP="003456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5692">
        <w:rPr>
          <w:rFonts w:ascii="Times New Roman" w:eastAsia="Times New Roman" w:hAnsi="Times New Roman" w:cs="Times New Roman"/>
          <w:b/>
          <w:bCs/>
          <w:kern w:val="36"/>
          <w:sz w:val="48"/>
          <w:szCs w:val="48"/>
          <w14:ligatures w14:val="none"/>
        </w:rPr>
        <w:t>Our Services</w:t>
      </w:r>
    </w:p>
    <w:p w14:paraId="42A641F5" w14:textId="77777777" w:rsidR="00345692" w:rsidRPr="00345692" w:rsidRDefault="00345692" w:rsidP="003456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5692">
        <w:rPr>
          <w:rFonts w:ascii="Times New Roman" w:eastAsia="Times New Roman" w:hAnsi="Times New Roman" w:cs="Times New Roman"/>
          <w:b/>
          <w:bCs/>
          <w:kern w:val="0"/>
          <w:sz w:val="36"/>
          <w:szCs w:val="36"/>
          <w14:ligatures w14:val="none"/>
        </w:rPr>
        <w:t>Pharmaceutical Formulation Development</w:t>
      </w:r>
    </w:p>
    <w:p w14:paraId="7F3D1E7B"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Developing robust, scalable, and patient-centric formulations using modern Quality by Design (</w:t>
      </w:r>
      <w:proofErr w:type="spellStart"/>
      <w:r w:rsidRPr="00345692">
        <w:rPr>
          <w:rFonts w:ascii="Times New Roman" w:eastAsia="Times New Roman" w:hAnsi="Times New Roman" w:cs="Times New Roman"/>
          <w:kern w:val="0"/>
          <w14:ligatures w14:val="none"/>
        </w:rPr>
        <w:t>QbD</w:t>
      </w:r>
      <w:proofErr w:type="spellEnd"/>
      <w:r w:rsidRPr="00345692">
        <w:rPr>
          <w:rFonts w:ascii="Times New Roman" w:eastAsia="Times New Roman" w:hAnsi="Times New Roman" w:cs="Times New Roman"/>
          <w:kern w:val="0"/>
          <w14:ligatures w14:val="none"/>
        </w:rPr>
        <w:t>) principles. We focus on product performance, manufacturability, stability, and regulatory compliance from the earliest stages of development.</w:t>
      </w:r>
    </w:p>
    <w:p w14:paraId="66C743A6" w14:textId="77777777" w:rsidR="00345692" w:rsidRPr="00345692" w:rsidRDefault="00345692" w:rsidP="00345692">
      <w:pPr>
        <w:spacing w:after="0"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shd w:val="clear" w:color="auto" w:fill="B4C6E7" w:themeFill="accent1" w:themeFillTint="66"/>
          <w14:ligatures w14:val="none"/>
        </w:rPr>
        <w:pict w14:anchorId="6B1FD930">
          <v:rect id="_x0000_i1028" style="width:0;height:1.5pt" o:hralign="center" o:hrstd="t" o:hr="t" fillcolor="#a0a0a0" stroked="f"/>
        </w:pict>
      </w:r>
    </w:p>
    <w:p w14:paraId="057B37F6" w14:textId="77777777" w:rsidR="00345692" w:rsidRPr="00345692" w:rsidRDefault="00345692" w:rsidP="003456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5692">
        <w:rPr>
          <w:rFonts w:ascii="Times New Roman" w:eastAsia="Times New Roman" w:hAnsi="Times New Roman" w:cs="Times New Roman"/>
          <w:b/>
          <w:bCs/>
          <w:kern w:val="0"/>
          <w:sz w:val="36"/>
          <w:szCs w:val="36"/>
          <w14:ligatures w14:val="none"/>
        </w:rPr>
        <w:t>Analytical Development &amp; Quality Control</w:t>
      </w:r>
    </w:p>
    <w:p w14:paraId="631E871F"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Our analytical team develops reliable methods that support formulation development, stability studies, process validation, and regulatory submissions while ensuring data integrity and compliance.</w:t>
      </w:r>
    </w:p>
    <w:p w14:paraId="2532974A" w14:textId="77777777" w:rsidR="00345692" w:rsidRPr="00345692" w:rsidRDefault="00345692" w:rsidP="00345692">
      <w:pPr>
        <w:spacing w:after="0"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shd w:val="clear" w:color="auto" w:fill="B4C6E7" w:themeFill="accent1" w:themeFillTint="66"/>
          <w14:ligatures w14:val="none"/>
        </w:rPr>
        <w:pict w14:anchorId="3FDBFD80">
          <v:rect id="_x0000_i1029" style="width:0;height:1.5pt" o:hralign="center" o:hrstd="t" o:hr="t" fillcolor="#a0a0a0" stroked="f"/>
        </w:pict>
      </w:r>
    </w:p>
    <w:p w14:paraId="20E2C25C" w14:textId="77777777" w:rsidR="00345692" w:rsidRPr="00345692" w:rsidRDefault="00345692" w:rsidP="003456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5692">
        <w:rPr>
          <w:rFonts w:ascii="Times New Roman" w:eastAsia="Times New Roman" w:hAnsi="Times New Roman" w:cs="Times New Roman"/>
          <w:b/>
          <w:bCs/>
          <w:kern w:val="0"/>
          <w:sz w:val="36"/>
          <w:szCs w:val="36"/>
          <w14:ligatures w14:val="none"/>
        </w:rPr>
        <w:t>Technology Transfer &amp; Manufacturing Readiness</w:t>
      </w:r>
    </w:p>
    <w:p w14:paraId="3646FA0C"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Seamlessly transfer laboratory-scale innovations into commercial manufacturing through scientifically designed scale-up strategies and risk-based process optimization.</w:t>
      </w:r>
    </w:p>
    <w:p w14:paraId="5BF361CB" w14:textId="77777777" w:rsidR="00345692" w:rsidRPr="00345692" w:rsidRDefault="00345692" w:rsidP="00345692">
      <w:pPr>
        <w:spacing w:after="0"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shd w:val="clear" w:color="auto" w:fill="B4C6E7" w:themeFill="accent1" w:themeFillTint="66"/>
          <w14:ligatures w14:val="none"/>
        </w:rPr>
        <w:pict w14:anchorId="7598E31A">
          <v:rect id="_x0000_i1030" style="width:0;height:1.5pt" o:hralign="center" o:hrstd="t" o:hr="t" fillcolor="#a0a0a0" stroked="f"/>
        </w:pict>
      </w:r>
    </w:p>
    <w:p w14:paraId="22FB94DF" w14:textId="77777777" w:rsidR="00345692" w:rsidRPr="00345692" w:rsidRDefault="00345692" w:rsidP="003456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5692">
        <w:rPr>
          <w:rFonts w:ascii="Times New Roman" w:eastAsia="Times New Roman" w:hAnsi="Times New Roman" w:cs="Times New Roman"/>
          <w:b/>
          <w:bCs/>
          <w:kern w:val="0"/>
          <w:sz w:val="36"/>
          <w:szCs w:val="36"/>
          <w14:ligatures w14:val="none"/>
        </w:rPr>
        <w:t>Regulatory Affairs &amp; Compliance</w:t>
      </w:r>
    </w:p>
    <w:p w14:paraId="288AE69C"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Navigate global regulatory pathways with confidence through comprehensive CMC documentation, dossier preparation, gap assessments, and submission support.</w:t>
      </w:r>
    </w:p>
    <w:p w14:paraId="73BDBFF7" w14:textId="77777777" w:rsidR="00345692" w:rsidRPr="00345692" w:rsidRDefault="00345692" w:rsidP="00345692">
      <w:pPr>
        <w:spacing w:after="0"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shd w:val="clear" w:color="auto" w:fill="B4C6E7" w:themeFill="accent1" w:themeFillTint="66"/>
          <w14:ligatures w14:val="none"/>
        </w:rPr>
        <w:lastRenderedPageBreak/>
        <w:pict w14:anchorId="054D40DA">
          <v:rect id="_x0000_i1031" style="width:0;height:1.5pt" o:hralign="center" o:hrstd="t" o:hr="t" fillcolor="#a0a0a0" stroked="f"/>
        </w:pict>
      </w:r>
    </w:p>
    <w:p w14:paraId="517A6A01" w14:textId="47B5DBD2" w:rsidR="00345692" w:rsidRPr="00345692" w:rsidRDefault="00345692" w:rsidP="003456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5692">
        <w:rPr>
          <w:rFonts w:ascii="Times New Roman" w:eastAsia="Times New Roman" w:hAnsi="Times New Roman" w:cs="Times New Roman"/>
          <w:b/>
          <w:bCs/>
          <w:kern w:val="36"/>
          <w:sz w:val="48"/>
          <w:szCs w:val="48"/>
          <w14:ligatures w14:val="none"/>
        </w:rPr>
        <w:t>Why Choose Us</w:t>
      </w:r>
      <w:r>
        <w:rPr>
          <w:rFonts w:ascii="Times New Roman" w:eastAsia="Times New Roman" w:hAnsi="Times New Roman" w:cs="Times New Roman"/>
          <w:b/>
          <w:bCs/>
          <w:kern w:val="36"/>
          <w:sz w:val="48"/>
          <w:szCs w:val="48"/>
          <w14:ligatures w14:val="none"/>
        </w:rPr>
        <w:t>?</w:t>
      </w:r>
    </w:p>
    <w:p w14:paraId="60418B31" w14:textId="77777777" w:rsidR="00345692" w:rsidRPr="00345692" w:rsidRDefault="00345692" w:rsidP="003456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5692">
        <w:rPr>
          <w:rFonts w:ascii="Times New Roman" w:eastAsia="Times New Roman" w:hAnsi="Times New Roman" w:cs="Times New Roman"/>
          <w:b/>
          <w:bCs/>
          <w:kern w:val="0"/>
          <w:sz w:val="36"/>
          <w:szCs w:val="36"/>
          <w14:ligatures w14:val="none"/>
        </w:rPr>
        <w:t>Accelerating Pharmaceutical Innovation</w:t>
      </w:r>
    </w:p>
    <w:p w14:paraId="4D85C70B"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t>Science-Driven Development</w:t>
      </w:r>
    </w:p>
    <w:p w14:paraId="2031CE95"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 xml:space="preserve">Evidence-based formulation strategies </w:t>
      </w:r>
      <w:proofErr w:type="gramStart"/>
      <w:r w:rsidRPr="00345692">
        <w:rPr>
          <w:rFonts w:ascii="Times New Roman" w:eastAsia="Times New Roman" w:hAnsi="Times New Roman" w:cs="Times New Roman"/>
          <w:kern w:val="0"/>
          <w14:ligatures w14:val="none"/>
        </w:rPr>
        <w:t>designed</w:t>
      </w:r>
      <w:proofErr w:type="gramEnd"/>
      <w:r w:rsidRPr="00345692">
        <w:rPr>
          <w:rFonts w:ascii="Times New Roman" w:eastAsia="Times New Roman" w:hAnsi="Times New Roman" w:cs="Times New Roman"/>
          <w:kern w:val="0"/>
          <w14:ligatures w14:val="none"/>
        </w:rPr>
        <w:t xml:space="preserve"> to maximize product success.</w:t>
      </w:r>
    </w:p>
    <w:p w14:paraId="31CEFEF3"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345692">
        <w:rPr>
          <w:rFonts w:ascii="Times New Roman" w:eastAsia="Times New Roman" w:hAnsi="Times New Roman" w:cs="Times New Roman"/>
          <w:b/>
          <w:bCs/>
          <w:kern w:val="0"/>
          <w:sz w:val="27"/>
          <w:szCs w:val="27"/>
          <w14:ligatures w14:val="none"/>
        </w:rPr>
        <w:t>QbD</w:t>
      </w:r>
      <w:proofErr w:type="spellEnd"/>
      <w:r w:rsidRPr="00345692">
        <w:rPr>
          <w:rFonts w:ascii="Times New Roman" w:eastAsia="Times New Roman" w:hAnsi="Times New Roman" w:cs="Times New Roman"/>
          <w:b/>
          <w:bCs/>
          <w:kern w:val="0"/>
          <w:sz w:val="27"/>
          <w:szCs w:val="27"/>
          <w14:ligatures w14:val="none"/>
        </w:rPr>
        <w:t>-Focused Approach</w:t>
      </w:r>
    </w:p>
    <w:p w14:paraId="6D177B6E"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Building quality into products from the beginning rather than testing it at the end.</w:t>
      </w:r>
    </w:p>
    <w:p w14:paraId="38E70BEB"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t>Regulatory Excellence</w:t>
      </w:r>
    </w:p>
    <w:p w14:paraId="12C11203"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Development aligned with FDA, EMA, ICH, WHO, and regional regulatory expectations.</w:t>
      </w:r>
    </w:p>
    <w:p w14:paraId="13DCB630"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t>Commercialization Mindset</w:t>
      </w:r>
    </w:p>
    <w:p w14:paraId="154612A7"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Every formulation is developed with manufacturing scalability and market success in mind.</w:t>
      </w:r>
    </w:p>
    <w:p w14:paraId="3C464186"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t>Risk Mitigation</w:t>
      </w:r>
    </w:p>
    <w:p w14:paraId="6E4C75A3"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Early identification of formulation, analytical, and manufacturing challenges reduces development timelines and costs.</w:t>
      </w:r>
    </w:p>
    <w:p w14:paraId="0649E4C1"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t>End-to-End Support</w:t>
      </w:r>
    </w:p>
    <w:p w14:paraId="5BD98160"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One partner from concept through commercialization.</w:t>
      </w:r>
    </w:p>
    <w:p w14:paraId="424521BB" w14:textId="77777777" w:rsidR="00345692" w:rsidRPr="00345692" w:rsidRDefault="00345692" w:rsidP="00345692">
      <w:pPr>
        <w:spacing w:after="0"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shd w:val="clear" w:color="auto" w:fill="B4C6E7" w:themeFill="accent1" w:themeFillTint="66"/>
          <w14:ligatures w14:val="none"/>
        </w:rPr>
        <w:pict w14:anchorId="7FBDADF4">
          <v:rect id="_x0000_i1032" style="width:0;height:1.5pt" o:hralign="center" o:hrstd="t" o:hr="t" fillcolor="#a0a0a0" stroked="f"/>
        </w:pict>
      </w:r>
    </w:p>
    <w:p w14:paraId="712BE550" w14:textId="77777777" w:rsidR="00345692" w:rsidRPr="00345692" w:rsidRDefault="00345692" w:rsidP="003456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5692">
        <w:rPr>
          <w:rFonts w:ascii="Times New Roman" w:eastAsia="Times New Roman" w:hAnsi="Times New Roman" w:cs="Times New Roman"/>
          <w:b/>
          <w:bCs/>
          <w:kern w:val="36"/>
          <w:sz w:val="48"/>
          <w:szCs w:val="48"/>
          <w14:ligatures w14:val="none"/>
        </w:rPr>
        <w:t>Product Development Journey</w:t>
      </w:r>
    </w:p>
    <w:p w14:paraId="3C091ADC" w14:textId="77777777" w:rsidR="00345692" w:rsidRPr="00345692" w:rsidRDefault="00345692" w:rsidP="003456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5692">
        <w:rPr>
          <w:rFonts w:ascii="Times New Roman" w:eastAsia="Times New Roman" w:hAnsi="Times New Roman" w:cs="Times New Roman"/>
          <w:b/>
          <w:bCs/>
          <w:kern w:val="0"/>
          <w:sz w:val="36"/>
          <w:szCs w:val="36"/>
          <w14:ligatures w14:val="none"/>
        </w:rPr>
        <w:t>From Concept to Commercial Success</w:t>
      </w:r>
    </w:p>
    <w:p w14:paraId="445839DF"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t>Phase 1: Discovery &amp; Assessment</w:t>
      </w:r>
    </w:p>
    <w:p w14:paraId="07B0F296"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Target Product Profile (TPP)</w:t>
      </w:r>
      <w:r w:rsidRPr="00345692">
        <w:rPr>
          <w:rFonts w:ascii="Times New Roman" w:eastAsia="Times New Roman" w:hAnsi="Times New Roman" w:cs="Times New Roman"/>
          <w:kern w:val="0"/>
          <w14:ligatures w14:val="none"/>
        </w:rPr>
        <w:br/>
        <w:t>↓</w:t>
      </w:r>
    </w:p>
    <w:p w14:paraId="2A571E6A"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lastRenderedPageBreak/>
        <w:t xml:space="preserve">Phase 2: </w:t>
      </w:r>
      <w:proofErr w:type="spellStart"/>
      <w:r w:rsidRPr="00345692">
        <w:rPr>
          <w:rFonts w:ascii="Times New Roman" w:eastAsia="Times New Roman" w:hAnsi="Times New Roman" w:cs="Times New Roman"/>
          <w:b/>
          <w:bCs/>
          <w:kern w:val="0"/>
          <w:sz w:val="27"/>
          <w:szCs w:val="27"/>
          <w14:ligatures w14:val="none"/>
        </w:rPr>
        <w:t>Preformulation</w:t>
      </w:r>
      <w:proofErr w:type="spellEnd"/>
    </w:p>
    <w:p w14:paraId="6B368BA4"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Physicochemical Characterization</w:t>
      </w:r>
      <w:r w:rsidRPr="00345692">
        <w:rPr>
          <w:rFonts w:ascii="Times New Roman" w:eastAsia="Times New Roman" w:hAnsi="Times New Roman" w:cs="Times New Roman"/>
          <w:kern w:val="0"/>
          <w14:ligatures w14:val="none"/>
        </w:rPr>
        <w:br/>
        <w:t>↓</w:t>
      </w:r>
    </w:p>
    <w:p w14:paraId="26980931"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t>Phase 3: Formulation Development</w:t>
      </w:r>
    </w:p>
    <w:p w14:paraId="31A564F5"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Prototype Design &amp; Optimization</w:t>
      </w:r>
      <w:r w:rsidRPr="00345692">
        <w:rPr>
          <w:rFonts w:ascii="Times New Roman" w:eastAsia="Times New Roman" w:hAnsi="Times New Roman" w:cs="Times New Roman"/>
          <w:kern w:val="0"/>
          <w14:ligatures w14:val="none"/>
        </w:rPr>
        <w:br/>
        <w:t>↓</w:t>
      </w:r>
    </w:p>
    <w:p w14:paraId="311EE1C6"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t>Phase 4: Analytical Development</w:t>
      </w:r>
    </w:p>
    <w:p w14:paraId="08C82972"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Method Development &amp; Validation</w:t>
      </w:r>
      <w:r w:rsidRPr="00345692">
        <w:rPr>
          <w:rFonts w:ascii="Times New Roman" w:eastAsia="Times New Roman" w:hAnsi="Times New Roman" w:cs="Times New Roman"/>
          <w:kern w:val="0"/>
          <w14:ligatures w14:val="none"/>
        </w:rPr>
        <w:br/>
        <w:t>↓</w:t>
      </w:r>
    </w:p>
    <w:p w14:paraId="01EABCF4"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t>Phase 5: Scale-Up</w:t>
      </w:r>
    </w:p>
    <w:p w14:paraId="255F9B82"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Pilot Manufacturing &amp; Process Optimization</w:t>
      </w:r>
      <w:r w:rsidRPr="00345692">
        <w:rPr>
          <w:rFonts w:ascii="Times New Roman" w:eastAsia="Times New Roman" w:hAnsi="Times New Roman" w:cs="Times New Roman"/>
          <w:kern w:val="0"/>
          <w14:ligatures w14:val="none"/>
        </w:rPr>
        <w:br/>
        <w:t>↓</w:t>
      </w:r>
    </w:p>
    <w:p w14:paraId="5FDD8CEA"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t>Phase 6: Regulatory Submission</w:t>
      </w:r>
    </w:p>
    <w:p w14:paraId="5173D0D0"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CMC Documentation &amp; Filing Support</w:t>
      </w:r>
      <w:r w:rsidRPr="00345692">
        <w:rPr>
          <w:rFonts w:ascii="Times New Roman" w:eastAsia="Times New Roman" w:hAnsi="Times New Roman" w:cs="Times New Roman"/>
          <w:kern w:val="0"/>
          <w14:ligatures w14:val="none"/>
        </w:rPr>
        <w:br/>
        <w:t>↓</w:t>
      </w:r>
    </w:p>
    <w:p w14:paraId="631E934D"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t>Phase 7: Commercial Manufacturing</w:t>
      </w:r>
    </w:p>
    <w:p w14:paraId="2705E5B6"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Technology Transfer &amp; Validation</w:t>
      </w:r>
      <w:r w:rsidRPr="00345692">
        <w:rPr>
          <w:rFonts w:ascii="Times New Roman" w:eastAsia="Times New Roman" w:hAnsi="Times New Roman" w:cs="Times New Roman"/>
          <w:kern w:val="0"/>
          <w14:ligatures w14:val="none"/>
        </w:rPr>
        <w:br/>
        <w:t>↓</w:t>
      </w:r>
    </w:p>
    <w:p w14:paraId="284A50CF" w14:textId="77777777" w:rsidR="00345692" w:rsidRPr="00345692" w:rsidRDefault="00345692" w:rsidP="00345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5692">
        <w:rPr>
          <w:rFonts w:ascii="Times New Roman" w:eastAsia="Times New Roman" w:hAnsi="Times New Roman" w:cs="Times New Roman"/>
          <w:b/>
          <w:bCs/>
          <w:kern w:val="0"/>
          <w:sz w:val="27"/>
          <w:szCs w:val="27"/>
          <w14:ligatures w14:val="none"/>
        </w:rPr>
        <w:t>Phase 8: Lifecycle Management</w:t>
      </w:r>
    </w:p>
    <w:p w14:paraId="460AD8EF"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Continuous Improvement &amp; Market Support</w:t>
      </w:r>
    </w:p>
    <w:p w14:paraId="29312A75" w14:textId="77777777" w:rsidR="00345692" w:rsidRPr="00345692" w:rsidRDefault="00345692" w:rsidP="00345692">
      <w:pPr>
        <w:spacing w:after="0"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shd w:val="clear" w:color="auto" w:fill="C5E0B3" w:themeFill="accent6" w:themeFillTint="66"/>
          <w14:ligatures w14:val="none"/>
        </w:rPr>
        <w:pict w14:anchorId="2AC763C6">
          <v:rect id="_x0000_i1033" style="width:0;height:1.5pt" o:hralign="center" o:hrstd="t" o:hr="t" fillcolor="#a0a0a0" stroked="f"/>
        </w:pict>
      </w:r>
    </w:p>
    <w:p w14:paraId="5E3697FA" w14:textId="77777777" w:rsidR="00345692" w:rsidRPr="00345692" w:rsidRDefault="00345692" w:rsidP="003456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5692">
        <w:rPr>
          <w:rFonts w:ascii="Times New Roman" w:eastAsia="Times New Roman" w:hAnsi="Times New Roman" w:cs="Times New Roman"/>
          <w:b/>
          <w:bCs/>
          <w:kern w:val="36"/>
          <w:sz w:val="48"/>
          <w:szCs w:val="48"/>
          <w14:ligatures w14:val="none"/>
        </w:rPr>
        <w:t>Therapeutic Areas</w:t>
      </w:r>
    </w:p>
    <w:p w14:paraId="6F714AFA" w14:textId="77777777" w:rsidR="00345692" w:rsidRPr="00345692" w:rsidRDefault="00345692" w:rsidP="003456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5692">
        <w:rPr>
          <w:rFonts w:ascii="Times New Roman" w:eastAsia="Times New Roman" w:hAnsi="Times New Roman" w:cs="Times New Roman"/>
          <w:b/>
          <w:bCs/>
          <w:kern w:val="0"/>
          <w:sz w:val="36"/>
          <w:szCs w:val="36"/>
          <w14:ligatures w14:val="none"/>
        </w:rPr>
        <w:t>Expertise Across Multiple Therapeutic Segments</w:t>
      </w:r>
    </w:p>
    <w:p w14:paraId="68564E02" w14:textId="77777777" w:rsidR="00345692" w:rsidRPr="00345692" w:rsidRDefault="00345692" w:rsidP="003456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Neurology &amp; CNS</w:t>
      </w:r>
    </w:p>
    <w:p w14:paraId="51FB7FDD" w14:textId="77777777" w:rsidR="00345692" w:rsidRPr="00345692" w:rsidRDefault="00345692" w:rsidP="003456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Cardiovascular</w:t>
      </w:r>
    </w:p>
    <w:p w14:paraId="386512A8" w14:textId="77777777" w:rsidR="00345692" w:rsidRPr="00345692" w:rsidRDefault="00345692" w:rsidP="003456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Endocrinology &amp; Diabetes</w:t>
      </w:r>
    </w:p>
    <w:p w14:paraId="18899AEA" w14:textId="77777777" w:rsidR="00345692" w:rsidRPr="00345692" w:rsidRDefault="00345692" w:rsidP="003456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Gastroenterology</w:t>
      </w:r>
    </w:p>
    <w:p w14:paraId="7208BB5A" w14:textId="77777777" w:rsidR="00345692" w:rsidRPr="00345692" w:rsidRDefault="00345692" w:rsidP="003456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lastRenderedPageBreak/>
        <w:t>Respiratory</w:t>
      </w:r>
    </w:p>
    <w:p w14:paraId="54085C50" w14:textId="77777777" w:rsidR="00345692" w:rsidRPr="00345692" w:rsidRDefault="00345692" w:rsidP="003456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Anti-Infectives</w:t>
      </w:r>
    </w:p>
    <w:p w14:paraId="5FCA4333" w14:textId="77777777" w:rsidR="00345692" w:rsidRPr="00345692" w:rsidRDefault="00345692" w:rsidP="003456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Dermatology</w:t>
      </w:r>
    </w:p>
    <w:p w14:paraId="6D80E912" w14:textId="77777777" w:rsidR="00345692" w:rsidRPr="00345692" w:rsidRDefault="00345692" w:rsidP="003456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Oncology Support Products</w:t>
      </w:r>
    </w:p>
    <w:p w14:paraId="057A46D0" w14:textId="77777777" w:rsidR="00345692" w:rsidRPr="00345692" w:rsidRDefault="00345692" w:rsidP="003456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Women's Health</w:t>
      </w:r>
    </w:p>
    <w:p w14:paraId="3EFB4300" w14:textId="77777777" w:rsidR="00345692" w:rsidRPr="00345692" w:rsidRDefault="00345692" w:rsidP="003456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Rare Diseases</w:t>
      </w:r>
    </w:p>
    <w:p w14:paraId="48461BA2" w14:textId="77777777" w:rsidR="00345692" w:rsidRPr="00345692" w:rsidRDefault="00345692" w:rsidP="00345692">
      <w:pPr>
        <w:spacing w:after="0"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shd w:val="clear" w:color="auto" w:fill="C5E0B3" w:themeFill="accent6" w:themeFillTint="66"/>
          <w14:ligatures w14:val="none"/>
        </w:rPr>
        <w:pict w14:anchorId="3E4B7FC4">
          <v:rect id="_x0000_i1034" style="width:0;height:1.5pt" o:hralign="center" o:hrstd="t" o:hr="t" fillcolor="#a0a0a0" stroked="f"/>
        </w:pict>
      </w:r>
    </w:p>
    <w:p w14:paraId="449EFE60" w14:textId="77777777" w:rsidR="00345692" w:rsidRPr="00345692" w:rsidRDefault="00345692" w:rsidP="003456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5692">
        <w:rPr>
          <w:rFonts w:ascii="Times New Roman" w:eastAsia="Times New Roman" w:hAnsi="Times New Roman" w:cs="Times New Roman"/>
          <w:b/>
          <w:bCs/>
          <w:kern w:val="36"/>
          <w:sz w:val="48"/>
          <w:szCs w:val="48"/>
          <w14:ligatures w14:val="none"/>
        </w:rPr>
        <w:t>Quality Commitment</w:t>
      </w:r>
    </w:p>
    <w:p w14:paraId="229191A0" w14:textId="77777777" w:rsidR="00345692" w:rsidRPr="00345692" w:rsidRDefault="00345692" w:rsidP="003456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5692">
        <w:rPr>
          <w:rFonts w:ascii="Times New Roman" w:eastAsia="Times New Roman" w:hAnsi="Times New Roman" w:cs="Times New Roman"/>
          <w:b/>
          <w:bCs/>
          <w:kern w:val="0"/>
          <w:sz w:val="36"/>
          <w:szCs w:val="36"/>
          <w14:ligatures w14:val="none"/>
        </w:rPr>
        <w:t xml:space="preserve">Quality Built </w:t>
      </w:r>
      <w:proofErr w:type="gramStart"/>
      <w:r w:rsidRPr="00345692">
        <w:rPr>
          <w:rFonts w:ascii="Times New Roman" w:eastAsia="Times New Roman" w:hAnsi="Times New Roman" w:cs="Times New Roman"/>
          <w:b/>
          <w:bCs/>
          <w:kern w:val="0"/>
          <w:sz w:val="36"/>
          <w:szCs w:val="36"/>
          <w14:ligatures w14:val="none"/>
        </w:rPr>
        <w:t>Into</w:t>
      </w:r>
      <w:proofErr w:type="gramEnd"/>
      <w:r w:rsidRPr="00345692">
        <w:rPr>
          <w:rFonts w:ascii="Times New Roman" w:eastAsia="Times New Roman" w:hAnsi="Times New Roman" w:cs="Times New Roman"/>
          <w:b/>
          <w:bCs/>
          <w:kern w:val="0"/>
          <w:sz w:val="36"/>
          <w:szCs w:val="36"/>
          <w14:ligatures w14:val="none"/>
        </w:rPr>
        <w:t xml:space="preserve"> Every Stage</w:t>
      </w:r>
    </w:p>
    <w:p w14:paraId="458C7E6B" w14:textId="6BA24413"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 xml:space="preserve">Quality is not a final </w:t>
      </w:r>
      <w:proofErr w:type="gramStart"/>
      <w:r w:rsidRPr="00345692">
        <w:rPr>
          <w:rFonts w:ascii="Times New Roman" w:eastAsia="Times New Roman" w:hAnsi="Times New Roman" w:cs="Times New Roman"/>
          <w:kern w:val="0"/>
          <w14:ligatures w14:val="none"/>
        </w:rPr>
        <w:t>checkpoint</w:t>
      </w:r>
      <w:r>
        <w:rPr>
          <w:rFonts w:ascii="Times New Roman" w:eastAsia="Times New Roman" w:hAnsi="Times New Roman" w:cs="Times New Roman"/>
          <w:kern w:val="0"/>
          <w14:ligatures w14:val="none"/>
        </w:rPr>
        <w:t>,</w:t>
      </w:r>
      <w:proofErr w:type="gramEnd"/>
      <w:r>
        <w:rPr>
          <w:rFonts w:ascii="Times New Roman" w:eastAsia="Times New Roman" w:hAnsi="Times New Roman" w:cs="Times New Roman"/>
          <w:kern w:val="0"/>
          <w14:ligatures w14:val="none"/>
        </w:rPr>
        <w:t xml:space="preserve"> </w:t>
      </w:r>
      <w:r w:rsidRPr="00345692">
        <w:rPr>
          <w:rFonts w:ascii="Times New Roman" w:eastAsia="Times New Roman" w:hAnsi="Times New Roman" w:cs="Times New Roman"/>
          <w:kern w:val="0"/>
          <w14:ligatures w14:val="none"/>
        </w:rPr>
        <w:t>it's integrated throughout the entire development process. Our development programs follow risk-based methodologies, scientific rigor, and regulatory expectations to ensure reliable, reproducible, and commercially viable pharmaceutical products. This aligns with the lifecycle-focused approach increasingly emphasized in pharmaceutical development and manufactu</w:t>
      </w:r>
      <w:r>
        <w:rPr>
          <w:rFonts w:ascii="Times New Roman" w:eastAsia="Times New Roman" w:hAnsi="Times New Roman" w:cs="Times New Roman"/>
          <w:kern w:val="0"/>
          <w14:ligatures w14:val="none"/>
        </w:rPr>
        <w:t xml:space="preserve">ring. </w:t>
      </w:r>
    </w:p>
    <w:p w14:paraId="39DA99CD" w14:textId="77777777" w:rsidR="00345692" w:rsidRPr="00345692" w:rsidRDefault="00345692" w:rsidP="00345692">
      <w:pPr>
        <w:spacing w:after="0"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shd w:val="clear" w:color="auto" w:fill="D5DCE4" w:themeFill="text2" w:themeFillTint="33"/>
          <w14:ligatures w14:val="none"/>
        </w:rPr>
        <w:pict w14:anchorId="71715E10">
          <v:rect id="_x0000_i1035" style="width:0;height:1.5pt" o:hralign="center" o:hrstd="t" o:hr="t" fillcolor="#a0a0a0" stroked="f"/>
        </w:pict>
      </w:r>
    </w:p>
    <w:p w14:paraId="124B1987" w14:textId="77777777" w:rsidR="00345692" w:rsidRPr="00345692" w:rsidRDefault="00345692" w:rsidP="003456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45692">
        <w:rPr>
          <w:rFonts w:ascii="Times New Roman" w:eastAsia="Times New Roman" w:hAnsi="Times New Roman" w:cs="Times New Roman"/>
          <w:b/>
          <w:bCs/>
          <w:kern w:val="36"/>
          <w:sz w:val="48"/>
          <w:szCs w:val="48"/>
          <w14:ligatures w14:val="none"/>
        </w:rPr>
        <w:t>Call To Action</w:t>
      </w:r>
    </w:p>
    <w:p w14:paraId="661F1187" w14:textId="77777777" w:rsidR="00345692" w:rsidRPr="00345692" w:rsidRDefault="00345692" w:rsidP="003456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45692">
        <w:rPr>
          <w:rFonts w:ascii="Times New Roman" w:eastAsia="Times New Roman" w:hAnsi="Times New Roman" w:cs="Times New Roman"/>
          <w:b/>
          <w:bCs/>
          <w:kern w:val="0"/>
          <w:sz w:val="36"/>
          <w:szCs w:val="36"/>
          <w14:ligatures w14:val="none"/>
        </w:rPr>
        <w:t>Ready to Bring Your Pharmaceutical Product to Market?</w:t>
      </w:r>
    </w:p>
    <w:p w14:paraId="50F05ECE" w14:textId="78459BFE"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kern w:val="0"/>
          <w14:ligatures w14:val="none"/>
        </w:rPr>
        <w:t>Partner with a team that understands the complete pharmaceutical product lifecycle</w:t>
      </w:r>
      <w:r>
        <w:rPr>
          <w:rFonts w:ascii="Times New Roman" w:eastAsia="Times New Roman" w:hAnsi="Times New Roman" w:cs="Times New Roman"/>
          <w:kern w:val="0"/>
          <w14:ligatures w14:val="none"/>
        </w:rPr>
        <w:t xml:space="preserve">, </w:t>
      </w:r>
      <w:r w:rsidRPr="00345692">
        <w:rPr>
          <w:rFonts w:ascii="Times New Roman" w:eastAsia="Times New Roman" w:hAnsi="Times New Roman" w:cs="Times New Roman"/>
          <w:kern w:val="0"/>
          <w14:ligatures w14:val="none"/>
        </w:rPr>
        <w:t>from formulation strategy and analytical development to regulatory approval and commercialization.</w:t>
      </w:r>
    </w:p>
    <w:p w14:paraId="3071DADB"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b/>
          <w:bCs/>
          <w:kern w:val="0"/>
          <w14:ligatures w14:val="none"/>
        </w:rPr>
        <w:t>Let's develop the next generation of medicines together.</w:t>
      </w:r>
    </w:p>
    <w:p w14:paraId="1AE5CB1E" w14:textId="77777777" w:rsidR="00345692" w:rsidRPr="00345692" w:rsidRDefault="00345692" w:rsidP="00345692">
      <w:pPr>
        <w:spacing w:before="100" w:beforeAutospacing="1" w:after="100" w:afterAutospacing="1" w:line="240" w:lineRule="auto"/>
        <w:rPr>
          <w:rFonts w:ascii="Times New Roman" w:eastAsia="Times New Roman" w:hAnsi="Times New Roman" w:cs="Times New Roman"/>
          <w:kern w:val="0"/>
          <w14:ligatures w14:val="none"/>
        </w:rPr>
      </w:pPr>
      <w:r w:rsidRPr="00345692">
        <w:rPr>
          <w:rFonts w:ascii="Times New Roman" w:eastAsia="Times New Roman" w:hAnsi="Times New Roman" w:cs="Times New Roman"/>
          <w:b/>
          <w:bCs/>
          <w:kern w:val="0"/>
          <w14:ligatures w14:val="none"/>
        </w:rPr>
        <w:t>[Schedule a Consultation]</w:t>
      </w:r>
      <w:r w:rsidRPr="00345692">
        <w:rPr>
          <w:rFonts w:ascii="Times New Roman" w:eastAsia="Times New Roman" w:hAnsi="Times New Roman" w:cs="Times New Roman"/>
          <w:kern w:val="0"/>
          <w14:ligatures w14:val="none"/>
        </w:rPr>
        <w:br/>
      </w:r>
      <w:r w:rsidRPr="00345692">
        <w:rPr>
          <w:rFonts w:ascii="Times New Roman" w:eastAsia="Times New Roman" w:hAnsi="Times New Roman" w:cs="Times New Roman"/>
          <w:b/>
          <w:bCs/>
          <w:kern w:val="0"/>
          <w14:ligatures w14:val="none"/>
        </w:rPr>
        <w:t>[Discuss Your Project]</w:t>
      </w:r>
    </w:p>
    <w:p w14:paraId="770F5441" w14:textId="77777777" w:rsidR="00345692" w:rsidRDefault="00345692"/>
    <w:sectPr w:rsidR="003456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3091"/>
    <w:multiLevelType w:val="multilevel"/>
    <w:tmpl w:val="F1A2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2267A"/>
    <w:multiLevelType w:val="multilevel"/>
    <w:tmpl w:val="986C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D1D7C"/>
    <w:multiLevelType w:val="multilevel"/>
    <w:tmpl w:val="87F4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14268"/>
    <w:multiLevelType w:val="multilevel"/>
    <w:tmpl w:val="877C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F5B96"/>
    <w:multiLevelType w:val="multilevel"/>
    <w:tmpl w:val="82F2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34FC4"/>
    <w:multiLevelType w:val="multilevel"/>
    <w:tmpl w:val="AE90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3901DB"/>
    <w:multiLevelType w:val="multilevel"/>
    <w:tmpl w:val="C642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92889"/>
    <w:multiLevelType w:val="multilevel"/>
    <w:tmpl w:val="9D00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865E12"/>
    <w:multiLevelType w:val="multilevel"/>
    <w:tmpl w:val="6572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107565">
    <w:abstractNumId w:val="4"/>
  </w:num>
  <w:num w:numId="2" w16cid:durableId="1336373100">
    <w:abstractNumId w:val="3"/>
  </w:num>
  <w:num w:numId="3" w16cid:durableId="1839543503">
    <w:abstractNumId w:val="7"/>
  </w:num>
  <w:num w:numId="4" w16cid:durableId="473303368">
    <w:abstractNumId w:val="2"/>
  </w:num>
  <w:num w:numId="5" w16cid:durableId="622272647">
    <w:abstractNumId w:val="5"/>
  </w:num>
  <w:num w:numId="6" w16cid:durableId="1657805710">
    <w:abstractNumId w:val="0"/>
  </w:num>
  <w:num w:numId="7" w16cid:durableId="708266727">
    <w:abstractNumId w:val="8"/>
  </w:num>
  <w:num w:numId="8" w16cid:durableId="1308365064">
    <w:abstractNumId w:val="6"/>
  </w:num>
  <w:num w:numId="9" w16cid:durableId="1163472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92"/>
    <w:rsid w:val="00016CE5"/>
    <w:rsid w:val="00345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B2FD2"/>
  <w15:chartTrackingRefBased/>
  <w15:docId w15:val="{9B1137D0-9C28-4BF7-B8AD-A987CCD6F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6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56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56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6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6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6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6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56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6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6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692"/>
    <w:rPr>
      <w:rFonts w:eastAsiaTheme="majorEastAsia" w:cstheme="majorBidi"/>
      <w:color w:val="272727" w:themeColor="text1" w:themeTint="D8"/>
    </w:rPr>
  </w:style>
  <w:style w:type="paragraph" w:styleId="Title">
    <w:name w:val="Title"/>
    <w:basedOn w:val="Normal"/>
    <w:next w:val="Normal"/>
    <w:link w:val="TitleChar"/>
    <w:uiPriority w:val="10"/>
    <w:qFormat/>
    <w:rsid w:val="00345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692"/>
    <w:pPr>
      <w:spacing w:before="160"/>
      <w:jc w:val="center"/>
    </w:pPr>
    <w:rPr>
      <w:i/>
      <w:iCs/>
      <w:color w:val="404040" w:themeColor="text1" w:themeTint="BF"/>
    </w:rPr>
  </w:style>
  <w:style w:type="character" w:customStyle="1" w:styleId="QuoteChar">
    <w:name w:val="Quote Char"/>
    <w:basedOn w:val="DefaultParagraphFont"/>
    <w:link w:val="Quote"/>
    <w:uiPriority w:val="29"/>
    <w:rsid w:val="00345692"/>
    <w:rPr>
      <w:i/>
      <w:iCs/>
      <w:color w:val="404040" w:themeColor="text1" w:themeTint="BF"/>
    </w:rPr>
  </w:style>
  <w:style w:type="paragraph" w:styleId="ListParagraph">
    <w:name w:val="List Paragraph"/>
    <w:basedOn w:val="Normal"/>
    <w:uiPriority w:val="34"/>
    <w:qFormat/>
    <w:rsid w:val="00345692"/>
    <w:pPr>
      <w:ind w:left="720"/>
      <w:contextualSpacing/>
    </w:pPr>
  </w:style>
  <w:style w:type="character" w:styleId="IntenseEmphasis">
    <w:name w:val="Intense Emphasis"/>
    <w:basedOn w:val="DefaultParagraphFont"/>
    <w:uiPriority w:val="21"/>
    <w:qFormat/>
    <w:rsid w:val="00345692"/>
    <w:rPr>
      <w:i/>
      <w:iCs/>
      <w:color w:val="2F5496" w:themeColor="accent1" w:themeShade="BF"/>
    </w:rPr>
  </w:style>
  <w:style w:type="paragraph" w:styleId="IntenseQuote">
    <w:name w:val="Intense Quote"/>
    <w:basedOn w:val="Normal"/>
    <w:next w:val="Normal"/>
    <w:link w:val="IntenseQuoteChar"/>
    <w:uiPriority w:val="30"/>
    <w:qFormat/>
    <w:rsid w:val="003456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692"/>
    <w:rPr>
      <w:i/>
      <w:iCs/>
      <w:color w:val="2F5496" w:themeColor="accent1" w:themeShade="BF"/>
    </w:rPr>
  </w:style>
  <w:style w:type="character" w:styleId="IntenseReference">
    <w:name w:val="Intense Reference"/>
    <w:basedOn w:val="DefaultParagraphFont"/>
    <w:uiPriority w:val="32"/>
    <w:qFormat/>
    <w:rsid w:val="003456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863</Words>
  <Characters>4921</Characters>
  <Application>Microsoft Office Word</Application>
  <DocSecurity>0</DocSecurity>
  <Lines>41</Lines>
  <Paragraphs>11</Paragraphs>
  <ScaleCrop>false</ScaleCrop>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Shaima Rana</dc:creator>
  <cp:keywords/>
  <dc:description/>
  <cp:lastModifiedBy>Shaima Rana</cp:lastModifiedBy>
  <cp:revision>1</cp:revision>
  <dcterms:created xsi:type="dcterms:W3CDTF">2026-07-07T09:51:00Z</dcterms:created>
  <dcterms:modified xsi:type="dcterms:W3CDTF">2026-07-07T10:05:00Z</dcterms:modified>
</cp:coreProperties>
</file>