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esearch-question-and-evaluation-plan"/>
      <w:r>
        <w:t xml:space="preserve">Research Question and Evaluation Plan</w:t>
      </w:r>
      <w:bookmarkEnd w:id="20"/>
    </w:p>
    <w:p>
      <w:pPr>
        <w:pStyle w:val="Heading2"/>
      </w:pPr>
      <w:bookmarkStart w:id="21" w:name="original-research-question"/>
      <w:r>
        <w:t xml:space="preserve">Original Research Question</w:t>
      </w:r>
      <w:bookmarkEnd w:id="21"/>
    </w:p>
    <w:p>
      <w:pPr>
        <w:pStyle w:val="BlockText"/>
      </w:pPr>
      <w:r>
        <w:t xml:space="preserve">How can a multimodal serving system preserve request priority across video</w:t>
      </w:r>
      <w:r>
        <w:t xml:space="preserve"> </w:t>
      </w:r>
      <w:r>
        <w:t xml:space="preserve">preparation and model inference so that urgent requests achieve lower</w:t>
      </w:r>
      <w:r>
        <w:t xml:space="preserve"> </w:t>
      </w:r>
      <w:r>
        <w:t xml:space="preserve">end-to-end latency?</w:t>
      </w:r>
    </w:p>
    <w:p>
      <w:pPr>
        <w:pStyle w:val="FirstParagraph"/>
      </w:pPr>
      <w:r>
        <w:t xml:space="preserve">This question felt too narrow because its solution was largely predetermined:</w:t>
      </w:r>
      <w:r>
        <w:t xml:space="preserve"> </w:t>
      </w:r>
      <w:r>
        <w:t xml:space="preserve">propagate request priorities across stages and schedule higher-priority</w:t>
      </w:r>
      <w:r>
        <w:t xml:space="preserve"> </w:t>
      </w:r>
      <w:r>
        <w:t xml:space="preserve">requests first. The expected result was similarly straightforward—requests</w:t>
      </w:r>
      <w:r>
        <w:t xml:space="preserve"> </w:t>
      </w:r>
      <w:r>
        <w:t xml:space="preserve">moved ahead in the queue should finish earlier.</w:t>
      </w:r>
    </w:p>
    <w:p>
      <w:pPr>
        <w:pStyle w:val="BodyText"/>
      </w:pPr>
      <w:r>
        <w:t xml:space="preserve">Consequently, the evaluation risked appearing self-confirming:</w:t>
      </w:r>
    </w:p>
    <w:p>
      <w:pPr>
        <w:pStyle w:val="BlockText"/>
      </w:pPr>
      <w:r>
        <w:t xml:space="preserve">Assign urgent requests higher priority across the pipeline, then show that</w:t>
      </w:r>
      <w:r>
        <w:t xml:space="preserve"> </w:t>
      </w:r>
      <w:r>
        <w:t xml:space="preserve">urgent requests experience lower latency.</w:t>
      </w:r>
    </w:p>
    <w:p>
      <w:pPr>
        <w:pStyle w:val="Heading2"/>
      </w:pPr>
      <w:bookmarkStart w:id="22" w:name="reframed-research-question"/>
      <w:r>
        <w:t xml:space="preserve">Reframed Research Question</w:t>
      </w:r>
      <w:bookmarkEnd w:id="22"/>
    </w:p>
    <w:p>
      <w:pPr>
        <w:pStyle w:val="BlockText"/>
      </w:pPr>
      <w:r>
        <w:t xml:space="preserve">How should a multimodal serving system fairly allocate service among</w:t>
      </w:r>
      <w:r>
        <w:t xml:space="preserve"> </w:t>
      </w:r>
      <w:r>
        <w:t xml:space="preserve">competing tenants across video preparation and inference when requests have</w:t>
      </w:r>
      <w:r>
        <w:t xml:space="preserve"> </w:t>
      </w:r>
      <w:r>
        <w:t xml:space="preserve">heterogeneous and initially unknown costs?</w:t>
      </w:r>
    </w:p>
    <w:p>
      <w:pPr>
        <w:pStyle w:val="FirstParagraph"/>
      </w:pPr>
      <w:r>
        <w:t xml:space="preserve">We should avoid writing</w:t>
      </w:r>
      <w:r>
        <w:t xml:space="preserve"> </w:t>
      </w:r>
      <w:r>
        <w:t xml:space="preserve">“</w:t>
      </w:r>
      <w:r>
        <w:t xml:space="preserve">preparation service + inference service</w:t>
      </w:r>
      <w:r>
        <w:t xml:space="preserve">”</w:t>
      </w:r>
      <w:r>
        <w:t xml:space="preserve"> </w:t>
      </w:r>
      <w:r>
        <w:t xml:space="preserve">because CPU</w:t>
      </w:r>
      <w:r>
        <w:t xml:space="preserve"> </w:t>
      </w:r>
      <w:r>
        <w:t xml:space="preserve">preparation time and GPU inference service do not have a natural common unit.</w:t>
      </w:r>
      <w:r>
        <w:t xml:space="preserve"> </w:t>
      </w:r>
      <w:r>
        <w:t xml:space="preserve">Instead, the system maintains separate fairness accounts for the two stages.</w:t>
      </w:r>
    </w:p>
    <w:p>
      <w:pPr>
        <w:pStyle w:val="Heading3"/>
      </w:pPr>
      <w:bookmarkStart w:id="23" w:name="initial-approach"/>
      <w:r>
        <w:t xml:space="preserve">Initial Approach</w:t>
      </w:r>
      <w:bookmarkEnd w:id="23"/>
    </w:p>
    <w:p>
      <w:pPr>
        <w:pStyle w:val="FirstParagraph"/>
      </w:pPr>
      <w:r>
        <w:t xml:space="preserve">Whenever capacity becomes available at either stage:</w:t>
      </w:r>
    </w:p>
    <w:p>
      <w:pPr>
        <w:pStyle w:val="Compact"/>
        <w:numPr>
          <w:numId w:val="1001"/>
          <w:ilvl w:val="0"/>
        </w:numPr>
      </w:pPr>
      <w:r>
        <w:t xml:space="preserve">Select the backlogged tenant that has received the least service at that</w:t>
      </w:r>
      <w:r>
        <w:t xml:space="preserve"> </w:t>
      </w:r>
      <w:r>
        <w:t xml:space="preserve">stage.</w:t>
      </w:r>
    </w:p>
    <w:p>
      <w:pPr>
        <w:pStyle w:val="Compact"/>
        <w:numPr>
          <w:numId w:val="1001"/>
          <w:ilvl w:val="0"/>
        </w:numPr>
      </w:pPr>
      <w:r>
        <w:t xml:space="preserve">Dispatch that tenant’s oldest eligible request.</w:t>
      </w:r>
    </w:p>
    <w:p>
      <w:pPr>
        <w:pStyle w:val="Compact"/>
        <w:numPr>
          <w:numId w:val="1001"/>
          <w:ilvl w:val="0"/>
        </w:numPr>
      </w:pPr>
      <w:r>
        <w:t xml:space="preserve">Reserve the request’s predicted cost using online profiling.</w:t>
      </w:r>
    </w:p>
    <w:p>
      <w:pPr>
        <w:pStyle w:val="Compact"/>
        <w:numPr>
          <w:numId w:val="1001"/>
          <w:ilvl w:val="0"/>
        </w:numPr>
      </w:pPr>
      <w:r>
        <w:t xml:space="preserve">Reconcile the reservation with measured service after completion.</w:t>
      </w:r>
    </w:p>
    <w:p>
      <w:pPr>
        <w:pStyle w:val="FirstParagraph"/>
      </w:pPr>
      <w:r>
        <w:t xml:space="preserve">Thus, max–min controls allocation across tenants, while FCFS preserves</w:t>
      </w:r>
      <w:r>
        <w:t xml:space="preserve"> </w:t>
      </w:r>
      <w:r>
        <w:t xml:space="preserve">request order within each tenant.</w:t>
      </w:r>
    </w:p>
    <w:p>
      <w:pPr>
        <w:pStyle w:val="Heading2"/>
      </w:pPr>
      <w:bookmarkStart w:id="24" w:name="proposed-system-full-cross-stage-maxmin"/>
      <w:r>
        <w:t xml:space="preserve">Proposed System: Full Cross-Stage Max–Min</w:t>
      </w:r>
      <w:bookmarkEnd w:id="24"/>
    </w:p>
    <w:p>
      <w:pPr>
        <w:pStyle w:val="Heading3"/>
      </w:pPr>
      <w:bookmarkStart w:id="25" w:name="video-preparation-stage"/>
      <w:r>
        <w:t xml:space="preserve">Video-Preparation Stage</w:t>
      </w:r>
      <w:bookmarkEnd w:id="25"/>
    </w:p>
    <w:p>
      <w:pPr>
        <w:pStyle w:val="Compact"/>
        <w:numPr>
          <w:numId w:val="1002"/>
          <w:ilvl w:val="0"/>
        </w:numPr>
      </w:pPr>
      <w:r>
        <w:t xml:space="preserve">Maintain accumulated preparation service for every tenant.</w:t>
      </w:r>
    </w:p>
    <w:p>
      <w:pPr>
        <w:pStyle w:val="Compact"/>
        <w:numPr>
          <w:numId w:val="1002"/>
          <w:ilvl w:val="0"/>
        </w:numPr>
      </w:pPr>
      <w:r>
        <w:t xml:space="preserve">Select the least-served backlogged tenant.</w:t>
      </w:r>
    </w:p>
    <w:p>
      <w:pPr>
        <w:pStyle w:val="Compact"/>
        <w:numPr>
          <w:numId w:val="1002"/>
          <w:ilvl w:val="0"/>
        </w:numPr>
      </w:pPr>
      <w:r>
        <w:t xml:space="preserve">Run that tenant’s oldest eligible request.</w:t>
      </w:r>
    </w:p>
    <w:p>
      <w:pPr>
        <w:pStyle w:val="Compact"/>
        <w:numPr>
          <w:numId w:val="1002"/>
          <w:ilvl w:val="0"/>
        </w:numPr>
      </w:pPr>
      <w:r>
        <w:t xml:space="preserve">Reserve its predicted cost at dispatch using the online profiler.</w:t>
      </w:r>
    </w:p>
    <w:p>
      <w:pPr>
        <w:pStyle w:val="Compact"/>
        <w:numPr>
          <w:numId w:val="1002"/>
          <w:ilvl w:val="0"/>
        </w:numPr>
      </w:pPr>
      <w:r>
        <w:t xml:space="preserve">Reconcile the reservation with measured preparation service after</w:t>
      </w:r>
      <w:r>
        <w:t xml:space="preserve"> </w:t>
      </w:r>
      <w:r>
        <w:t xml:space="preserve">completion.</w:t>
      </w:r>
    </w:p>
    <w:p>
      <w:pPr>
        <w:pStyle w:val="FirstParagraph"/>
      </w:pPr>
      <w:r>
        <w:t xml:space="preserve">Preparation service includes video access, metadata parsing, frame fetching,</w:t>
      </w:r>
      <w:r>
        <w:t xml:space="preserve"> </w:t>
      </w:r>
      <w:r>
        <w:t xml:space="preserve">video decoding, frame sampling and conversion, and image preprocessing and</w:t>
      </w:r>
      <w:r>
        <w:t xml:space="preserve"> </w:t>
      </w:r>
      <w:r>
        <w:t xml:space="preserve">encoding.</w:t>
      </w:r>
    </w:p>
    <w:p>
      <w:pPr>
        <w:pStyle w:val="Heading3"/>
      </w:pPr>
      <w:bookmarkStart w:id="26" w:name="inference-admission-stage"/>
      <w:r>
        <w:t xml:space="preserve">Inference-Admission Stage</w:t>
      </w:r>
      <w:bookmarkEnd w:id="26"/>
    </w:p>
    <w:p>
      <w:pPr>
        <w:pStyle w:val="Compact"/>
        <w:numPr>
          <w:numId w:val="1003"/>
          <w:ilvl w:val="0"/>
        </w:numPr>
      </w:pPr>
      <w:r>
        <w:t xml:space="preserve">Maintain a separate inference-service counter for every tenant.</w:t>
      </w:r>
    </w:p>
    <w:p>
      <w:pPr>
        <w:pStyle w:val="Compact"/>
        <w:numPr>
          <w:numId w:val="1003"/>
          <w:ilvl w:val="0"/>
        </w:numPr>
      </w:pPr>
      <w:r>
        <w:t xml:space="preserve">Select the least-served tenant with a model-ready request.</w:t>
      </w:r>
    </w:p>
    <w:p>
      <w:pPr>
        <w:pStyle w:val="Compact"/>
        <w:numPr>
          <w:numId w:val="1003"/>
          <w:ilvl w:val="0"/>
        </w:numPr>
      </w:pPr>
      <w:r>
        <w:t xml:space="preserve">Admit that tenant’s oldest ready request into vLLM.</w:t>
      </w:r>
    </w:p>
    <w:p>
      <w:pPr>
        <w:pStyle w:val="Compact"/>
        <w:numPr>
          <w:numId w:val="1003"/>
          <w:ilvl w:val="0"/>
        </w:numPr>
      </w:pPr>
      <w:r>
        <w:t xml:space="preserve">Reserve its predicted inference cost at admission.</w:t>
      </w:r>
    </w:p>
    <w:p>
      <w:pPr>
        <w:pStyle w:val="Compact"/>
        <w:numPr>
          <w:numId w:val="1003"/>
          <w:ilvl w:val="0"/>
        </w:numPr>
      </w:pPr>
      <w:r>
        <w:t xml:space="preserve">Reconcile the reservation with observed inference service after completion.</w:t>
      </w:r>
    </w:p>
    <w:p>
      <w:pPr>
        <w:pStyle w:val="FirstParagraph"/>
      </w:pPr>
      <w:r>
        <w:t xml:space="preserve">Once a request is admitted, native vLLM controls prefill, continuous batching,</w:t>
      </w:r>
      <w:r>
        <w:t xml:space="preserve"> </w:t>
      </w:r>
      <w:r>
        <w:t xml:space="preserve">token decoding, and GPU memory. The proposed mechanism therefore provides</w:t>
      </w:r>
      <w:r>
        <w:t xml:space="preserve"> </w:t>
      </w:r>
      <w:r>
        <w:t xml:space="preserve">fairness at the inference-admission boundary; it is not token-level scheduling</w:t>
      </w:r>
      <w:r>
        <w:t xml:space="preserve"> </w:t>
      </w:r>
      <w:r>
        <w:t xml:space="preserve">inside vLLM.</w:t>
      </w:r>
    </w:p>
    <w:p>
      <w:pPr>
        <w:pStyle w:val="Heading3"/>
      </w:pPr>
      <w:bookmarkStart w:id="27" w:name="separate-per-tenant-service-counters"/>
      <w:r>
        <w:t xml:space="preserve">Separate Per-Tenant Service Counters</w:t>
      </w:r>
      <w:bookmarkEnd w:id="27"/>
    </w:p>
    <w:p>
      <w:pPr>
        <w:pStyle w:val="FirstParagraph"/>
      </w:pPr>
      <w:r>
        <w:t xml:space="preserve">For tenant</w:t>
      </w:r>
      <w:r>
        <w:t xml:space="preserve"> </w:t>
      </w:r>
      <m:oMath>
        <m:r>
          <m:t>i</m:t>
        </m:r>
      </m:oMath>
      <w:r>
        <w:t xml:space="preserve">, maintain:</w:t>
      </w:r>
    </w:p>
    <w:p>
      <w:pPr>
        <w:pStyle w:val="Compact"/>
        <w:numPr>
          <w:numId w:val="1004"/>
          <w:ilvl w:val="0"/>
        </w:numPr>
      </w:pPr>
      <m:oMath>
        <m:sSubSup>
          <m:e>
            <m:r>
              <m:t>S</m:t>
            </m:r>
          </m:e>
          <m:sub>
            <m:r>
              <m:t>i</m:t>
            </m:r>
          </m:sub>
          <m:sup>
            <m:r>
              <m:t>P</m:t>
            </m:r>
          </m:sup>
        </m:sSubSup>
      </m:oMath>
      <w:r>
        <w:t xml:space="preserve">: video-preparation service, measured from preparation work such as</w:t>
      </w:r>
      <w:r>
        <w:t xml:space="preserve"> </w:t>
      </w:r>
      <w:r>
        <w:t xml:space="preserve">fetching, decoding, sampling, and preprocessing;</w:t>
      </w:r>
    </w:p>
    <w:p>
      <w:pPr>
        <w:pStyle w:val="Compact"/>
        <w:numPr>
          <w:numId w:val="1004"/>
          <w:ilvl w:val="0"/>
        </w:numPr>
      </w:pPr>
      <m:oMath>
        <m:sSubSup>
          <m:e>
            <m:r>
              <m:t>S</m:t>
            </m:r>
          </m:e>
          <m:sub>
            <m:r>
              <m:t>i</m:t>
            </m:r>
          </m:sub>
          <m:sup>
            <m:r>
              <m:t>I</m:t>
            </m:r>
          </m:sup>
        </m:sSubSup>
      </m:oMath>
      <w:r>
        <w:t xml:space="preserve">: inference service consumed after model admission.</w:t>
      </w:r>
    </w:p>
    <w:p>
      <w:pPr>
        <w:pStyle w:val="FirstParagraph"/>
      </w:pPr>
      <w:r>
        <w:t xml:space="preserve">The counters remain separate because CPU preparation time and GPU inference</w:t>
      </w:r>
      <w:r>
        <w:t xml:space="preserve"> </w:t>
      </w:r>
      <w:r>
        <w:t xml:space="preserve">service have no natural common unit. At either stage, the scheduler selects: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*</m:t>
              </m:r>
            </m:sup>
          </m:sSup>
          <m:r>
            <m:t>=</m:t>
          </m:r>
          <m:r>
            <m:rPr>
              <m:nor/>
              <m:sty m:val="p"/>
            </m:rPr>
            <m:t>arg</m:t>
          </m:r>
          <m:limLow>
            <m:e>
              <m:r>
                <m:rPr>
                  <m:nor/>
                  <m:sty m:val="p"/>
                </m:rPr>
                <m:t>min</m:t>
              </m:r>
            </m:e>
            <m:lim>
              <m:r>
                <m:t>i</m:t>
              </m:r>
              <m:r>
                <m:t>: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  <m:r>
                <m:t>≠</m:t>
              </m:r>
              <m:r>
                <m:t>∅</m:t>
              </m:r>
            </m:lim>
          </m:limLow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t>.</m:t>
          </m:r>
        </m:oMath>
      </m:oMathPara>
    </w:p>
    <w:p>
      <w:pPr>
        <w:pStyle w:val="FirstParagraph"/>
      </w:pPr>
      <w:r>
        <w:t xml:space="preserve">In words, select the backlogged tenant that has received the least service at</w:t>
      </w:r>
      <w:r>
        <w:t xml:space="preserve"> </w:t>
      </w:r>
      <w:r>
        <w:t xml:space="preserve">the current stage.</w:t>
      </w:r>
    </w:p>
    <w:p>
      <w:pPr>
        <w:pStyle w:val="Heading3"/>
      </w:pPr>
      <w:bookmarkStart w:id="28" w:name="in-flight-service-accounting"/>
      <w:r>
        <w:t xml:space="preserve">In-Flight Service Accounting</w:t>
      </w:r>
      <w:bookmarkEnd w:id="28"/>
    </w:p>
    <w:p>
      <w:pPr>
        <w:pStyle w:val="FirstParagraph"/>
      </w:pPr>
      <w:r>
        <w:t xml:space="preserve">In-flight accounting counts a request’s expected service as soon as it starts</w:t>
      </w:r>
      <w:r>
        <w:t xml:space="preserve"> </w:t>
      </w:r>
      <w:r>
        <w:t xml:space="preserve">instead of waiting for it to finish. It is necessary because the system can</w:t>
      </w:r>
      <w:r>
        <w:t xml:space="preserve"> </w:t>
      </w:r>
      <w:r>
        <w:t xml:space="preserve">run multiple requests concurrently. Without it, a running request is absent</w:t>
      </w:r>
      <w:r>
        <w:t xml:space="preserve"> </w:t>
      </w:r>
      <w:r>
        <w:t xml:space="preserve">from its tenant’s service counter, so that tenant can continue to appear least</w:t>
      </w:r>
      <w:r>
        <w:t xml:space="preserve"> </w:t>
      </w:r>
      <w:r>
        <w:t xml:space="preserve">served and receive several concurrent workers or inference slots.</w:t>
      </w:r>
    </w:p>
    <w:p>
      <w:pPr>
        <w:pStyle w:val="BodyText"/>
      </w:pPr>
      <w:r>
        <w:t xml:space="preserve">At dispatch, reserve predicted cost</w:t>
      </w:r>
      <w:r>
        <w:t xml:space="preserve"> </w:t>
      </w:r>
      <m:oMath>
        <m:acc>
          <m:accPr>
            <m:chr m:val="̂"/>
          </m:accPr>
          <m:e>
            <m:r>
              <m:t>c</m:t>
            </m:r>
          </m:e>
        </m:acc>
        <m:r>
          <m:t>(</m:t>
        </m:r>
        <m:r>
          <m:t>r</m:t>
        </m:r>
        <m: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t>←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t>+</m:t>
          </m:r>
          <m:acc>
            <m:accPr>
              <m:chr m:val="̂"/>
            </m:accPr>
            <m:e>
              <m:r>
                <m:t>c</m:t>
              </m:r>
            </m:e>
          </m:acc>
          <m:r>
            <m:t>(</m:t>
          </m:r>
          <m:r>
            <m:t>r</m:t>
          </m:r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At completion, reconcile the reservation with measured cost</w:t>
      </w:r>
      <w:r>
        <w:t xml:space="preserve"> </w:t>
      </w:r>
      <m:oMath>
        <m:r>
          <m:t>c</m:t>
        </m:r>
        <m:r>
          <m:t>(</m:t>
        </m:r>
        <m:r>
          <m:t>r</m:t>
        </m:r>
        <m: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t>←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t>+</m:t>
          </m:r>
          <m:r>
            <m:t>c</m:t>
          </m:r>
          <m:r>
            <m:t>(</m:t>
          </m:r>
          <m:r>
            <m:t>r</m:t>
          </m:r>
          <m:r>
            <m:t>)</m:t>
          </m:r>
          <m:r>
            <m:t>−</m:t>
          </m:r>
          <m:acc>
            <m:accPr>
              <m:chr m:val="̂"/>
            </m:accPr>
            <m:e>
              <m:r>
                <m:t>c</m:t>
              </m:r>
            </m:e>
          </m:acc>
          <m:r>
            <m:t>(</m:t>
          </m:r>
          <m:r>
            <m:t>r</m:t>
          </m:r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The correct statement is:</w:t>
      </w:r>
    </w:p>
    <w:p>
      <w:pPr>
        <w:pStyle w:val="BlockText"/>
      </w:pPr>
      <w:r>
        <w:t xml:space="preserve">Without in-flight accounting, a tenant can occupy multiple concurrent</w:t>
      </w:r>
      <w:r>
        <w:t xml:space="preserve"> </w:t>
      </w:r>
      <w:r>
        <w:t xml:space="preserve">workers before its running work is reflected in the fairness counters.</w:t>
      </w:r>
    </w:p>
    <w:p>
      <w:pPr>
        <w:pStyle w:val="Heading2"/>
      </w:pPr>
      <w:bookmarkStart w:id="29" w:name="motivation-under-contention"/>
      <w:r>
        <w:t xml:space="preserve">Motivation Under Contention</w:t>
      </w:r>
      <w:bookmarkEnd w:id="29"/>
    </w:p>
    <w:p>
      <w:pPr>
        <w:pStyle w:val="BlockText"/>
      </w:pPr>
      <w:r>
        <w:t xml:space="preserve">If every individual stage is accelerated, can queuing under contention still</w:t>
      </w:r>
      <w:r>
        <w:t xml:space="preserve"> </w:t>
      </w:r>
      <w:r>
        <w:t xml:space="preserve">dominate end-to-end latency?</w:t>
      </w:r>
    </w:p>
    <w:p>
      <w:pPr>
        <w:pStyle w:val="FirstParagraph"/>
      </w:pPr>
      <w:r>
        <w:t xml:space="preserve">Yes. Even if every stage becomes faster, requests will still queue when the</w:t>
      </w:r>
      <w:r>
        <w:t xml:space="preserve"> </w:t>
      </w:r>
      <w:r>
        <w:t xml:space="preserve">arrival rate exceeds the capacity of video preparation or inference. Under</w:t>
      </w:r>
      <w:r>
        <w:t xml:space="preserve"> </w:t>
      </w:r>
      <w:r>
        <w:t xml:space="preserve">these conditions, end-to-end latency depends not only on stage efficiency but</w:t>
      </w:r>
      <w:r>
        <w:t xml:space="preserve"> </w:t>
      </w:r>
      <w:r>
        <w:t xml:space="preserve">also on which tenant receives service next.</w:t>
      </w:r>
    </w:p>
    <w:p>
      <w:pPr>
        <w:pStyle w:val="BodyText"/>
      </w:pPr>
      <w:r>
        <w:t xml:space="preserve">An aggressive tenant can fill the queues and delay other tenants even when the</w:t>
      </w:r>
      <w:r>
        <w:t xml:space="preserve"> </w:t>
      </w:r>
      <w:r>
        <w:t xml:space="preserve">individual preparation and inference operations are highly optimized.</w:t>
      </w:r>
      <w:r>
        <w:t xml:space="preserve"> </w:t>
      </w:r>
      <w:r>
        <w:t xml:space="preserve">Therefore, stage-level acceleration does not eliminate the need for</w:t>
      </w:r>
      <w:r>
        <w:t xml:space="preserve"> </w:t>
      </w:r>
      <w:r>
        <w:t xml:space="preserve">inter-tenant scheduling and performance isolation.</w:t>
      </w:r>
    </w:p>
    <w:p>
      <w:pPr>
        <w:pStyle w:val="Heading2"/>
      </w:pPr>
      <w:bookmarkStart w:id="30" w:name="comparison-policies"/>
      <w:r>
        <w:t xml:space="preserve">Comparison Policies</w:t>
      </w:r>
      <w:bookmarkEnd w:id="30"/>
    </w:p>
    <w:p>
      <w:pPr>
        <w:pStyle w:val="Heading3"/>
      </w:pPr>
      <w:bookmarkStart w:id="31" w:name="direct-baselines-and-ablations"/>
      <w:r>
        <w:t xml:space="preserve">Direct Baselines and Ablations</w:t>
      </w:r>
      <w:bookmarkEnd w:id="31"/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Native vLLM/FCFS:</w:t>
      </w:r>
      <w:r>
        <w:t xml:space="preserve"> </w:t>
      </w:r>
      <w:r>
        <w:t xml:space="preserve">Handles requests approximately in arrival order and</w:t>
      </w:r>
      <w:r>
        <w:t xml:space="preserve"> </w:t>
      </w:r>
      <w:r>
        <w:t xml:space="preserve">performs no tenant-aware service accounting.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Tenant round-robin:</w:t>
      </w:r>
      <w:r>
        <w:t xml:space="preserve"> </w:t>
      </w:r>
      <w:r>
        <w:t xml:space="preserve">Gives each backlogged tenant a request turn but</w:t>
      </w:r>
      <w:r>
        <w:t xml:space="preserve"> </w:t>
      </w:r>
      <w:r>
        <w:t xml:space="preserve">ignores heterogeneous request costs. Equal request counts do not imply</w:t>
      </w:r>
      <w:r>
        <w:t xml:space="preserve"> </w:t>
      </w:r>
      <w:r>
        <w:t xml:space="preserve">equal service.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VTC:</w:t>
      </w:r>
      <w:r>
        <w:t xml:space="preserve"> </w:t>
      </w:r>
      <w:r>
        <w:t xml:space="preserve">Accounts for each tenant’s consumed inference service using</w:t>
      </w:r>
      <w:r>
        <w:t xml:space="preserve"> </w:t>
      </w:r>
      <w:r>
        <w:t xml:space="preserve">weighted input and output tokens. It improves fairness inside LLM inference</w:t>
      </w:r>
      <w:r>
        <w:t xml:space="preserve"> </w:t>
      </w:r>
      <w:r>
        <w:t xml:space="preserve">but does not account for video fetching, decoding, or preprocessing.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Preparation-only max–min:</w:t>
      </w:r>
      <w:r>
        <w:t xml:space="preserve"> </w:t>
      </w:r>
      <w:r>
        <w:t xml:space="preserve">Applies tenant fairness during video</w:t>
      </w:r>
      <w:r>
        <w:t xml:space="preserve"> </w:t>
      </w:r>
      <w:r>
        <w:t xml:space="preserve">preparation while leaving inference admission native.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Inference-only max–min:</w:t>
      </w:r>
      <w:r>
        <w:t xml:space="preserve"> </w:t>
      </w:r>
      <w:r>
        <w:t xml:space="preserve">Leaves preparation in FCFS order while fairly</w:t>
      </w:r>
      <w:r>
        <w:t xml:space="preserve"> </w:t>
      </w:r>
      <w:r>
        <w:t xml:space="preserve">controlling inference admission.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Full cross-stage max–min:</w:t>
      </w:r>
      <w:r>
        <w:t xml:space="preserve"> </w:t>
      </w:r>
      <w:r>
        <w:t xml:space="preserve">Applies separate max–min accounting at both</w:t>
      </w:r>
      <w:r>
        <w:t xml:space="preserve"> </w:t>
      </w:r>
      <w:r>
        <w:t xml:space="preserve">preparation and inference admission. This is the proposed system, not a</w:t>
      </w:r>
      <w:r>
        <w:t xml:space="preserve"> </w:t>
      </w:r>
      <w:r>
        <w:t xml:space="preserve">baseline.</w:t>
      </w:r>
    </w:p>
    <w:p>
      <w:pPr>
        <w:pStyle w:val="Heading3"/>
      </w:pPr>
      <w:bookmarkStart w:id="32" w:name="secondary-efficiency-comparisons"/>
      <w:r>
        <w:t xml:space="preserve">Secondary Efficiency Comparisons</w:t>
      </w:r>
      <w:bookmarkEnd w:id="32"/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SJF:</w:t>
      </w:r>
      <w:r>
        <w:t xml:space="preserve"> </w:t>
      </w:r>
      <w:r>
        <w:t xml:space="preserve">Selects the request with the smallest predicted cost. It can improve</w:t>
      </w:r>
      <w:r>
        <w:t xml:space="preserve"> </w:t>
      </w:r>
      <w:r>
        <w:t xml:space="preserve">mean latency but may starve expensive requests and provides no tenant</w:t>
      </w:r>
      <w:r>
        <w:t xml:space="preserve"> </w:t>
      </w:r>
      <w:r>
        <w:t xml:space="preserve">fairness guarantee.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Autellix/PLAS:</w:t>
      </w:r>
      <w:r>
        <w:t xml:space="preserve"> </w:t>
      </w:r>
      <w:r>
        <w:t xml:space="preserve">Tracks attained LLM service for an entire agent program and</w:t>
      </w:r>
      <w:r>
        <w:t xml:space="preserve"> </w:t>
      </w:r>
      <w:r>
        <w:t xml:space="preserve">favors programs with less accumulated service to improve program completion</w:t>
      </w:r>
      <w:r>
        <w:t xml:space="preserve"> </w:t>
      </w:r>
      <w:r>
        <w:t xml:space="preserve">time.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Kairos:</w:t>
      </w:r>
      <w:r>
        <w:t xml:space="preserve"> </w:t>
      </w:r>
      <w:r>
        <w:t xml:space="preserve">Uses workflow dependencies and priorities to reduce multi-agent</w:t>
      </w:r>
      <w:r>
        <w:t xml:space="preserve"> </w:t>
      </w:r>
      <w:r>
        <w:t xml:space="preserve">workflow latency.</w:t>
      </w:r>
    </w:p>
    <w:p>
      <w:pPr>
        <w:pStyle w:val="FirstParagraph"/>
      </w:pPr>
      <w:r>
        <w:t xml:space="preserve">Autellix and Kairos are not direct tenant-fairness baselines because they</w:t>
      </w:r>
      <w:r>
        <w:t xml:space="preserve"> </w:t>
      </w:r>
      <w:r>
        <w:t xml:space="preserve">optimize program or workflow completion rather than max–min tenant isolation.</w:t>
      </w:r>
      <w:r>
        <w:t xml:space="preserve"> </w:t>
      </w:r>
      <w:r>
        <w:t xml:space="preserve">Although Autellix and the proposed system both use attained-service</w:t>
      </w:r>
      <w:r>
        <w:t xml:space="preserve"> </w:t>
      </w:r>
      <w:r>
        <w:t xml:space="preserve">accounting, they use it at different abstraction levels and for different</w:t>
      </w:r>
      <w:r>
        <w:t xml:space="preserve"> </w:t>
      </w:r>
      <w:r>
        <w:t xml:space="preserve">objectives:</w:t>
      </w:r>
    </w:p>
    <w:p>
      <w:pPr>
        <w:pStyle w:val="Compact"/>
        <w:numPr>
          <w:numId w:val="1007"/>
          <w:ilvl w:val="0"/>
        </w:numPr>
      </w:pPr>
      <w:r>
        <w:t xml:space="preserve">Autellix asks:</w:t>
      </w:r>
      <w:r>
        <w:t xml:space="preserve"> </w:t>
      </w:r>
      <w:r>
        <w:rPr>
          <w:i/>
        </w:rPr>
        <w:t xml:space="preserve">Which agent program should run next to improve program</w:t>
      </w:r>
      <w:r>
        <w:rPr>
          <w:i/>
        </w:rPr>
        <w:t xml:space="preserve"> </w:t>
      </w:r>
      <w:r>
        <w:rPr>
          <w:i/>
        </w:rPr>
        <w:t xml:space="preserve">completion time?</w:t>
      </w:r>
    </w:p>
    <w:p>
      <w:pPr>
        <w:pStyle w:val="Compact"/>
        <w:numPr>
          <w:numId w:val="1007"/>
          <w:ilvl w:val="0"/>
        </w:numPr>
      </w:pPr>
      <w:r>
        <w:t xml:space="preserve">The proposed system asks:</w:t>
      </w:r>
      <w:r>
        <w:t xml:space="preserve"> </w:t>
      </w:r>
      <w:r>
        <w:rPr>
          <w:i/>
        </w:rPr>
        <w:t xml:space="preserve">Which backlogged tenant has received the least</w:t>
      </w:r>
      <w:r>
        <w:rPr>
          <w:i/>
        </w:rPr>
        <w:t xml:space="preserve"> </w:t>
      </w:r>
      <w:r>
        <w:rPr>
          <w:i/>
        </w:rPr>
        <w:t xml:space="preserve">service at this stage?</w:t>
      </w:r>
    </w:p>
    <w:p>
      <w:pPr>
        <w:pStyle w:val="Heading2"/>
      </w:pPr>
      <w:bookmarkStart w:id="33" w:name="project-meeting-guidance"/>
      <w:r>
        <w:t xml:space="preserve">Project-Meeting Guidance</w:t>
      </w:r>
      <w:bookmarkEnd w:id="33"/>
    </w:p>
    <w:p>
      <w:pPr>
        <w:pStyle w:val="FirstParagraph"/>
      </w:pPr>
      <w:r>
        <w:t xml:space="preserve">The evaluation must answer three questions.</w:t>
      </w:r>
    </w:p>
    <w:p>
      <w:pPr>
        <w:pStyle w:val="Heading3"/>
      </w:pPr>
      <w:bookmarkStart w:id="34" w:name="improvement"/>
      <w:r>
        <w:t xml:space="preserve">Improvement</w:t>
      </w:r>
      <w:bookmarkEnd w:id="34"/>
    </w:p>
    <w:p>
      <w:pPr>
        <w:pStyle w:val="FirstParagraph"/>
      </w:pPr>
      <w:r>
        <w:t xml:space="preserve">How much does cross-stage max–min improve fairness?</w:t>
      </w:r>
    </w:p>
    <w:p>
      <w:pPr>
        <w:pStyle w:val="BodyText"/>
      </w:pPr>
      <w:r>
        <w:t xml:space="preserve">Measure:</w:t>
      </w:r>
    </w:p>
    <w:p>
      <w:pPr>
        <w:pStyle w:val="Compact"/>
        <w:numPr>
          <w:numId w:val="1008"/>
          <w:ilvl w:val="0"/>
        </w:numPr>
      </w:pPr>
      <w:r>
        <w:t xml:space="preserve">preparation-service disparity;</w:t>
      </w:r>
    </w:p>
    <w:p>
      <w:pPr>
        <w:pStyle w:val="Compact"/>
        <w:numPr>
          <w:numId w:val="1008"/>
          <w:ilvl w:val="0"/>
        </w:numPr>
      </w:pPr>
      <w:r>
        <w:t xml:space="preserve">inference-service disparity;</w:t>
      </w:r>
    </w:p>
    <w:p>
      <w:pPr>
        <w:pStyle w:val="Compact"/>
        <w:numPr>
          <w:numId w:val="1008"/>
          <w:ilvl w:val="0"/>
        </w:numPr>
      </w:pPr>
      <w:r>
        <w:t xml:space="preserve">victim slowdown;</w:t>
      </w:r>
    </w:p>
    <w:p>
      <w:pPr>
        <w:pStyle w:val="Compact"/>
        <w:numPr>
          <w:numId w:val="1008"/>
          <w:ilvl w:val="0"/>
        </w:numPr>
      </w:pPr>
      <w:r>
        <w:t xml:space="preserve">worst-tenant P95 TTFT;</w:t>
      </w:r>
    </w:p>
    <w:p>
      <w:pPr>
        <w:pStyle w:val="Compact"/>
        <w:numPr>
          <w:numId w:val="1008"/>
          <w:ilvl w:val="0"/>
        </w:numPr>
      </w:pPr>
      <w:r>
        <w:t xml:space="preserve">worst-tenant end-to-end latency.</w:t>
      </w:r>
    </w:p>
    <w:p>
      <w:pPr>
        <w:pStyle w:val="FirstParagraph"/>
      </w:pPr>
      <w:r>
        <w:t xml:space="preserve">Service disparity is the difference between the most- and least-served</w:t>
      </w:r>
      <w:r>
        <w:t xml:space="preserve"> </w:t>
      </w:r>
      <w:r>
        <w:t xml:space="preserve">continuously backlogged tenants at a stage; lower is fairer. Victim slowdown</w:t>
      </w:r>
      <w:r>
        <w:t xml:space="preserve"> </w:t>
      </w:r>
      <w:r>
        <w:t xml:space="preserve">is defined relative to the victim running without an aggressor: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victim slowdown</m:t>
          </m:r>
          <m: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victim P95 latency with aggressor</m:t>
              </m:r>
            </m:num>
            <m:den>
              <m:r>
                <m:rPr>
                  <m:nor/>
                  <m:sty m:val="p"/>
                </m:rPr>
                <m:t>victim P95 latency when run alone</m:t>
              </m:r>
            </m:den>
          </m:f>
          <m:r>
            <m:t>.</m:t>
          </m:r>
        </m:oMath>
      </m:oMathPara>
    </w:p>
    <w:p>
      <w:pPr>
        <w:pStyle w:val="FirstParagraph"/>
      </w:pPr>
      <w:r>
        <w:t xml:space="preserve">Cross-stage max–min should reduce victim slowdown relative to FCFS and</w:t>
      </w:r>
      <w:r>
        <w:t xml:space="preserve"> </w:t>
      </w:r>
      <w:r>
        <w:t xml:space="preserve">single-stage fairness because it constrains the aggressor at both preparation</w:t>
      </w:r>
      <w:r>
        <w:t xml:space="preserve"> </w:t>
      </w:r>
      <w:r>
        <w:t xml:space="preserve">and inference admission.</w:t>
      </w:r>
    </w:p>
    <w:p>
      <w:pPr>
        <w:pStyle w:val="Heading3"/>
      </w:pPr>
      <w:bookmarkStart w:id="35" w:name="cost"/>
      <w:r>
        <w:t xml:space="preserve">Cost</w:t>
      </w:r>
      <w:bookmarkEnd w:id="35"/>
    </w:p>
    <w:p>
      <w:pPr>
        <w:pStyle w:val="FirstParagraph"/>
      </w:pPr>
      <w:r>
        <w:t xml:space="preserve">What does the fairness improvement cost?</w:t>
      </w:r>
    </w:p>
    <w:p>
      <w:pPr>
        <w:pStyle w:val="BodyText"/>
      </w:pPr>
      <w:r>
        <w:t xml:space="preserve">Measure:</w:t>
      </w:r>
    </w:p>
    <w:p>
      <w:pPr>
        <w:pStyle w:val="Compact"/>
        <w:numPr>
          <w:numId w:val="1009"/>
          <w:ilvl w:val="0"/>
        </w:numPr>
      </w:pPr>
      <w:r>
        <w:t xml:space="preserve">aggregate throughput;</w:t>
      </w:r>
    </w:p>
    <w:p>
      <w:pPr>
        <w:pStyle w:val="Compact"/>
        <w:numPr>
          <w:numId w:val="1009"/>
          <w:ilvl w:val="0"/>
        </w:numPr>
      </w:pPr>
      <w:r>
        <w:t xml:space="preserve">overall mean and P95 latency;</w:t>
      </w:r>
    </w:p>
    <w:p>
      <w:pPr>
        <w:pStyle w:val="Compact"/>
        <w:numPr>
          <w:numId w:val="1009"/>
          <w:ilvl w:val="0"/>
        </w:numPr>
      </w:pPr>
      <w:r>
        <w:t xml:space="preserve">CPU and GPU utilization;</w:t>
      </w:r>
    </w:p>
    <w:p>
      <w:pPr>
        <w:pStyle w:val="Compact"/>
        <w:numPr>
          <w:numId w:val="1009"/>
          <w:ilvl w:val="0"/>
        </w:numPr>
      </w:pPr>
      <w:r>
        <w:t xml:space="preserve">scheduler and profiler overhead;</w:t>
      </w:r>
    </w:p>
    <w:p>
      <w:pPr>
        <w:pStyle w:val="Compact"/>
        <w:numPr>
          <w:numId w:val="1009"/>
          <w:ilvl w:val="0"/>
        </w:numPr>
      </w:pPr>
      <w:r>
        <w:t xml:space="preserve">cost-prediction error.</w:t>
      </w:r>
    </w:p>
    <w:p>
      <w:pPr>
        <w:pStyle w:val="Heading3"/>
      </w:pPr>
      <w:bookmarkStart w:id="36" w:name="workloads"/>
      <w:r>
        <w:t xml:space="preserve">Workloads</w:t>
      </w:r>
      <w:bookmarkEnd w:id="36"/>
    </w:p>
    <w:p>
      <w:pPr>
        <w:pStyle w:val="FirstParagraph"/>
      </w:pPr>
      <w:r>
        <w:t xml:space="preserve">Under which conditions is the system useful?</w:t>
      </w:r>
    </w:p>
    <w:p>
      <w:pPr>
        <w:pStyle w:val="BodyText"/>
      </w:pPr>
      <w:r>
        <w:t xml:space="preserve">Evaluate:</w:t>
      </w:r>
    </w:p>
    <w:p>
      <w:pPr>
        <w:pStyle w:val="Compact"/>
        <w:numPr>
          <w:numId w:val="1010"/>
          <w:ilvl w:val="0"/>
        </w:numPr>
      </w:pPr>
      <w:r>
        <w:t xml:space="preserve">low load versus overload;</w:t>
      </w:r>
    </w:p>
    <w:p>
      <w:pPr>
        <w:pStyle w:val="Compact"/>
        <w:numPr>
          <w:numId w:val="1010"/>
          <w:ilvl w:val="0"/>
        </w:numPr>
      </w:pPr>
      <w:r>
        <w:t xml:space="preserve">homogeneous versus heterogeneous request costs;</w:t>
      </w:r>
    </w:p>
    <w:p>
      <w:pPr>
        <w:pStyle w:val="Compact"/>
        <w:numPr>
          <w:numId w:val="1010"/>
          <w:ilvl w:val="0"/>
        </w:numPr>
      </w:pPr>
      <w:r>
        <w:t xml:space="preserve">balanced versus aggressive tenant arrival rates;</w:t>
      </w:r>
    </w:p>
    <w:p>
      <w:pPr>
        <w:pStyle w:val="Compact"/>
        <w:numPr>
          <w:numId w:val="1010"/>
          <w:ilvl w:val="0"/>
        </w:numPr>
      </w:pPr>
      <w:r>
        <w:t xml:space="preserve">preparation-heavy, inference-heavy, and mixed contention;</w:t>
      </w:r>
    </w:p>
    <w:p>
      <w:pPr>
        <w:pStyle w:val="Compact"/>
        <w:numPr>
          <w:numId w:val="1010"/>
          <w:ilvl w:val="0"/>
        </w:numPr>
      </w:pPr>
      <w:r>
        <w:t xml:space="preserve">different levels of preparation and inference concurrency.</w:t>
      </w:r>
    </w:p>
    <w:p>
      <w:pPr>
        <w:pStyle w:val="FirstParagraph"/>
      </w:pPr>
      <w:r>
        <w:t xml:space="preserve">The expected benefit is largest under overload with aggressive tenants and</w:t>
      </w:r>
      <w:r>
        <w:t xml:space="preserve"> </w:t>
      </w:r>
      <w:r>
        <w:t xml:space="preserve">heterogeneous request costs. Limited improvement is expected under low load,</w:t>
      </w:r>
      <w:r>
        <w:t xml:space="preserve"> </w:t>
      </w:r>
      <w:r>
        <w:t xml:space="preserve">homogeneous requests, or a single active tenant.</w:t>
      </w:r>
    </w:p>
    <w:p>
      <w:pPr>
        <w:pStyle w:val="Heading2"/>
      </w:pPr>
      <w:bookmarkStart w:id="37" w:name="evaluation-plan"/>
      <w:r>
        <w:t xml:space="preserve">Evaluation Plan</w:t>
      </w:r>
      <w:bookmarkEnd w:id="37"/>
    </w:p>
    <w:p>
      <w:pPr>
        <w:pStyle w:val="FirstParagraph"/>
      </w:pPr>
      <w:r>
        <w:t xml:space="preserve">Present the evaluation as the following ordered sequence of figure mockups.</w:t>
      </w:r>
    </w:p>
    <w:p>
      <w:pPr>
        <w:pStyle w:val="Heading3"/>
      </w:pPr>
      <w:bookmarkStart w:id="38" w:name="figure-1-cross-tenant-interference"/>
      <w:r>
        <w:t xml:space="preserve">Figure 1: Cross-Tenant Interference</w:t>
      </w:r>
      <w:bookmarkEnd w:id="38"/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X-axis:</w:t>
      </w:r>
      <w:r>
        <w:t xml:space="preserve"> </w:t>
      </w:r>
      <w:r>
        <w:t xml:space="preserve">aggressor request rate, normalized by system capacity;</w:t>
      </w:r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Y-axis:</w:t>
      </w:r>
      <w:r>
        <w:t xml:space="preserve"> </w:t>
      </w:r>
      <w:r>
        <w:t xml:space="preserve">victim slowdown;</w:t>
      </w:r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Policies:</w:t>
      </w:r>
      <w:r>
        <w:t xml:space="preserve"> </w:t>
      </w:r>
      <w:r>
        <w:t xml:space="preserve">FCFS, inference-only fairness, and cross-stage max–min;</w:t>
      </w:r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Expected shape:</w:t>
      </w:r>
      <w:r>
        <w:t xml:space="preserve"> </w:t>
      </w:r>
      <w:r>
        <w:t xml:space="preserve">FCFS slowdown rises sharply under overload,</w:t>
      </w:r>
      <w:r>
        <w:t xml:space="preserve"> </w:t>
      </w:r>
      <w:r>
        <w:t xml:space="preserve">inference-only provides partial protection, and cross-stage remains lowest;</w:t>
      </w:r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Outcome:</w:t>
      </w:r>
      <w:r>
        <w:t xml:space="preserve"> </w:t>
      </w:r>
      <w:r>
        <w:t xml:space="preserve">establish that an aggressive tenant creates cross-stage victim</w:t>
      </w:r>
      <w:r>
        <w:t xml:space="preserve"> </w:t>
      </w:r>
      <w:r>
        <w:t xml:space="preserve">interference.</w:t>
      </w:r>
    </w:p>
    <w:p>
      <w:pPr>
        <w:pStyle w:val="Heading3"/>
      </w:pPr>
      <w:bookmarkStart w:id="39" w:name="figure-2-headline-fairness-comparison"/>
      <w:r>
        <w:t xml:space="preserve">Figure 2: Headline Fairness Comparison</w:t>
      </w:r>
      <w:bookmarkEnd w:id="39"/>
    </w:p>
    <w:p>
      <w:pPr>
        <w:pStyle w:val="Compact"/>
        <w:numPr>
          <w:numId w:val="1012"/>
          <w:ilvl w:val="0"/>
        </w:numPr>
      </w:pPr>
      <w:r>
        <w:rPr>
          <w:b/>
        </w:rPr>
        <w:t xml:space="preserve">X-axis:</w:t>
      </w:r>
      <w:r>
        <w:t xml:space="preserve"> </w:t>
      </w:r>
      <w:r>
        <w:t xml:space="preserve">FCFS, round-robin, VTC, preparation-only, inference-only, and</w:t>
      </w:r>
      <w:r>
        <w:t xml:space="preserve"> </w:t>
      </w:r>
      <w:r>
        <w:t xml:space="preserve">cross-stage;</w:t>
      </w:r>
    </w:p>
    <w:p>
      <w:pPr>
        <w:pStyle w:val="Compact"/>
        <w:numPr>
          <w:numId w:val="1012"/>
          <w:ilvl w:val="0"/>
        </w:numPr>
      </w:pPr>
      <w:r>
        <w:rPr>
          <w:b/>
        </w:rPr>
        <w:t xml:space="preserve">Y-axis:</w:t>
      </w:r>
      <w:r>
        <w:t xml:space="preserve"> </w:t>
      </w:r>
      <w:r>
        <w:t xml:space="preserve">service disparity, victim slowdown, or worst-tenant P95 TTFT;</w:t>
      </w:r>
    </w:p>
    <w:p>
      <w:pPr>
        <w:pStyle w:val="Compact"/>
        <w:numPr>
          <w:numId w:val="1012"/>
          <w:ilvl w:val="0"/>
        </w:numPr>
      </w:pPr>
      <w:r>
        <w:rPr>
          <w:b/>
        </w:rPr>
        <w:t xml:space="preserve">Expected shape:</w:t>
      </w:r>
      <w:r>
        <w:t xml:space="preserve"> </w:t>
      </w:r>
      <w:r>
        <w:t xml:space="preserve">cross-stage has the lowest bar;</w:t>
      </w:r>
    </w:p>
    <w:p>
      <w:pPr>
        <w:pStyle w:val="Compact"/>
        <w:numPr>
          <w:numId w:val="1012"/>
          <w:ilvl w:val="0"/>
        </w:numPr>
      </w:pPr>
      <w:r>
        <w:rPr>
          <w:b/>
        </w:rPr>
        <w:t xml:space="preserve">Outcome:</w:t>
      </w:r>
      <w:r>
        <w:t xml:space="preserve"> </w:t>
      </w:r>
      <w:r>
        <w:t xml:space="preserve">show the overall tenant-isolation improvement.</w:t>
      </w:r>
    </w:p>
    <w:p>
      <w:pPr>
        <w:pStyle w:val="Heading3"/>
      </w:pPr>
      <w:bookmarkStart w:id="40" w:name="figure-3-why-both-stages-matter"/>
      <w:r>
        <w:t xml:space="preserve">Figure 3: Why Both Stages Matter</w:t>
      </w:r>
      <w:bookmarkEnd w:id="40"/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X-axis:</w:t>
      </w:r>
      <w:r>
        <w:t xml:space="preserve"> </w:t>
      </w:r>
      <w:r>
        <w:t xml:space="preserve">preparation-heavy, inference-heavy, and mixed workloads;</w:t>
      </w:r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Y-axis:</w:t>
      </w:r>
      <w:r>
        <w:t xml:space="preserve"> </w:t>
      </w:r>
      <w:r>
        <w:t xml:space="preserve">victim slowdown;</w:t>
      </w:r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Policies:</w:t>
      </w:r>
      <w:r>
        <w:t xml:space="preserve"> </w:t>
      </w:r>
      <w:r>
        <w:t xml:space="preserve">preparation-only, inference-only, and cross-stage;</w:t>
      </w:r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Expected shape:</w:t>
      </w:r>
      <w:r>
        <w:t xml:space="preserve"> </w:t>
      </w:r>
      <w:r>
        <w:t xml:space="preserve">each single-stage policy succeeds only when its stage is</w:t>
      </w:r>
      <w:r>
        <w:t xml:space="preserve"> </w:t>
      </w:r>
      <w:r>
        <w:t xml:space="preserve">the bottleneck, while cross-stage remains effective across all three;</w:t>
      </w:r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Outcome:</w:t>
      </w:r>
      <w:r>
        <w:t xml:space="preserve"> </w:t>
      </w:r>
      <w:r>
        <w:t xml:space="preserve">show that controlling only one stage is insufficient when the</w:t>
      </w:r>
      <w:r>
        <w:t xml:space="preserve"> </w:t>
      </w:r>
      <w:r>
        <w:t xml:space="preserve">bottleneck moves.</w:t>
      </w:r>
    </w:p>
    <w:p>
      <w:pPr>
        <w:pStyle w:val="Heading3"/>
      </w:pPr>
      <w:bookmarkStart w:id="41" w:name="figure-4-maxmin-allocation-over-time"/>
      <w:r>
        <w:t xml:space="preserve">Figure 4: Max–Min Allocation Over Time</w:t>
      </w:r>
      <w:bookmarkEnd w:id="41"/>
    </w:p>
    <w:p>
      <w:pPr>
        <w:pStyle w:val="Compact"/>
        <w:numPr>
          <w:numId w:val="1014"/>
          <w:ilvl w:val="0"/>
        </w:numPr>
      </w:pPr>
      <w:r>
        <w:rPr>
          <w:b/>
        </w:rPr>
        <w:t xml:space="preserve">X-axis:</w:t>
      </w:r>
      <w:r>
        <w:t xml:space="preserve"> </w:t>
      </w:r>
      <w:r>
        <w:t xml:space="preserve">elapsed time;</w:t>
      </w:r>
    </w:p>
    <w:p>
      <w:pPr>
        <w:pStyle w:val="Compact"/>
        <w:numPr>
          <w:numId w:val="1014"/>
          <w:ilvl w:val="0"/>
        </w:numPr>
      </w:pPr>
      <w:r>
        <w:rPr>
          <w:b/>
        </w:rPr>
        <w:t xml:space="preserve">Y-axis:</w:t>
      </w:r>
      <w:r>
        <w:t xml:space="preserve"> </w:t>
      </w:r>
      <w:r>
        <w:t xml:space="preserve">cumulative service received;</w:t>
      </w:r>
    </w:p>
    <w:p>
      <w:pPr>
        <w:pStyle w:val="Compact"/>
        <w:numPr>
          <w:numId w:val="1014"/>
          <w:ilvl w:val="0"/>
        </w:numPr>
      </w:pPr>
      <w:r>
        <w:rPr>
          <w:b/>
        </w:rPr>
        <w:t xml:space="preserve">Lines:</w:t>
      </w:r>
      <w:r>
        <w:t xml:space="preserve"> </w:t>
      </w:r>
      <w:r>
        <w:t xml:space="preserve">one line per tenant, with separate preparation and inference</w:t>
      </w:r>
      <w:r>
        <w:t xml:space="preserve"> </w:t>
      </w:r>
      <w:r>
        <w:t xml:space="preserve">panels;</w:t>
      </w:r>
    </w:p>
    <w:p>
      <w:pPr>
        <w:pStyle w:val="Compact"/>
        <w:numPr>
          <w:numId w:val="1014"/>
          <w:ilvl w:val="0"/>
        </w:numPr>
      </w:pPr>
      <w:r>
        <w:rPr>
          <w:b/>
        </w:rPr>
        <w:t xml:space="preserve">Expected shape:</w:t>
      </w:r>
      <w:r>
        <w:t xml:space="preserve"> </w:t>
      </w:r>
      <w:r>
        <w:t xml:space="preserve">tenant curves diverge under FCFS and remain close under</w:t>
      </w:r>
      <w:r>
        <w:t xml:space="preserve"> </w:t>
      </w:r>
      <w:r>
        <w:t xml:space="preserve">cross-stage max–min;</w:t>
      </w:r>
    </w:p>
    <w:p>
      <w:pPr>
        <w:pStyle w:val="Compact"/>
        <w:numPr>
          <w:numId w:val="1014"/>
          <w:ilvl w:val="0"/>
        </w:numPr>
      </w:pPr>
      <w:r>
        <w:rPr>
          <w:b/>
        </w:rPr>
        <w:t xml:space="preserve">Outcome:</w:t>
      </w:r>
      <w:r>
        <w:t xml:space="preserve"> </w:t>
      </w:r>
      <w:r>
        <w:t xml:space="preserve">demonstrate that the mechanism actually approximates max–min</w:t>
      </w:r>
      <w:r>
        <w:t xml:space="preserve"> </w:t>
      </w:r>
      <w:r>
        <w:t xml:space="preserve">allocation.</w:t>
      </w:r>
    </w:p>
    <w:p>
      <w:pPr>
        <w:pStyle w:val="Heading3"/>
      </w:pPr>
      <w:bookmarkStart w:id="42" w:name="figure-5-cost-of-fairness"/>
      <w:r>
        <w:t xml:space="preserve">Figure 5: Cost of Fairness</w:t>
      </w:r>
      <w:bookmarkEnd w:id="42"/>
    </w:p>
    <w:p>
      <w:pPr>
        <w:pStyle w:val="Compact"/>
        <w:numPr>
          <w:numId w:val="1015"/>
          <w:ilvl w:val="0"/>
        </w:numPr>
      </w:pPr>
      <w:r>
        <w:rPr>
          <w:b/>
        </w:rPr>
        <w:t xml:space="preserve">X-axis:</w:t>
      </w:r>
      <w:r>
        <w:t xml:space="preserve"> </w:t>
      </w:r>
      <w:r>
        <w:t xml:space="preserve">scheduling policy;</w:t>
      </w:r>
    </w:p>
    <w:p>
      <w:pPr>
        <w:pStyle w:val="Compact"/>
        <w:numPr>
          <w:numId w:val="1015"/>
          <w:ilvl w:val="0"/>
        </w:numPr>
      </w:pPr>
      <w:r>
        <w:rPr>
          <w:b/>
        </w:rPr>
        <w:t xml:space="preserve">Y-axis:</w:t>
      </w:r>
      <w:r>
        <w:t xml:space="preserve"> </w:t>
      </w:r>
      <w:r>
        <w:t xml:space="preserve">normalized throughput, overall P95 latency, and utilization in</w:t>
      </w:r>
      <w:r>
        <w:t xml:space="preserve"> </w:t>
      </w:r>
      <w:r>
        <w:t xml:space="preserve">separate panels;</w:t>
      </w:r>
    </w:p>
    <w:p>
      <w:pPr>
        <w:pStyle w:val="Compact"/>
        <w:numPr>
          <w:numId w:val="1015"/>
          <w:ilvl w:val="0"/>
        </w:numPr>
      </w:pPr>
      <w:r>
        <w:rPr>
          <w:b/>
        </w:rPr>
        <w:t xml:space="preserve">Expected shape:</w:t>
      </w:r>
      <w:r>
        <w:t xml:space="preserve"> </w:t>
      </w:r>
      <w:r>
        <w:t xml:space="preserve">cross-stage remains close to native vLLM while providing</w:t>
      </w:r>
      <w:r>
        <w:t xml:space="preserve"> </w:t>
      </w:r>
      <w:r>
        <w:t xml:space="preserve">substantially better isolation;</w:t>
      </w:r>
    </w:p>
    <w:p>
      <w:pPr>
        <w:pStyle w:val="Compact"/>
        <w:numPr>
          <w:numId w:val="1015"/>
          <w:ilvl w:val="0"/>
        </w:numPr>
      </w:pPr>
      <w:r>
        <w:rPr>
          <w:b/>
        </w:rPr>
        <w:t xml:space="preserve">Outcome:</w:t>
      </w:r>
      <w:r>
        <w:t xml:space="preserve"> </w:t>
      </w:r>
      <w:r>
        <w:t xml:space="preserve">quantify the efficiency cost of fairness.</w:t>
      </w:r>
    </w:p>
    <w:p>
      <w:pPr>
        <w:pStyle w:val="Heading3"/>
      </w:pPr>
      <w:bookmarkStart w:id="43" w:name="figure-6-in-flight-accounting-ablation"/>
      <w:r>
        <w:t xml:space="preserve">Figure 6: In-Flight Accounting Ablation</w:t>
      </w:r>
      <w:bookmarkEnd w:id="43"/>
    </w:p>
    <w:p>
      <w:pPr>
        <w:pStyle w:val="Compact"/>
        <w:numPr>
          <w:numId w:val="1016"/>
          <w:ilvl w:val="0"/>
        </w:numPr>
      </w:pPr>
      <w:r>
        <w:rPr>
          <w:b/>
        </w:rPr>
        <w:t xml:space="preserve">X-axis:</w:t>
      </w:r>
      <w:r>
        <w:t xml:space="preserve"> </w:t>
      </w:r>
      <w:r>
        <w:t xml:space="preserve">preparation workers or inference concurrency;</w:t>
      </w:r>
    </w:p>
    <w:p>
      <w:pPr>
        <w:pStyle w:val="Compact"/>
        <w:numPr>
          <w:numId w:val="1016"/>
          <w:ilvl w:val="0"/>
        </w:numPr>
      </w:pPr>
      <w:r>
        <w:rPr>
          <w:b/>
        </w:rPr>
        <w:t xml:space="preserve">Y-axis:</w:t>
      </w:r>
      <w:r>
        <w:t xml:space="preserve"> </w:t>
      </w:r>
      <w:r>
        <w:t xml:space="preserve">service disparity;</w:t>
      </w:r>
    </w:p>
    <w:p>
      <w:pPr>
        <w:pStyle w:val="Compact"/>
        <w:numPr>
          <w:numId w:val="1016"/>
          <w:ilvl w:val="0"/>
        </w:numPr>
      </w:pPr>
      <w:r>
        <w:rPr>
          <w:b/>
        </w:rPr>
        <w:t xml:space="preserve">Policies:</w:t>
      </w:r>
      <w:r>
        <w:t xml:space="preserve"> </w:t>
      </w:r>
      <w:r>
        <w:t xml:space="preserve">completion-only accounting, fixed in-flight reservation, and</w:t>
      </w:r>
      <w:r>
        <w:t xml:space="preserve"> </w:t>
      </w:r>
      <w:r>
        <w:t xml:space="preserve">profiled reservation with reconciliation;</w:t>
      </w:r>
    </w:p>
    <w:p>
      <w:pPr>
        <w:pStyle w:val="Compact"/>
        <w:numPr>
          <w:numId w:val="1016"/>
          <w:ilvl w:val="0"/>
        </w:numPr>
      </w:pPr>
      <w:r>
        <w:rPr>
          <w:b/>
        </w:rPr>
        <w:t xml:space="preserve">Expected shape:</w:t>
      </w:r>
      <w:r>
        <w:t xml:space="preserve"> </w:t>
      </w:r>
      <w:r>
        <w:t xml:space="preserve">completion-only disparity grows with concurrency, while</w:t>
      </w:r>
      <w:r>
        <w:t xml:space="preserve"> </w:t>
      </w:r>
      <w:r>
        <w:t xml:space="preserve">profiled in-flight accounting remains low;</w:t>
      </w:r>
    </w:p>
    <w:p>
      <w:pPr>
        <w:pStyle w:val="Compact"/>
        <w:numPr>
          <w:numId w:val="1016"/>
          <w:ilvl w:val="0"/>
        </w:numPr>
      </w:pPr>
      <w:r>
        <w:rPr>
          <w:b/>
        </w:rPr>
        <w:t xml:space="preserve">Outcome:</w:t>
      </w:r>
      <w:r>
        <w:t xml:space="preserve"> </w:t>
      </w:r>
      <w:r>
        <w:t xml:space="preserve">establish why predicted dispatch-time accounting is necessary.</w:t>
      </w:r>
    </w:p>
    <w:p>
      <w:pPr>
        <w:pStyle w:val="Heading3"/>
      </w:pPr>
      <w:bookmarkStart w:id="44" w:name="figure-7-workload-sensitivity"/>
      <w:r>
        <w:t xml:space="preserve">Figure 7: Workload Sensitivity</w:t>
      </w:r>
      <w:bookmarkEnd w:id="44"/>
    </w:p>
    <w:p>
      <w:pPr>
        <w:pStyle w:val="Compact"/>
        <w:numPr>
          <w:numId w:val="1017"/>
          <w:ilvl w:val="0"/>
        </w:numPr>
      </w:pPr>
      <w:r>
        <w:rPr>
          <w:b/>
        </w:rPr>
        <w:t xml:space="preserve">X-axis:</w:t>
      </w:r>
      <w:r>
        <w:t xml:space="preserve"> </w:t>
      </w:r>
      <w:r>
        <w:t xml:space="preserve">request-cost heterogeneity;</w:t>
      </w:r>
    </w:p>
    <w:p>
      <w:pPr>
        <w:pStyle w:val="Compact"/>
        <w:numPr>
          <w:numId w:val="1017"/>
          <w:ilvl w:val="0"/>
        </w:numPr>
      </w:pPr>
      <w:r>
        <w:rPr>
          <w:b/>
        </w:rPr>
        <w:t xml:space="preserve">Y-axis:</w:t>
      </w:r>
      <w:r>
        <w:t xml:space="preserve"> </w:t>
      </w:r>
      <w:r>
        <w:t xml:space="preserve">offered load;</w:t>
      </w:r>
    </w:p>
    <w:p>
      <w:pPr>
        <w:pStyle w:val="Compact"/>
        <w:numPr>
          <w:numId w:val="1017"/>
          <w:ilvl w:val="0"/>
        </w:numPr>
      </w:pPr>
      <w:r>
        <w:rPr>
          <w:b/>
        </w:rPr>
        <w:t xml:space="preserve">Color:</w:t>
      </w:r>
      <w:r>
        <w:t xml:space="preserve"> </w:t>
      </w:r>
      <w:r>
        <w:t xml:space="preserve">reduction in victim slowdown or service disparity over FCFS;</w:t>
      </w:r>
    </w:p>
    <w:p>
      <w:pPr>
        <w:pStyle w:val="Compact"/>
        <w:numPr>
          <w:numId w:val="1017"/>
          <w:ilvl w:val="0"/>
        </w:numPr>
      </w:pPr>
      <w:r>
        <w:rPr>
          <w:b/>
        </w:rPr>
        <w:t xml:space="preserve">Expected shape:</w:t>
      </w:r>
      <w:r>
        <w:t xml:space="preserve"> </w:t>
      </w:r>
      <w:r>
        <w:t xml:space="preserve">the largest gains occur at high load and high cost</w:t>
      </w:r>
      <w:r>
        <w:t xml:space="preserve"> </w:t>
      </w:r>
      <w:r>
        <w:t xml:space="preserve">heterogeneity;</w:t>
      </w:r>
    </w:p>
    <w:p>
      <w:pPr>
        <w:pStyle w:val="Compact"/>
        <w:numPr>
          <w:numId w:val="1017"/>
          <w:ilvl w:val="0"/>
        </w:numPr>
      </w:pPr>
      <w:r>
        <w:rPr>
          <w:b/>
        </w:rPr>
        <w:t xml:space="preserve">Outcome:</w:t>
      </w:r>
      <w:r>
        <w:t xml:space="preserve"> </w:t>
      </w:r>
      <w:r>
        <w:t xml:space="preserve">identify where the system is and is not beneficial.</w:t>
      </w:r>
    </w:p>
    <w:p>
      <w:pPr>
        <w:pStyle w:val="FirstParagraph"/>
      </w:pPr>
      <w:r>
        <w:t xml:space="preserve">Every final figure should specify:</w:t>
      </w:r>
    </w:p>
    <w:p>
      <w:pPr>
        <w:pStyle w:val="Compact"/>
        <w:numPr>
          <w:numId w:val="1018"/>
          <w:ilvl w:val="0"/>
        </w:numPr>
      </w:pPr>
      <w:r>
        <w:t xml:space="preserve">the question it answers;</w:t>
      </w:r>
    </w:p>
    <w:p>
      <w:pPr>
        <w:pStyle w:val="Compact"/>
        <w:numPr>
          <w:numId w:val="1018"/>
          <w:ilvl w:val="0"/>
        </w:numPr>
      </w:pPr>
      <w:r>
        <w:t xml:space="preserve">the x-axis and y-axis;</w:t>
      </w:r>
    </w:p>
    <w:p>
      <w:pPr>
        <w:pStyle w:val="Compact"/>
        <w:numPr>
          <w:numId w:val="1018"/>
          <w:ilvl w:val="0"/>
        </w:numPr>
      </w:pPr>
      <w:r>
        <w:t xml:space="preserve">the compared policies;</w:t>
      </w:r>
    </w:p>
    <w:p>
      <w:pPr>
        <w:pStyle w:val="Compact"/>
        <w:numPr>
          <w:numId w:val="1018"/>
          <w:ilvl w:val="0"/>
        </w:numPr>
      </w:pPr>
      <w:r>
        <w:t xml:space="preserve">the expected shape of the result;</w:t>
      </w:r>
    </w:p>
    <w:p>
      <w:pPr>
        <w:pStyle w:val="Compact"/>
        <w:numPr>
          <w:numId w:val="1018"/>
          <w:ilvl w:val="0"/>
        </w:numPr>
      </w:pPr>
      <w:r>
        <w:t xml:space="preserve">the intended conclusion.</w:t>
      </w:r>
    </w:p>
    <w:p>
      <w:pPr>
        <w:pStyle w:val="FirstParagraph"/>
      </w:pPr>
      <w:r>
        <w:t xml:space="preserve">The overall evaluation should establish:</w:t>
      </w:r>
    </w:p>
    <w:p>
      <w:pPr>
        <w:pStyle w:val="BlockText"/>
      </w:pPr>
      <w:r>
        <w:t xml:space="preserve">How much fairness improves, what efficiency cost it incurs, and under which</w:t>
      </w:r>
      <w:r>
        <w:t xml:space="preserve"> </w:t>
      </w:r>
      <w:r>
        <w:t xml:space="preserve">workloads cross-stage scheduling is or is not beneficial.</w:t>
      </w:r>
    </w:p>
    <w:p>
      <w:pPr>
        <w:pStyle w:val="Heading2"/>
      </w:pPr>
      <w:bookmarkStart w:id="45" w:name="terminology"/>
      <w:r>
        <w:t xml:space="preserve">Terminology</w:t>
      </w:r>
      <w:bookmarkEnd w:id="45"/>
    </w:p>
    <w:p>
      <w:pPr>
        <w:pStyle w:val="FirstParagraph"/>
      </w:pPr>
      <w:r>
        <w:t xml:space="preserve">“</w:t>
      </w:r>
      <w:r>
        <w:t xml:space="preserve">Tenant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client</w:t>
      </w:r>
      <w:r>
        <w:t xml:space="preserve">”</w:t>
      </w:r>
      <w:r>
        <w:t xml:space="preserve"> </w:t>
      </w:r>
      <w:r>
        <w:t xml:space="preserve">refer to the same entity. Use</w:t>
      </w:r>
      <w:r>
        <w:t xml:space="preserve"> </w:t>
      </w:r>
      <w:r>
        <w:rPr>
          <w:b/>
        </w:rPr>
        <w:t xml:space="preserve">tenant</w:t>
      </w:r>
      <w:r>
        <w:t xml:space="preserve"> </w:t>
      </w:r>
      <w:r>
        <w:t xml:space="preserve">consistently</w:t>
      </w:r>
      <w:r>
        <w:t xml:space="preserve"> </w:t>
      </w:r>
      <w:r>
        <w:t xml:space="preserve">throughout the paper, except when describing prior work that explicitly uses</w:t>
      </w:r>
      <w:r>
        <w:t xml:space="preserve"> </w:t>
      </w:r>
      <w:r>
        <w:t xml:space="preserve">“</w:t>
      </w:r>
      <w:r>
        <w:t xml:space="preserve">client.</w:t>
      </w:r>
      <w:r>
        <w:t xml:space="preserve">”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2026-08-28T23:04:10Z</dcterms:created>
  <dcterms:modified xsi:type="dcterms:W3CDTF">2026-08-28T23:04:10Z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