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734BB" w14:textId="1266930F" w:rsidR="004940F5" w:rsidRPr="004940F5" w:rsidRDefault="004940F5" w:rsidP="004940F5">
      <w:pPr>
        <w:pStyle w:val="Title"/>
        <w:rPr>
          <w:kern w:val="2"/>
          <w:sz w:val="24"/>
          <w:szCs w:val="24"/>
          <w:lang w:eastAsia="en-CA"/>
        </w:rPr>
      </w:pPr>
      <w:r>
        <w:t>Project AF2-424 – Short-Circuit Study Assumptions Used</w:t>
      </w:r>
      <w:r w:rsidR="000E2D3A"/>
      <w:r/>
      <w:r w:rsidR="000E2D3A"/>
      <w:r/>
    </w:p>
    <w:tbl>
      <w:tblPr>
        <w:tblStyle w:val="GridTable4-Accent1"/>
        <w:tblW w:w="4983" w:type="pct"/>
        <w:tblInd w:w="0" w:type="dxa"/>
        <w:tblLook w:val="04A0" w:firstRow="1" w:lastRow="0" w:firstColumn="1" w:lastColumn="0" w:noHBand="0" w:noVBand="1"/>
      </w:tblPr>
      <w:tblGrid>
        <w:gridCol w:w="510"/>
        <w:gridCol w:w="2992"/>
        <w:gridCol w:w="2564"/>
        <w:gridCol w:w="2386"/>
        <w:gridCol w:w="866"/>
      </w:tblGrid>
      <w:tr w:rsidR="004940F5" w14:paraId="600D0605" w14:textId="77777777" w:rsidTr="004940F5">
        <w:trPr>
          <w:trHeight w:val="427"/>
          <w:cantSplit/>
        </w:trPr>
        <w:tc>
          <w:tcPr>
            <w:tcW w:w="0" w:type="auto"/>
            <w:vAlign w:val="center"/>
            <w:hideMark/>
          </w:tcPr>
          <w:p w14:paraId="3CF184AD" w14:textId="77777777" w:rsidR="004940F5" w:rsidRDefault="004940F5">
            <w:pPr>
              <w:spacing w:after="160"/>
              <w:rPr>
                <w:sz w:val="22"/>
                <w:szCs w:val="22"/>
                <w:lang w:eastAsia="en-CA"/>
              </w:rPr>
            </w:pPr>
            <w:r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87BB452" w14:textId="77777777" w:rsidR="004940F5" w:rsidRDefault="004940F5">
            <w:pPr>
              <w:spacing w:after="160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Assumption</w:t>
            </w:r>
          </w:p>
        </w:tc>
        <w:tc>
          <w:tcPr>
            <w:tcW w:w="0" w:type="auto"/>
            <w:vAlign w:val="center"/>
            <w:hideMark/>
          </w:tcPr>
          <w:p w14:paraId="5CC16E9A" w14:textId="77777777" w:rsidR="004940F5" w:rsidRDefault="004940F5">
            <w:pPr>
              <w:spacing w:after="160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Basis / Reason</w:t>
            </w:r>
          </w:p>
        </w:tc>
        <w:tc>
          <w:tcPr>
            <w:tcW w:w="0" w:type="auto"/>
            <w:vAlign w:val="center"/>
            <w:hideMark/>
          </w:tcPr>
          <w:p w14:paraId="03BCE85C" w14:textId="77777777" w:rsidR="004940F5" w:rsidRDefault="004940F5">
            <w:pPr>
              <w:spacing w:after="160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Impact on Study</w:t>
            </w:r>
          </w:p>
        </w:tc>
        <w:tc>
          <w:tcPr>
            <w:tcW w:w="0" w:type="auto"/>
            <w:vAlign w:val="center"/>
            <w:hideMark/>
          </w:tcPr>
          <w:p w14:paraId="012ABFCF" w14:textId="77777777" w:rsidR="004940F5" w:rsidRDefault="004940F5">
            <w:pPr>
              <w:spacing w:after="160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Status</w:t>
            </w:r>
          </w:p>
        </w:tc>
      </w:tr>
      <w:tr w:rsidR="004940F5" w14:paraId="65BED10D" w14:textId="77777777" w:rsidTr="004940F5">
        <w:trPr>
          <w:trHeight w:val="969"/>
          <w:cantSplit/>
        </w:trPr>
        <w:tc>
          <w:tcPr>
            <w:tcW w:w="0" w:type="auto"/>
            <w:vAlign w:val="center"/>
            <w:hideMark/>
          </w:tcPr>
          <w:p w14:paraId="6EACD2E5" w14:textId="77777777" w:rsidR="004940F5" w:rsidRDefault="004940F5">
            <w:pPr>
              <w:spacing w:after="160"/>
              <w:rPr>
                <w:sz w:val="22"/>
                <w:szCs w:val="22"/>
              </w:rPr>
            </w:pPr>
            <w:r>
              <w:rPr>
                <w:sz w:val="20"/>
                <w:szCs w:val="22"/>
              </w:rPr>
              <w:t>A-01</w:t>
            </w:r>
          </w:p>
        </w:tc>
        <w:tc>
          <w:tcPr>
            <w:tcW w:w="0" w:type="auto"/>
            <w:vAlign w:val="center"/>
            <w:hideMark/>
          </w:tcPr>
          <w:p w14:paraId="772381C4" w14:textId="77777777" w:rsidR="004940F5" w:rsidRDefault="004940F5">
            <w:pPr>
              <w:spacing w:after="160"/>
              <w:rPr>
                <w:sz w:val="22"/>
                <w:szCs w:val="22"/>
              </w:rPr>
            </w:pPr>
            <w:r>
              <w:rPr>
                <w:sz w:val="20"/>
                <w:szCs w:val="22"/>
              </w:rPr>
              <w:t>Pre-fault system voltage is assumed at nominal unless otherwise noted.</w:t>
            </w:r>
          </w:p>
        </w:tc>
        <w:tc>
          <w:tcPr>
            <w:tcW w:w="0" w:type="auto"/>
            <w:vAlign w:val="center"/>
            <w:hideMark/>
          </w:tcPr>
          <w:p w14:paraId="28362FAB" w14:textId="77777777" w:rsidR="004940F5" w:rsidRDefault="004940F5">
            <w:pPr>
              <w:spacing w:after="160"/>
              <w:rPr>
                <w:sz w:val="22"/>
                <w:szCs w:val="22"/>
              </w:rPr>
            </w:pPr>
            <w:r>
              <w:rPr>
                <w:sz w:val="20"/>
                <w:szCs w:val="22"/>
              </w:rPr>
              <w:t>Used as the default starting point for fault calculations.</w:t>
            </w:r>
          </w:p>
        </w:tc>
        <w:tc>
          <w:tcPr>
            <w:tcW w:w="0" w:type="auto"/>
            <w:vAlign w:val="center"/>
            <w:hideMark/>
          </w:tcPr>
          <w:p w14:paraId="41CF8983" w14:textId="77777777" w:rsidR="004940F5" w:rsidRDefault="004940F5">
            <w:pPr>
              <w:spacing w:after="160"/>
              <w:rPr>
                <w:sz w:val="22"/>
                <w:szCs w:val="22"/>
              </w:rPr>
            </w:pPr>
            <w:r>
              <w:rPr>
                <w:sz w:val="20"/>
                <w:szCs w:val="22"/>
              </w:rPr>
              <w:t>Affects calculated available fault current magnitude.</w:t>
            </w:r>
          </w:p>
        </w:tc>
        <w:tc>
          <w:tcPr>
            <w:tcW w:w="0" w:type="auto"/>
            <w:vAlign w:val="center"/>
            <w:hideMark/>
          </w:tcPr>
          <w:p w14:paraId="51DB50FD" w14:textId="77777777" w:rsidR="004940F5" w:rsidRDefault="004940F5">
            <w:pPr>
              <w:spacing w:after="160"/>
              <w:rPr>
                <w:sz w:val="22"/>
                <w:szCs w:val="22"/>
              </w:rPr>
            </w:pPr>
            <w:r>
              <w:rPr>
                <w:sz w:val="20"/>
                <w:szCs w:val="22"/>
              </w:rPr>
              <w:t>Open</w:t>
            </w:r>
          </w:p>
        </w:tc>
      </w:tr>
      <w:tr>
        <w:tc>
          <w:tcPr>
            <w:tcW w:type="dxa" w:w="510"/>
          </w:tcPr>
          <w:p>
            <w:r>
              <w:t>A-02</w:t>
            </w:r>
          </w:p>
        </w:tc>
        <w:tc>
          <w:tcPr>
            <w:tcW w:type="dxa" w:w="2992"/>
          </w:tcPr>
          <w:p>
            <w:r>
              <w:t>Transmission Owner / Area Number for AF2-424 was inferred as PPL (Area 229) based on the POI location (Reed / Reed Tap #1 substations, Northumberland County, PA); PJM Serial Service was not accessible to confirm the TO directly.</w:t>
            </w:r>
          </w:p>
        </w:tc>
        <w:tc>
          <w:tcPr>
            <w:tcW w:type="dxa" w:w="2564"/>
          </w:tcPr>
          <w:p>
            <w:r>
              <w:t>Northumberland County, PA falls within PPL Electric Utilities' service territory per public utility service-area records.</w:t>
            </w:r>
          </w:p>
        </w:tc>
        <w:tc>
          <w:tcPr>
            <w:tcW w:type="dxa" w:w="2386"/>
          </w:tcPr>
          <w:p>
            <w:r>
              <w:t>If incorrect, the wrong OSF file and area number would be applied in ASPEN, invalidating the short-circuit ratings check.</w:t>
            </w:r>
          </w:p>
        </w:tc>
        <w:tc>
          <w:tcPr>
            <w:tcW w:type="dxa" w:w="866"/>
          </w:tcPr>
          <w:p>
            <w:r>
              <w:t>Resolved - confirmed by user: PPL / Area 229.</w:t>
            </w:r>
          </w:p>
        </w:tc>
      </w:tr>
      <w:tr>
        <w:tc>
          <w:tcPr>
            <w:tcW w:type="dxa" w:w="510"/>
          </w:tcPr>
          <w:p>
            <w:r>
              <w:t>A-03</w:t>
            </w:r>
          </w:p>
        </w:tc>
        <w:tc>
          <w:tcPr>
            <w:tcW w:type="dxa" w:w="2992"/>
          </w:tcPr>
          <w:p>
            <w:r>
              <w:t>GSU (AF2-424_inx1 / AF2-424_inv1) low-side winding grounding was not specified in the QP data (listed only as "Wye"); Ungrounded Wye was assumed.</w:t>
            </w:r>
          </w:p>
        </w:tc>
        <w:tc>
          <w:tcPr>
            <w:tcW w:type="dxa" w:w="2564"/>
          </w:tcPr>
          <w:p>
            <w:r>
              <w:t>Typical practice for inverter-coupled pad-mount GSUs, consistent with precedent from prior projects.</w:t>
            </w:r>
          </w:p>
        </w:tc>
        <w:tc>
          <w:tcPr>
            <w:tcW w:type="dxa" w:w="2386"/>
          </w:tcPr>
          <w:p>
            <w:r>
              <w:t>Affects the zero-sequence fault current path/magnitude at the inverter terminal bus.</w:t>
            </w:r>
          </w:p>
        </w:tc>
        <w:tc>
          <w:tcPr>
            <w:tcW w:type="dxa" w:w="866"/>
          </w:tcPr>
          <w:p>
            <w:r>
              <w:t>Resolved - confirmed by user: "Wye" with no grounding qualifier on inverter-side windings means Ungrounded Wye. Adopted as a standing modeling convention for future projects (see 'SC Study Modeling Conventions - Notes.txt').</w:t>
            </w:r>
          </w:p>
        </w:tc>
      </w:tr>
      <w:tr>
        <w:tc>
          <w:tcPr>
            <w:tcW w:type="dxa" w:w="510"/>
          </w:tcPr>
          <w:p>
            <w:r>
              <w:t>A-04</w:t>
            </w:r>
          </w:p>
        </w:tc>
        <w:tc>
          <w:tcPr>
            <w:tcW w:type="dxa" w:w="2992"/>
          </w:tcPr>
          <w:p>
            <w:r>
              <w:t>MPT (AF2-424_mn / AF2-424_inxc) zero-sequence reactance: QP data lists X0 = 0.06604 pu (R0 = 0.001622 pu), but a PJM deficiency comment on the QP notes the FAT report value is Z0 = 0.0692 pu and states the FAT value will be used. The FAT report was not provided, so the QP table value was used in this study.</w:t>
            </w:r>
          </w:p>
        </w:tc>
        <w:tc>
          <w:tcPr>
            <w:tcW w:type="dxa" w:w="2564"/>
          </w:tcPr>
          <w:p>
            <w:r>
              <w:t>QP deficiency comment references a FAT report not included in the uploaded package.</w:t>
            </w:r>
          </w:p>
        </w:tc>
        <w:tc>
          <w:tcPr>
            <w:tcW w:type="dxa" w:w="2386"/>
          </w:tcPr>
          <w:p>
            <w:r>
              <w:t>Understates zero-sequence MPT impedance if the FAT value should govern; affects ground fault duty on the 69 kV side.</w:t>
            </w:r>
          </w:p>
        </w:tc>
        <w:tc>
          <w:tcPr>
            <w:tcW w:type="dxa" w:w="866"/>
          </w:tcPr>
          <w:p>
            <w:r>
              <w:t>Resolved - confirmed by user: use the QP table value (X0=0.06604 pu) for this study; do not substitute a report value referenced in a deficiency comment unless that report is actually provided. Adopted as a standing convention for future projects (see 'SC Study Modeling Conventions - Notes.txt').</w:t>
            </w:r>
          </w:p>
        </w:tc>
      </w:tr>
      <w:tr>
        <w:tc>
          <w:tcPr>
            <w:tcW w:type="dxa" w:w="510"/>
          </w:tcPr>
          <w:p>
            <w:r>
              <w:t>A-05</w:t>
            </w:r>
          </w:p>
        </w:tc>
        <w:tc>
          <w:tcPr>
            <w:tcW w:type="dxa" w:w="2992"/>
          </w:tcPr>
          <w:p>
            <w:r>
              <w:t>POI connection is a line tap ("Reed" to "Reed Tap #1", 69 kV) with QP-stated distances of 0.85 mi (to Reed) and 7.01 mi (to Reed Tap #1). User will perform the tap-point setup directly in ASPEN OneLiner (see AF2-424 ASPEN Handoff Notes.txt).</w:t>
            </w:r>
          </w:p>
        </w:tc>
        <w:tc>
          <w:tcPr>
            <w:tcW w:type="dxa" w:w="2564"/>
          </w:tcPr>
          <w:p>
            <w:r>
              <w:t>ASPEN OneLiner is not available in this environment; base case could not be opened.</w:t>
            </w:r>
          </w:p>
        </w:tc>
        <w:tc>
          <w:tcPr>
            <w:tcW w:type="dxa" w:w="2386"/>
          </w:tcPr>
          <w:p>
            <w:r>
              <w:t>Per procedure, tap-point placement and any length-proportional impedance scaling must be confirmed against the base case before applying the change file.</w:t>
            </w:r>
          </w:p>
        </w:tc>
        <w:tc>
          <w:tcPr>
            <w:tcW w:type="dxa" w:w="866"/>
          </w:tcPr>
          <w:p>
            <w:r>
              <w:t>Open - user to complete in ASPEN OneLiner; flagged prominently in handoff notes so it is not missed when the case is opened.</w:t>
            </w:r>
          </w:p>
        </w:tc>
      </w:tr>
      <w:tr>
        <w:tc>
          <w:tcPr>
            <w:tcW w:type="dxa" w:w="510"/>
          </w:tcPr>
          <w:p>
            <w:r>
              <w:t>A-06</w:t>
            </w:r>
          </w:p>
        </w:tc>
        <w:tc>
          <w:tcPr>
            <w:tcW w:type="dxa" w:w="2992"/>
          </w:tcPr>
          <w:p>
            <w:r>
              <w:t>This package models the AF2-424 queue only. QP comments and user confirm AF2-424 and AF2-425 are a joint project sharing one POI and studied as a single combined 40 MW AC facility (consistent with the AF1-285/AE2-306 joint-project precedent); no separate AF2-425 package exists or is needed.</w:t>
            </w:r>
          </w:p>
        </w:tc>
        <w:tc>
          <w:tcPr>
            <w:tcW w:type="dxa" w:w="2564"/>
          </w:tcPr>
          <w:p>
            <w:r>
              <w:t>Only the AF2-424 QP data and SLD were provided; no AF2-425 data was uploaded.</w:t>
            </w:r>
          </w:p>
        </w:tc>
        <w:tc>
          <w:tcPr>
            <w:tcW w:type="dxa" w:w="2386"/>
          </w:tcPr>
          <w:p>
            <w:r>
              <w:t>If AF2-425 requires separate or combined modeling, this study may need to be revised.</w:t>
            </w:r>
          </w:p>
        </w:tc>
        <w:tc>
          <w:tcPr>
            <w:tcW w:type="dxa" w:w="866"/>
          </w:tcPr>
          <w:p>
            <w:r>
              <w:t>Resolved - confirmed by user: single combined package, no separate AF2-425 study.</w:t>
            </w:r>
          </w:p>
        </w:tc>
      </w:tr>
    </w:tbl>
    <w:p w14:paraId="20C3181C" w14:textId="77777777" w:rsidR="00E26567" w:rsidRDefault="00E26567"/>
    <w:sectPr w:rsidR="00E26567" w:rsidSect="004940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FF7792"/>
    <w:multiLevelType w:val="multilevel"/>
    <w:tmpl w:val="F33CD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69740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40F5"/>
    <w:rsid w:val="00075BD7"/>
    <w:rsid w:val="000E2D3A"/>
    <w:rsid w:val="00111F9C"/>
    <w:rsid w:val="00296E7C"/>
    <w:rsid w:val="00303882"/>
    <w:rsid w:val="003D7B7B"/>
    <w:rsid w:val="004940F5"/>
    <w:rsid w:val="00864428"/>
    <w:rsid w:val="009D6EB1"/>
    <w:rsid w:val="00C7031C"/>
    <w:rsid w:val="00E265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23DEF5"/>
  <w15:chartTrackingRefBased/>
  <w15:docId w15:val="{0248DB2B-E32D-495A-AD79-E65C8203C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40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40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40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40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40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40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40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40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40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40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40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40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40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40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40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40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40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40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40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40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40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40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40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40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40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40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40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40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40F5"/>
    <w:rPr>
      <w:b/>
      <w:bCs/>
      <w:smallCaps/>
      <w:color w:val="0F4761" w:themeColor="accent1" w:themeShade="BF"/>
      <w:spacing w:val="5"/>
    </w:rPr>
  </w:style>
  <w:style w:type="table" w:styleId="GridTable4-Accent1">
    <w:name w:val="Grid Table 4 Accent 1"/>
    <w:basedOn w:val="TableNormal"/>
    <w:uiPriority w:val="49"/>
    <w:rsid w:val="004940F5"/>
    <w:pPr>
      <w:spacing w:after="0" w:line="240" w:lineRule="auto"/>
    </w:pPr>
    <w:rPr>
      <w:kern w:val="2"/>
      <w:sz w:val="24"/>
      <w:szCs w:val="24"/>
    </w:rPr>
    <w:tblPr>
      <w:tblStyleRowBandSize w:val="1"/>
      <w:tblStyleColBandSize w:val="1"/>
      <w:tblInd w:w="0" w:type="nil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45</Words>
  <Characters>259</Characters>
  <Application>Microsoft Office Word</Application>
  <DocSecurity>0</DocSecurity>
  <Lines>2</Lines>
  <Paragraphs>1</Paragraphs>
  <ScaleCrop>false</ScaleCrop>
  <Company/>
  <LinksUpToDate>false</LinksUpToDate>
  <CharactersWithSpaces>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Hussain Al-Digs</dc:creator>
  <cp:keywords/>
  <dc:description/>
  <cp:lastModifiedBy>Hussain Al-Digs</cp:lastModifiedBy>
  <cp:revision>4</cp:revision>
  <dcterms:created xsi:type="dcterms:W3CDTF">2026-06-09T17:05:00Z</dcterms:created>
  <dcterms:modified xsi:type="dcterms:W3CDTF">2026-06-30T17:49:00Z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ad72bec-4dec-461e-85eb-2fe4c9399506_Enabled">
    <vt:lpwstr>true</vt:lpwstr>
  </property>
  <property fmtid="{D5CDD505-2E9C-101B-9397-08002B2CF9AE}" pid="3" name="MSIP_Label_0ad72bec-4dec-461e-85eb-2fe4c9399506_SetDate">
    <vt:lpwstr>2026-06-09T17:03:22Z</vt:lpwstr>
  </property>
  <property fmtid="{D5CDD505-2E9C-101B-9397-08002B2CF9AE}" pid="4" name="MSIP_Label_0ad72bec-4dec-461e-85eb-2fe4c9399506_Method">
    <vt:lpwstr>Standard</vt:lpwstr>
  </property>
  <property fmtid="{D5CDD505-2E9C-101B-9397-08002B2CF9AE}" pid="5" name="MSIP_Label_0ad72bec-4dec-461e-85eb-2fe4c9399506_Name">
    <vt:lpwstr>Restricted</vt:lpwstr>
  </property>
  <property fmtid="{D5CDD505-2E9C-101B-9397-08002B2CF9AE}" pid="6" name="MSIP_Label_0ad72bec-4dec-461e-85eb-2fe4c9399506_SiteId">
    <vt:lpwstr>bd2ad3d7-9f57-418d-9a0b-9ff04b469f6d</vt:lpwstr>
  </property>
  <property fmtid="{D5CDD505-2E9C-101B-9397-08002B2CF9AE}" pid="7" name="MSIP_Label_0ad72bec-4dec-461e-85eb-2fe4c9399506_ActionId">
    <vt:lpwstr>debf6a91-3072-417e-8232-19e56cf5cc75</vt:lpwstr>
  </property>
  <property fmtid="{D5CDD505-2E9C-101B-9397-08002B2CF9AE}" pid="8" name="MSIP_Label_0ad72bec-4dec-461e-85eb-2fe4c9399506_ContentBits">
    <vt:lpwstr>0</vt:lpwstr>
  </property>
  <property fmtid="{D5CDD505-2E9C-101B-9397-08002B2CF9AE}" pid="9" name="MSIP_Label_0ad72bec-4dec-461e-85eb-2fe4c9399506_Tag">
    <vt:lpwstr>10, 3, 0, 1</vt:lpwstr>
  </property>
</Properties>
</file>