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34BB" w14:textId="1266930F" w:rsidR="004940F5" w:rsidRPr="004940F5" w:rsidRDefault="004940F5" w:rsidP="004940F5">
      <w:pPr>
        <w:pStyle w:val="Title"/>
        <w:rPr>
          <w:kern w:val="2"/>
          <w:sz w:val="24"/>
          <w:szCs w:val="24"/>
          <w:lang w:eastAsia="en-CA"/>
        </w:rPr>
      </w:pPr>
      <w:r>
        <w:t>Project AF2-424 – Short-Circuit Study Assumptions Used</w:t>
      </w:r>
      <w:r w:rsidR="000E2D3A"/>
      <w:r/>
      <w:r w:rsidR="000E2D3A"/>
      <w:r/>
    </w:p>
    <w:tbl>
      <w:tblPr>
        <w:tblStyle w:val="GridTable4-Accent1"/>
        <w:tblW w:w="4983" w:type="pct"/>
        <w:tblInd w:w="0" w:type="dxa"/>
        <w:tblLook w:val="04A0" w:firstRow="1" w:lastRow="0" w:firstColumn="1" w:lastColumn="0" w:noHBand="0" w:noVBand="1"/>
      </w:tblPr>
      <w:tblGrid>
        <w:gridCol w:w="510"/>
        <w:gridCol w:w="2992"/>
        <w:gridCol w:w="2564"/>
        <w:gridCol w:w="2386"/>
        <w:gridCol w:w="866"/>
      </w:tblGrid>
      <w:tr w:rsidR="004940F5" w14:paraId="600D0605" w14:textId="77777777" w:rsidTr="004940F5">
        <w:trPr>
          <w:trHeight w:val="427"/>
          <w:cantSplit/>
        </w:trPr>
        <w:tc>
          <w:tcPr>
            <w:tcW w:w="0" w:type="auto"/>
            <w:vAlign w:val="center"/>
            <w:hideMark/>
          </w:tcPr>
          <w:p w14:paraId="3CF184AD" w14:textId="77777777" w:rsidR="004940F5" w:rsidRDefault="004940F5">
            <w:pPr>
              <w:spacing w:after="160"/>
              <w:rPr>
                <w:sz w:val="22"/>
                <w:szCs w:val="22"/>
                <w:lang w:eastAsia="en-CA"/>
              </w:rPr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7BB452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5CC16E9A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Basis / Reason</w:t>
            </w:r>
          </w:p>
        </w:tc>
        <w:tc>
          <w:tcPr>
            <w:tcW w:w="0" w:type="auto"/>
            <w:vAlign w:val="center"/>
            <w:hideMark/>
          </w:tcPr>
          <w:p w14:paraId="03BCE85C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Impact on Study</w:t>
            </w:r>
          </w:p>
        </w:tc>
        <w:tc>
          <w:tcPr>
            <w:tcW w:w="0" w:type="auto"/>
            <w:vAlign w:val="center"/>
            <w:hideMark/>
          </w:tcPr>
          <w:p w14:paraId="012ABFCF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4940F5" w14:paraId="65BED10D" w14:textId="77777777" w:rsidTr="004940F5">
        <w:trPr>
          <w:trHeight w:val="969"/>
          <w:cantSplit/>
        </w:trPr>
        <w:tc>
          <w:tcPr>
            <w:tcW w:w="0" w:type="auto"/>
            <w:vAlign w:val="center"/>
            <w:hideMark/>
          </w:tcPr>
          <w:p w14:paraId="6EACD2E5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0"/>
                <w:szCs w:val="22"/>
              </w:rPr>
              <w:t>A-01</w:t>
            </w:r>
          </w:p>
        </w:tc>
        <w:tc>
          <w:tcPr>
            <w:tcW w:w="0" w:type="auto"/>
            <w:vAlign w:val="center"/>
            <w:hideMark/>
          </w:tcPr>
          <w:p w14:paraId="772381C4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0"/>
                <w:szCs w:val="22"/>
              </w:rPr>
              <w:t>Pre-fault system voltage is assumed at nominal unless otherwise noted.</w:t>
            </w:r>
          </w:p>
        </w:tc>
        <w:tc>
          <w:tcPr>
            <w:tcW w:w="0" w:type="auto"/>
            <w:vAlign w:val="center"/>
            <w:hideMark/>
          </w:tcPr>
          <w:p w14:paraId="28362FAB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0"/>
                <w:szCs w:val="22"/>
              </w:rPr>
              <w:t>Used as the default starting point for fault calculations.</w:t>
            </w:r>
          </w:p>
        </w:tc>
        <w:tc>
          <w:tcPr>
            <w:tcW w:w="0" w:type="auto"/>
            <w:vAlign w:val="center"/>
            <w:hideMark/>
          </w:tcPr>
          <w:p w14:paraId="41CF8983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0"/>
                <w:szCs w:val="22"/>
              </w:rPr>
              <w:t>Affects calculated available fault current magnitude.</w:t>
            </w:r>
          </w:p>
        </w:tc>
        <w:tc>
          <w:tcPr>
            <w:tcW w:w="0" w:type="auto"/>
            <w:vAlign w:val="center"/>
            <w:hideMark/>
          </w:tcPr>
          <w:p w14:paraId="51DB50FD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0"/>
                <w:szCs w:val="22"/>
              </w:rPr>
              <w:t>Open</w:t>
            </w:r>
          </w:p>
        </w:tc>
      </w:tr>
      <w:tr>
        <w:tc>
          <w:tcPr>
            <w:tcW w:type="dxa" w:w="510"/>
          </w:tcPr>
          <w:p>
            <w:r>
              <w:t>A-02</w:t>
            </w:r>
          </w:p>
        </w:tc>
        <w:tc>
          <w:tcPr>
            <w:tcW w:type="dxa" w:w="2992"/>
          </w:tcPr>
          <w:p>
            <w:r>
              <w:t>Transmission Owner / Area Number for AF2-424 was inferred as PPL (Area 229) based on the POI location (Reed / Reed Tap #1 substations, Northumberland County, PA); PJM Serial Service was not accessible to confirm the TO directly.</w:t>
            </w:r>
          </w:p>
        </w:tc>
        <w:tc>
          <w:tcPr>
            <w:tcW w:type="dxa" w:w="2564"/>
          </w:tcPr>
          <w:p>
            <w:r>
              <w:t>Northumberland County, PA falls within PPL Electric Utilities' service territory per public utility service-area records.</w:t>
            </w:r>
          </w:p>
        </w:tc>
        <w:tc>
          <w:tcPr>
            <w:tcW w:type="dxa" w:w="2386"/>
          </w:tcPr>
          <w:p>
            <w:r>
              <w:t>If incorrect, the wrong OSF file and area number would be applied in ASPEN, invalidating the short-circuit ratings check.</w:t>
            </w:r>
          </w:p>
        </w:tc>
        <w:tc>
          <w:tcPr>
            <w:tcW w:type="dxa" w:w="866"/>
          </w:tcPr>
          <w:p>
            <w:r>
              <w:t>Open - confirm TO/area number via PJM Serial Service before running the case.</w:t>
            </w:r>
          </w:p>
        </w:tc>
      </w:tr>
      <w:tr>
        <w:tc>
          <w:tcPr>
            <w:tcW w:type="dxa" w:w="510"/>
          </w:tcPr>
          <w:p>
            <w:r>
              <w:t>A-03</w:t>
            </w:r>
          </w:p>
        </w:tc>
        <w:tc>
          <w:tcPr>
            <w:tcW w:type="dxa" w:w="2992"/>
          </w:tcPr>
          <w:p>
            <w:r>
              <w:t>GSU (AF2-424_inx1 / AF2-424_inv1) low-side winding grounding was not specified in the QP data (listed only as "Wye"); Ungrounded Wye was assumed.</w:t>
            </w:r>
          </w:p>
        </w:tc>
        <w:tc>
          <w:tcPr>
            <w:tcW w:type="dxa" w:w="2564"/>
          </w:tcPr>
          <w:p>
            <w:r>
              <w:t>Typical practice for inverter-coupled pad-mount GSUs, consistent with precedent from prior projects.</w:t>
            </w:r>
          </w:p>
        </w:tc>
        <w:tc>
          <w:tcPr>
            <w:tcW w:type="dxa" w:w="2386"/>
          </w:tcPr>
          <w:p>
            <w:r>
              <w:t>Affects the zero-sequence fault current path/magnitude at the inverter terminal bus.</w:t>
            </w:r>
          </w:p>
        </w:tc>
        <w:tc>
          <w:tcPr>
            <w:tcW w:type="dxa" w:w="866"/>
          </w:tcPr>
          <w:p>
            <w:r>
              <w:t>Open - confirm against GSU nameplate/datasheet if available.</w:t>
            </w:r>
          </w:p>
        </w:tc>
      </w:tr>
      <w:tr>
        <w:tc>
          <w:tcPr>
            <w:tcW w:type="dxa" w:w="510"/>
          </w:tcPr>
          <w:p>
            <w:r>
              <w:t>A-04</w:t>
            </w:r>
          </w:p>
        </w:tc>
        <w:tc>
          <w:tcPr>
            <w:tcW w:type="dxa" w:w="2992"/>
          </w:tcPr>
          <w:p>
            <w:r>
              <w:t>MPT (AF2-424_mn / AF2-424_inxc) zero-sequence reactance: QP data lists X0 = 0.06604 pu (R0 = 0.001622 pu), but a PJM deficiency comment on the QP notes the FAT report value is Z0 = 0.0692 pu and states the FAT value will be used. The FAT report was not provided, so the QP table value was used in this study.</w:t>
            </w:r>
          </w:p>
        </w:tc>
        <w:tc>
          <w:tcPr>
            <w:tcW w:type="dxa" w:w="2564"/>
          </w:tcPr>
          <w:p>
            <w:r>
              <w:t>QP deficiency comment references a FAT report not included in the uploaded package.</w:t>
            </w:r>
          </w:p>
        </w:tc>
        <w:tc>
          <w:tcPr>
            <w:tcW w:type="dxa" w:w="2386"/>
          </w:tcPr>
          <w:p>
            <w:r>
              <w:t>Understates zero-sequence MPT impedance if the FAT value should govern; affects ground fault duty on the 69 kV side.</w:t>
            </w:r>
          </w:p>
        </w:tc>
        <w:tc>
          <w:tcPr>
            <w:tcW w:type="dxa" w:w="866"/>
          </w:tcPr>
          <w:p>
            <w:r>
              <w:t>Open - obtain FAT report and update MPT zero-sequence impedance if it differs from the QP value.</w:t>
            </w:r>
          </w:p>
        </w:tc>
      </w:tr>
      <w:tr>
        <w:tc>
          <w:tcPr>
            <w:tcW w:type="dxa" w:w="510"/>
          </w:tcPr>
          <w:p>
            <w:r>
              <w:t>A-05</w:t>
            </w:r>
          </w:p>
        </w:tc>
        <w:tc>
          <w:tcPr>
            <w:tcW w:type="dxa" w:w="2992"/>
          </w:tcPr>
          <w:p>
            <w:r>
              <w:t>POI connection is a line tap ("Reed" to "Reed Tap #1", 69 kV) with QP-stated distances of 0.85 mi (to Reed) and 7.01 mi (to Reed Tap #1). Whether the existing Reed-Reed Tap #1 line in the base OneLiner case matches these distances could not be verified without ASPEN OneLiner access.</w:t>
            </w:r>
          </w:p>
        </w:tc>
        <w:tc>
          <w:tcPr>
            <w:tcW w:type="dxa" w:w="2564"/>
          </w:tcPr>
          <w:p>
            <w:r>
              <w:t>ASPEN OneLiner is not available in this environment; base case could not be opened.</w:t>
            </w:r>
          </w:p>
        </w:tc>
        <w:tc>
          <w:tcPr>
            <w:tcW w:type="dxa" w:w="2386"/>
          </w:tcPr>
          <w:p>
            <w:r>
              <w:t>Per procedure, tap-point placement and any length-proportional impedance scaling must be confirmed against the base case before applying the change file.</w:t>
            </w:r>
          </w:p>
        </w:tc>
        <w:tc>
          <w:tcPr>
            <w:tcW w:type="dxa" w:w="866"/>
          </w:tcPr>
          <w:p>
            <w:r>
              <w:t>Open - verify tap line length/impedance in ASPEN OneLiner per handoff notes.</w:t>
            </w:r>
          </w:p>
        </w:tc>
      </w:tr>
      <w:tr>
        <w:tc>
          <w:tcPr>
            <w:tcW w:type="dxa" w:w="510"/>
          </w:tcPr>
          <w:p>
            <w:r>
              <w:t>A-06</w:t>
            </w:r>
          </w:p>
        </w:tc>
        <w:tc>
          <w:tcPr>
            <w:tcW w:type="dxa" w:w="2992"/>
          </w:tcPr>
          <w:p>
            <w:r>
              <w:t>This package models the AF2-424 queue only. QP comments state AF2-424 and AF2-425 share a POI and are jointly studied to a combined 40 MW AC facility, but no AF2-425-specific package was provided.</w:t>
            </w:r>
          </w:p>
        </w:tc>
        <w:tc>
          <w:tcPr>
            <w:tcW w:type="dxa" w:w="2564"/>
          </w:tcPr>
          <w:p>
            <w:r>
              <w:t>Only the AF2-424 QP data and SLD were provided; no AF2-425 data was uploaded.</w:t>
            </w:r>
          </w:p>
        </w:tc>
        <w:tc>
          <w:tcPr>
            <w:tcW w:type="dxa" w:w="2386"/>
          </w:tcPr>
          <w:p>
            <w:r>
              <w:t>If AF2-425 requires separate or combined modeling, this study may need to be revised.</w:t>
            </w:r>
          </w:p>
        </w:tc>
        <w:tc>
          <w:tcPr>
            <w:tcW w:type="dxa" w:w="866"/>
          </w:tcPr>
          <w:p>
            <w:r>
              <w:t>Open - confirm with project owner whether AF2-425 needs its own or a combined short circuit study.</w:t>
            </w:r>
          </w:p>
        </w:tc>
      </w:tr>
    </w:tbl>
    <w:p w14:paraId="20C3181C" w14:textId="77777777" w:rsidR="00E26567" w:rsidRDefault="00E26567"/>
    <w:sectPr w:rsidR="00E26567" w:rsidSect="00494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F7792"/>
    <w:multiLevelType w:val="multilevel"/>
    <w:tmpl w:val="F33C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97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F5"/>
    <w:rsid w:val="00075BD7"/>
    <w:rsid w:val="000E2D3A"/>
    <w:rsid w:val="00111F9C"/>
    <w:rsid w:val="00296E7C"/>
    <w:rsid w:val="00303882"/>
    <w:rsid w:val="003D7B7B"/>
    <w:rsid w:val="004940F5"/>
    <w:rsid w:val="00864428"/>
    <w:rsid w:val="009D6EB1"/>
    <w:rsid w:val="00C7031C"/>
    <w:rsid w:val="00E2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DEF5"/>
  <w15:chartTrackingRefBased/>
  <w15:docId w15:val="{0248DB2B-E32D-495A-AD79-E65C8203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F5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4940F5"/>
    <w:pPr>
      <w:spacing w:after="0" w:line="240" w:lineRule="auto"/>
    </w:pPr>
    <w:rPr>
      <w:kern w:val="2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Al-Digs</dc:creator>
  <cp:keywords/>
  <dc:description/>
  <cp:lastModifiedBy>Hussain Al-Digs</cp:lastModifiedBy>
  <cp:revision>4</cp:revision>
  <dcterms:created xsi:type="dcterms:W3CDTF">2026-06-09T17:05:00Z</dcterms:created>
  <dcterms:modified xsi:type="dcterms:W3CDTF">2026-06-30T17:49:00Z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d72bec-4dec-461e-85eb-2fe4c9399506_Enabled">
    <vt:lpwstr>true</vt:lpwstr>
  </property>
  <property fmtid="{D5CDD505-2E9C-101B-9397-08002B2CF9AE}" pid="3" name="MSIP_Label_0ad72bec-4dec-461e-85eb-2fe4c9399506_SetDate">
    <vt:lpwstr>2026-06-09T17:03:22Z</vt:lpwstr>
  </property>
  <property fmtid="{D5CDD505-2E9C-101B-9397-08002B2CF9AE}" pid="4" name="MSIP_Label_0ad72bec-4dec-461e-85eb-2fe4c9399506_Method">
    <vt:lpwstr>Standard</vt:lpwstr>
  </property>
  <property fmtid="{D5CDD505-2E9C-101B-9397-08002B2CF9AE}" pid="5" name="MSIP_Label_0ad72bec-4dec-461e-85eb-2fe4c9399506_Name">
    <vt:lpwstr>Restricted</vt:lpwstr>
  </property>
  <property fmtid="{D5CDD505-2E9C-101B-9397-08002B2CF9AE}" pid="6" name="MSIP_Label_0ad72bec-4dec-461e-85eb-2fe4c9399506_SiteId">
    <vt:lpwstr>bd2ad3d7-9f57-418d-9a0b-9ff04b469f6d</vt:lpwstr>
  </property>
  <property fmtid="{D5CDD505-2E9C-101B-9397-08002B2CF9AE}" pid="7" name="MSIP_Label_0ad72bec-4dec-461e-85eb-2fe4c9399506_ActionId">
    <vt:lpwstr>debf6a91-3072-417e-8232-19e56cf5cc75</vt:lpwstr>
  </property>
  <property fmtid="{D5CDD505-2E9C-101B-9397-08002B2CF9AE}" pid="8" name="MSIP_Label_0ad72bec-4dec-461e-85eb-2fe4c9399506_ContentBits">
    <vt:lpwstr>0</vt:lpwstr>
  </property>
  <property fmtid="{D5CDD505-2E9C-101B-9397-08002B2CF9AE}" pid="9" name="MSIP_Label_0ad72bec-4dec-461e-85eb-2fe4c9399506_Tag">
    <vt:lpwstr>10, 3, 0, 1</vt:lpwstr>
  </property>
</Properties>
</file>