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AD280" w14:textId="77777777" w:rsidR="00D37496" w:rsidRPr="00CE2575" w:rsidRDefault="00D37496" w:rsidP="000A4001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267498B" w14:textId="10D90486" w:rsidR="000A4001" w:rsidRPr="000A4001" w:rsidRDefault="000A4001" w:rsidP="000A400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A4001">
        <w:rPr>
          <w:rFonts w:ascii="Times New Roman" w:hAnsi="Times New Roman" w:cs="Times New Roman"/>
          <w:b/>
          <w:bCs/>
          <w:sz w:val="28"/>
          <w:szCs w:val="28"/>
          <w:u w:val="single"/>
        </w:rPr>
        <w:t>Time Series Analysis of Gold ETF Prices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Data</w:t>
      </w:r>
    </w:p>
    <w:p w14:paraId="6ED6CC8D" w14:textId="140CCF99" w:rsidR="00D84CCF" w:rsidRPr="00D84CCF" w:rsidRDefault="00D84CCF" w:rsidP="00CE2575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6425F0" w14:textId="4432731F" w:rsidR="00CE2575" w:rsidRPr="00CE2575" w:rsidRDefault="00CE2575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E2575">
        <w:rPr>
          <w:rFonts w:ascii="Times New Roman" w:hAnsi="Times New Roman" w:cs="Times New Roman"/>
          <w:b/>
          <w:bCs/>
          <w:sz w:val="24"/>
          <w:szCs w:val="24"/>
        </w:rPr>
        <w:t>Name: Hussain Nathani</w:t>
      </w:r>
    </w:p>
    <w:p w14:paraId="0CCE8846" w14:textId="77777777" w:rsidR="00CE2575" w:rsidRPr="00CE2575" w:rsidRDefault="00CE2575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1E9D9D" w14:textId="1D1013A6" w:rsidR="00D84CCF" w:rsidRPr="00D84CCF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35FA7555" w14:textId="086D33AA" w:rsidR="000A4001" w:rsidRDefault="000A4001" w:rsidP="000A4001">
      <w:p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Gold is a crucial asset in the financial market, often used as a hedge against inflation and economic uncertainty. Understanding the </w:t>
      </w:r>
      <w:r w:rsidRPr="000A4001">
        <w:rPr>
          <w:rFonts w:ascii="Times New Roman" w:hAnsi="Times New Roman" w:cs="Times New Roman"/>
          <w:sz w:val="24"/>
          <w:szCs w:val="24"/>
        </w:rPr>
        <w:t>behaviour</w:t>
      </w:r>
      <w:r w:rsidRPr="000A4001">
        <w:rPr>
          <w:rFonts w:ascii="Times New Roman" w:hAnsi="Times New Roman" w:cs="Times New Roman"/>
          <w:sz w:val="24"/>
          <w:szCs w:val="24"/>
        </w:rPr>
        <w:t xml:space="preserve"> of gold prices is essential for investors, policymakers, and analysts. This analysis explores the underlying patterns in the </w:t>
      </w:r>
      <w:proofErr w:type="gramStart"/>
      <w:r w:rsidRPr="000A4001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0A4001">
        <w:rPr>
          <w:rFonts w:ascii="Times New Roman" w:hAnsi="Times New Roman" w:cs="Times New Roman"/>
          <w:sz w:val="24"/>
          <w:szCs w:val="24"/>
        </w:rPr>
        <w:t xml:space="preserve"> ETF price movements and assesses their predictability using time series </w:t>
      </w:r>
      <w:r w:rsidRPr="000A4001">
        <w:rPr>
          <w:rFonts w:ascii="Times New Roman" w:hAnsi="Times New Roman" w:cs="Times New Roman"/>
          <w:sz w:val="24"/>
          <w:szCs w:val="24"/>
        </w:rPr>
        <w:t>modelling</w:t>
      </w:r>
      <w:r w:rsidRPr="000A4001">
        <w:rPr>
          <w:rFonts w:ascii="Times New Roman" w:hAnsi="Times New Roman" w:cs="Times New Roman"/>
          <w:sz w:val="24"/>
          <w:szCs w:val="24"/>
        </w:rPr>
        <w:t xml:space="preserve"> techniques. By identifying trends and seasonality in the data, this study aims to provide insights that can enhance market forecasting strategies.</w:t>
      </w:r>
    </w:p>
    <w:p w14:paraId="2F7DDA1C" w14:textId="77777777" w:rsidR="00005BFC" w:rsidRPr="000A4001" w:rsidRDefault="00005BFC" w:rsidP="000A40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BC6F545" w14:textId="77777777" w:rsidR="00D84CCF" w:rsidRPr="00CE2575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Dataset and Variables</w:t>
      </w:r>
    </w:p>
    <w:p w14:paraId="4A927842" w14:textId="42D581DE" w:rsidR="00CE2575" w:rsidRPr="00D84CCF" w:rsidRDefault="00870B06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Kaggle </w:t>
      </w:r>
      <w:r w:rsidR="00CE2575" w:rsidRPr="00CE2575">
        <w:rPr>
          <w:rFonts w:ascii="Times New Roman" w:hAnsi="Times New Roman" w:cs="Times New Roman"/>
          <w:sz w:val="24"/>
          <w:szCs w:val="24"/>
        </w:rPr>
        <w:t>Link: “</w:t>
      </w:r>
      <w:hyperlink r:id="rId7" w:history="1">
        <w:r w:rsidR="000A4001" w:rsidRPr="000A4001">
          <w:rPr>
            <w:rStyle w:val="Hyperlink"/>
            <w:rFonts w:ascii="Times New Roman" w:hAnsi="Times New Roman" w:cs="Times New Roman"/>
            <w:sz w:val="24"/>
            <w:szCs w:val="24"/>
          </w:rPr>
          <w:t>www.kaggle.com</w:t>
        </w:r>
        <w:r w:rsidR="000A4001" w:rsidRPr="000A4001">
          <w:rPr>
            <w:rStyle w:val="Hyperlink"/>
            <w:rFonts w:ascii="Times New Roman" w:hAnsi="Times New Roman" w:cs="Times New Roman"/>
            <w:sz w:val="24"/>
            <w:szCs w:val="24"/>
          </w:rPr>
          <w:t>/</w:t>
        </w:r>
        <w:r w:rsidR="000A4001" w:rsidRPr="000A4001">
          <w:rPr>
            <w:rStyle w:val="Hyperlink"/>
            <w:rFonts w:ascii="Times New Roman" w:hAnsi="Times New Roman" w:cs="Times New Roman"/>
            <w:sz w:val="24"/>
            <w:szCs w:val="24"/>
          </w:rPr>
          <w:t>Gold_Data</w:t>
        </w:r>
      </w:hyperlink>
      <w:r w:rsidR="00CE2575" w:rsidRPr="00CE2575">
        <w:rPr>
          <w:rFonts w:ascii="Times New Roman" w:hAnsi="Times New Roman" w:cs="Times New Roman"/>
          <w:sz w:val="24"/>
          <w:szCs w:val="24"/>
        </w:rPr>
        <w:t>”</w:t>
      </w:r>
    </w:p>
    <w:p w14:paraId="623A312F" w14:textId="77777777" w:rsidR="000A4001" w:rsidRDefault="000A4001" w:rsidP="000A4001">
      <w:p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The dataset chosen for this study consists of historical financial data, including key indices and commodity prices, with the following selected variables:</w:t>
      </w:r>
    </w:p>
    <w:p w14:paraId="10B6BC46" w14:textId="736C7DC9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S&amp;P 500</w:t>
      </w:r>
      <w:r w:rsidR="00005BFC">
        <w:rPr>
          <w:rFonts w:ascii="Times New Roman" w:hAnsi="Times New Roman" w:cs="Times New Roman"/>
          <w:sz w:val="24"/>
          <w:szCs w:val="24"/>
        </w:rPr>
        <w:t xml:space="preserve"> ETF</w:t>
      </w:r>
      <w:r w:rsidRPr="000A4001">
        <w:rPr>
          <w:rFonts w:ascii="Times New Roman" w:hAnsi="Times New Roman" w:cs="Times New Roman"/>
          <w:sz w:val="24"/>
          <w:szCs w:val="24"/>
        </w:rPr>
        <w:t xml:space="preserve"> Close Price</w:t>
      </w:r>
    </w:p>
    <w:p w14:paraId="3D482C6B" w14:textId="1C4EA563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NASDAQ </w:t>
      </w:r>
      <w:r w:rsidR="00005BFC">
        <w:rPr>
          <w:rFonts w:ascii="Times New Roman" w:hAnsi="Times New Roman" w:cs="Times New Roman"/>
          <w:sz w:val="24"/>
          <w:szCs w:val="24"/>
        </w:rPr>
        <w:t xml:space="preserve">QQQ ETF </w:t>
      </w:r>
      <w:r w:rsidRPr="000A4001">
        <w:rPr>
          <w:rFonts w:ascii="Times New Roman" w:hAnsi="Times New Roman" w:cs="Times New Roman"/>
          <w:sz w:val="24"/>
          <w:szCs w:val="24"/>
        </w:rPr>
        <w:t>Close Price</w:t>
      </w:r>
    </w:p>
    <w:p w14:paraId="0AF421F7" w14:textId="77777777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Consumer Price Index (CPI)</w:t>
      </w:r>
    </w:p>
    <w:p w14:paraId="0809123A" w14:textId="77777777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Gross Domestic Product (GDP)</w:t>
      </w:r>
    </w:p>
    <w:p w14:paraId="6589C2E7" w14:textId="3A78BD1A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Silver</w:t>
      </w:r>
      <w:r w:rsidR="00005BFC">
        <w:rPr>
          <w:rFonts w:ascii="Times New Roman" w:hAnsi="Times New Roman" w:cs="Times New Roman"/>
          <w:sz w:val="24"/>
          <w:szCs w:val="24"/>
        </w:rPr>
        <w:t xml:space="preserve"> ETF</w:t>
      </w:r>
      <w:r w:rsidRPr="000A4001">
        <w:rPr>
          <w:rFonts w:ascii="Times New Roman" w:hAnsi="Times New Roman" w:cs="Times New Roman"/>
          <w:sz w:val="24"/>
          <w:szCs w:val="24"/>
        </w:rPr>
        <w:t xml:space="preserve"> Close Price</w:t>
      </w:r>
    </w:p>
    <w:p w14:paraId="2A43593A" w14:textId="412E0940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Oil</w:t>
      </w:r>
      <w:r w:rsidR="00005BFC">
        <w:rPr>
          <w:rFonts w:ascii="Times New Roman" w:hAnsi="Times New Roman" w:cs="Times New Roman"/>
          <w:sz w:val="24"/>
          <w:szCs w:val="24"/>
        </w:rPr>
        <w:t xml:space="preserve"> USO</w:t>
      </w:r>
      <w:r w:rsidRPr="000A4001">
        <w:rPr>
          <w:rFonts w:ascii="Times New Roman" w:hAnsi="Times New Roman" w:cs="Times New Roman"/>
          <w:sz w:val="24"/>
          <w:szCs w:val="24"/>
        </w:rPr>
        <w:t xml:space="preserve"> </w:t>
      </w:r>
      <w:r w:rsidR="00005BFC">
        <w:rPr>
          <w:rFonts w:ascii="Times New Roman" w:hAnsi="Times New Roman" w:cs="Times New Roman"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sz w:val="24"/>
          <w:szCs w:val="24"/>
        </w:rPr>
        <w:t>Close Price</w:t>
      </w:r>
    </w:p>
    <w:p w14:paraId="2BA41565" w14:textId="05132267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Platinum </w:t>
      </w:r>
      <w:r w:rsidR="00005BFC">
        <w:rPr>
          <w:rFonts w:ascii="Times New Roman" w:hAnsi="Times New Roman" w:cs="Times New Roman"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sz w:val="24"/>
          <w:szCs w:val="24"/>
        </w:rPr>
        <w:t>Close Price</w:t>
      </w:r>
    </w:p>
    <w:p w14:paraId="102726DC" w14:textId="4CA1C991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Palladium </w:t>
      </w:r>
      <w:r w:rsidR="00005BFC">
        <w:rPr>
          <w:rFonts w:ascii="Times New Roman" w:hAnsi="Times New Roman" w:cs="Times New Roman"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sz w:val="24"/>
          <w:szCs w:val="24"/>
        </w:rPr>
        <w:t>Close Price</w:t>
      </w:r>
    </w:p>
    <w:p w14:paraId="29F2DAF8" w14:textId="1DB9B10B" w:rsid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Gold </w:t>
      </w:r>
      <w:r w:rsidR="00005BFC">
        <w:rPr>
          <w:rFonts w:ascii="Times New Roman" w:hAnsi="Times New Roman" w:cs="Times New Roman"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sz w:val="24"/>
          <w:szCs w:val="24"/>
        </w:rPr>
        <w:t>Open Price</w:t>
      </w:r>
    </w:p>
    <w:p w14:paraId="457665E0" w14:textId="1A20353A" w:rsidR="000A4001" w:rsidRDefault="000A4001" w:rsidP="00005BF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Gold </w:t>
      </w:r>
      <w:r w:rsidR="00005BFC">
        <w:rPr>
          <w:rFonts w:ascii="Times New Roman" w:hAnsi="Times New Roman" w:cs="Times New Roman"/>
          <w:sz w:val="24"/>
          <w:szCs w:val="24"/>
        </w:rPr>
        <w:t>ETF</w:t>
      </w:r>
      <w:r w:rsidRPr="000A4001">
        <w:rPr>
          <w:rFonts w:ascii="Times New Roman" w:hAnsi="Times New Roman" w:cs="Times New Roman"/>
          <w:sz w:val="24"/>
          <w:szCs w:val="24"/>
        </w:rPr>
        <w:t xml:space="preserve"> Low Price</w:t>
      </w:r>
    </w:p>
    <w:p w14:paraId="04C0067D" w14:textId="541C412E" w:rsidR="000A4001" w:rsidRP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b/>
          <w:bCs/>
          <w:sz w:val="24"/>
          <w:szCs w:val="24"/>
        </w:rPr>
        <w:t xml:space="preserve">Gold </w:t>
      </w:r>
      <w:r w:rsidR="00005BFC">
        <w:rPr>
          <w:rFonts w:ascii="Times New Roman" w:hAnsi="Times New Roman" w:cs="Times New Roman"/>
          <w:b/>
          <w:bCs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b/>
          <w:bCs/>
          <w:sz w:val="24"/>
          <w:szCs w:val="24"/>
        </w:rPr>
        <w:t>Close Price (Forecast Variable)</w:t>
      </w:r>
    </w:p>
    <w:p w14:paraId="703EA1F6" w14:textId="25FBEE15" w:rsidR="000A4001" w:rsidRPr="000A4001" w:rsidRDefault="000A4001" w:rsidP="000A400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Gold </w:t>
      </w:r>
      <w:r w:rsidR="00005BFC">
        <w:rPr>
          <w:rFonts w:ascii="Times New Roman" w:hAnsi="Times New Roman" w:cs="Times New Roman"/>
          <w:sz w:val="24"/>
          <w:szCs w:val="24"/>
        </w:rPr>
        <w:t xml:space="preserve">ETF </w:t>
      </w:r>
      <w:r w:rsidRPr="000A4001">
        <w:rPr>
          <w:rFonts w:ascii="Times New Roman" w:hAnsi="Times New Roman" w:cs="Times New Roman"/>
          <w:sz w:val="24"/>
          <w:szCs w:val="24"/>
        </w:rPr>
        <w:t>Volume</w:t>
      </w:r>
    </w:p>
    <w:p w14:paraId="20CE3556" w14:textId="4A6FD7A0" w:rsidR="000A4001" w:rsidRDefault="000A4001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 xml:space="preserve">This dataset is ideal for time series analysis as it is multivariate, contains continuous numerical features, includes </w:t>
      </w:r>
      <w:r w:rsidRPr="000A4001">
        <w:rPr>
          <w:rFonts w:ascii="Times New Roman" w:hAnsi="Times New Roman" w:cs="Times New Roman"/>
          <w:sz w:val="24"/>
          <w:szCs w:val="24"/>
        </w:rPr>
        <w:t>many</w:t>
      </w:r>
      <w:r w:rsidRPr="000A4001">
        <w:rPr>
          <w:rFonts w:ascii="Times New Roman" w:hAnsi="Times New Roman" w:cs="Times New Roman"/>
          <w:sz w:val="24"/>
          <w:szCs w:val="24"/>
        </w:rPr>
        <w:t xml:space="preserve"> observations, and exhibits non-stationary </w:t>
      </w:r>
      <w:r w:rsidRPr="000A4001">
        <w:rPr>
          <w:rFonts w:ascii="Times New Roman" w:hAnsi="Times New Roman" w:cs="Times New Roman"/>
          <w:sz w:val="24"/>
          <w:szCs w:val="24"/>
        </w:rPr>
        <w:t>behaviour</w:t>
      </w:r>
      <w:r w:rsidRPr="000A4001">
        <w:rPr>
          <w:rFonts w:ascii="Times New Roman" w:hAnsi="Times New Roman" w:cs="Times New Roman"/>
          <w:sz w:val="24"/>
          <w:szCs w:val="24"/>
        </w:rPr>
        <w:t xml:space="preserve">. The dataset’s public availability and relevance to financial market analysis make it a strong candidate for forecasting gold prices and </w:t>
      </w:r>
      <w:r w:rsidRPr="000A4001">
        <w:rPr>
          <w:rFonts w:ascii="Times New Roman" w:hAnsi="Times New Roman" w:cs="Times New Roman"/>
          <w:sz w:val="24"/>
          <w:szCs w:val="24"/>
        </w:rPr>
        <w:t>analysing</w:t>
      </w:r>
      <w:r w:rsidRPr="000A4001">
        <w:rPr>
          <w:rFonts w:ascii="Times New Roman" w:hAnsi="Times New Roman" w:cs="Times New Roman"/>
          <w:sz w:val="24"/>
          <w:szCs w:val="24"/>
        </w:rPr>
        <w:t xml:space="preserve"> market trends.</w:t>
      </w:r>
    </w:p>
    <w:p w14:paraId="4E5C1235" w14:textId="77777777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3E73BD0" w14:textId="77777777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94DB78" w14:textId="77777777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80FEE4" w14:textId="77777777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C1AF7E" w14:textId="0BA05449" w:rsidR="00D84CCF" w:rsidRPr="00D84CCF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lastRenderedPageBreak/>
        <w:t>Time Series Analysis</w:t>
      </w:r>
    </w:p>
    <w:p w14:paraId="03765F53" w14:textId="77777777" w:rsidR="00D84CCF" w:rsidRPr="00D84CCF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Non-Stationarity Assessment</w:t>
      </w:r>
    </w:p>
    <w:p w14:paraId="661C0465" w14:textId="77777777" w:rsidR="000A4001" w:rsidRDefault="000A4001" w:rsidP="000A4001">
      <w:pPr>
        <w:jc w:val="both"/>
        <w:rPr>
          <w:rFonts w:ascii="Times New Roman" w:hAnsi="Times New Roman" w:cs="Times New Roman"/>
          <w:sz w:val="24"/>
          <w:szCs w:val="24"/>
        </w:rPr>
      </w:pPr>
      <w:r w:rsidRPr="000A4001">
        <w:rPr>
          <w:rFonts w:ascii="Times New Roman" w:hAnsi="Times New Roman" w:cs="Times New Roman"/>
          <w:sz w:val="24"/>
          <w:szCs w:val="24"/>
        </w:rPr>
        <w:t>A time series plot of the Gold Close Price against time demonstrates an upward trend, indicating potential non-stationarity.</w:t>
      </w:r>
    </w:p>
    <w:p w14:paraId="6AE375E0" w14:textId="77777777" w:rsidR="00005BFC" w:rsidRPr="000A4001" w:rsidRDefault="00005BFC" w:rsidP="000A400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BB3EC90" w14:textId="33067285" w:rsidR="00BE3D23" w:rsidRPr="00CE2575" w:rsidRDefault="000A4001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642A24" wp14:editId="47E86F69">
            <wp:extent cx="5731510" cy="2865755"/>
            <wp:effectExtent l="19050" t="19050" r="21590" b="10795"/>
            <wp:docPr id="440985651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5651" name="Picture 1" descr="A graph with blue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8F867C" w14:textId="77777777" w:rsidR="00D37496" w:rsidRPr="00CE2575" w:rsidRDefault="00D37496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F33B1DD" w14:textId="327F6DFF" w:rsidR="00D84CCF" w:rsidRPr="00D84CCF" w:rsidRDefault="00D84CCF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 w:rsidRPr="00D84CCF">
        <w:rPr>
          <w:rFonts w:ascii="Times New Roman" w:hAnsi="Times New Roman" w:cs="Times New Roman"/>
          <w:sz w:val="24"/>
          <w:szCs w:val="24"/>
        </w:rPr>
        <w:t>This is further validated through:</w:t>
      </w:r>
    </w:p>
    <w:p w14:paraId="43D81B5F" w14:textId="57B0A238" w:rsidR="00D87727" w:rsidRPr="00CE2575" w:rsidRDefault="00D84CCF" w:rsidP="00CE257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Rolling Mean and Variance:</w:t>
      </w:r>
      <w:r w:rsidRPr="00D84CCF">
        <w:rPr>
          <w:rFonts w:ascii="Times New Roman" w:hAnsi="Times New Roman" w:cs="Times New Roman"/>
          <w:sz w:val="24"/>
          <w:szCs w:val="24"/>
        </w:rPr>
        <w:t xml:space="preserve"> </w:t>
      </w:r>
      <w:r w:rsidR="000A4001" w:rsidRPr="000A4001">
        <w:rPr>
          <w:rFonts w:ascii="Times New Roman" w:hAnsi="Times New Roman" w:cs="Times New Roman"/>
          <w:sz w:val="24"/>
          <w:szCs w:val="24"/>
        </w:rPr>
        <w:t>The rolling mean follows the general trend of the original series closely, indicating underlying trends in the data. The rolling variance shows significant fluctuations, particularly in times of economic turbulence.</w:t>
      </w:r>
    </w:p>
    <w:p w14:paraId="5CA1DF2E" w14:textId="77777777" w:rsidR="000A4001" w:rsidRDefault="000A4001" w:rsidP="000A40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8C8FBC3" w14:textId="332E0E02" w:rsidR="00D37496" w:rsidRPr="00D84CCF" w:rsidRDefault="000A4001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9B2AB7" wp14:editId="0E93840C">
            <wp:extent cx="5731510" cy="2865755"/>
            <wp:effectExtent l="19050" t="19050" r="21590" b="10795"/>
            <wp:docPr id="1361385975" name="Picture 2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85975" name="Picture 2" descr="A graph with a line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68335" w14:textId="37A68FD5" w:rsidR="00D37496" w:rsidRDefault="00D84CCF" w:rsidP="00CE257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lastRenderedPageBreak/>
        <w:t>Augmented Dickey-Fuller (ADF) Test:</w:t>
      </w:r>
      <w:r w:rsidRPr="00D84CCF">
        <w:rPr>
          <w:rFonts w:ascii="Times New Roman" w:hAnsi="Times New Roman" w:cs="Times New Roman"/>
          <w:sz w:val="24"/>
          <w:szCs w:val="24"/>
        </w:rPr>
        <w:t xml:space="preserve"> </w:t>
      </w:r>
      <w:r w:rsidR="00005BFC" w:rsidRPr="00005BFC">
        <w:rPr>
          <w:rFonts w:ascii="Times New Roman" w:hAnsi="Times New Roman" w:cs="Times New Roman"/>
          <w:sz w:val="24"/>
          <w:szCs w:val="24"/>
        </w:rPr>
        <w:t>The test returned a statistic of 0.3768 with a p-value of 0.9806. Since the p-value is significantly higher than 0.05, it fails to reject the null hypothesis, confirming the non-stationary nature of the dataset.</w:t>
      </w:r>
    </w:p>
    <w:p w14:paraId="6AD9DE33" w14:textId="77777777" w:rsidR="000A4001" w:rsidRPr="00CE2575" w:rsidRDefault="000A4001" w:rsidP="000A4001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C9C79F" w14:textId="4DFC118D" w:rsidR="00005BFC" w:rsidRPr="00005BFC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Trend and Seasonality Analysis</w:t>
      </w:r>
    </w:p>
    <w:p w14:paraId="5068507D" w14:textId="77777777" w:rsidR="00D84CCF" w:rsidRPr="00D84CCF" w:rsidRDefault="00D84CCF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 w:rsidRPr="00D84CCF">
        <w:rPr>
          <w:rFonts w:ascii="Times New Roman" w:hAnsi="Times New Roman" w:cs="Times New Roman"/>
          <w:sz w:val="24"/>
          <w:szCs w:val="24"/>
        </w:rPr>
        <w:t>Non-stationarity in this dataset arises from both trend and seasonality:</w:t>
      </w:r>
    </w:p>
    <w:p w14:paraId="4CE4A805" w14:textId="7DE8E028" w:rsidR="00D84CCF" w:rsidRPr="00CE2575" w:rsidRDefault="00D84CCF" w:rsidP="00CE257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E2575">
        <w:rPr>
          <w:rFonts w:ascii="Times New Roman" w:hAnsi="Times New Roman" w:cs="Times New Roman"/>
          <w:b/>
          <w:bCs/>
          <w:sz w:val="24"/>
          <w:szCs w:val="24"/>
        </w:rPr>
        <w:t>Trend:</w:t>
      </w:r>
      <w:r w:rsidRPr="00CE2575">
        <w:rPr>
          <w:rFonts w:ascii="Times New Roman" w:hAnsi="Times New Roman" w:cs="Times New Roman"/>
          <w:sz w:val="24"/>
          <w:szCs w:val="24"/>
        </w:rPr>
        <w:t xml:space="preserve"> </w:t>
      </w:r>
      <w:r w:rsidR="00005BFC" w:rsidRPr="00005BFC">
        <w:rPr>
          <w:rFonts w:ascii="Times New Roman" w:hAnsi="Times New Roman" w:cs="Times New Roman"/>
          <w:sz w:val="24"/>
          <w:szCs w:val="24"/>
        </w:rPr>
        <w:t xml:space="preserve">The decomposition reveals </w:t>
      </w:r>
      <w:r w:rsidR="00005BFC" w:rsidRPr="00005BFC">
        <w:rPr>
          <w:rFonts w:ascii="Times New Roman" w:hAnsi="Times New Roman" w:cs="Times New Roman"/>
          <w:sz w:val="24"/>
          <w:szCs w:val="24"/>
        </w:rPr>
        <w:t>an</w:t>
      </w:r>
      <w:r w:rsidR="00005BFC" w:rsidRPr="00005BFC">
        <w:rPr>
          <w:rFonts w:ascii="Times New Roman" w:hAnsi="Times New Roman" w:cs="Times New Roman"/>
          <w:sz w:val="24"/>
          <w:szCs w:val="24"/>
        </w:rPr>
        <w:t xml:space="preserve"> upward trajectory over </w:t>
      </w:r>
      <w:r w:rsidR="00005BFC">
        <w:rPr>
          <w:rFonts w:ascii="Times New Roman" w:hAnsi="Times New Roman" w:cs="Times New Roman"/>
          <w:sz w:val="24"/>
          <w:szCs w:val="24"/>
        </w:rPr>
        <w:t xml:space="preserve">recent </w:t>
      </w:r>
      <w:r w:rsidR="00005BFC" w:rsidRPr="00005BFC">
        <w:rPr>
          <w:rFonts w:ascii="Times New Roman" w:hAnsi="Times New Roman" w:cs="Times New Roman"/>
          <w:sz w:val="24"/>
          <w:szCs w:val="24"/>
        </w:rPr>
        <w:t>time</w:t>
      </w:r>
      <w:r w:rsidR="00005BFC">
        <w:rPr>
          <w:rFonts w:ascii="Times New Roman" w:hAnsi="Times New Roman" w:cs="Times New Roman"/>
          <w:sz w:val="24"/>
          <w:szCs w:val="24"/>
        </w:rPr>
        <w:t>s</w:t>
      </w:r>
      <w:r w:rsidR="00005BFC" w:rsidRPr="00005BFC">
        <w:rPr>
          <w:rFonts w:ascii="Times New Roman" w:hAnsi="Times New Roman" w:cs="Times New Roman"/>
          <w:sz w:val="24"/>
          <w:szCs w:val="24"/>
        </w:rPr>
        <w:t xml:space="preserve">. The strength of the trend is 0.9694, indicating that the dataset is heavily </w:t>
      </w:r>
      <w:r w:rsidR="00005BFC" w:rsidRPr="00005BFC">
        <w:rPr>
          <w:rFonts w:ascii="Times New Roman" w:hAnsi="Times New Roman" w:cs="Times New Roman"/>
          <w:sz w:val="24"/>
          <w:szCs w:val="24"/>
        </w:rPr>
        <w:t>trend driven</w:t>
      </w:r>
      <w:r w:rsidR="00005BFC" w:rsidRPr="00005BFC">
        <w:rPr>
          <w:rFonts w:ascii="Times New Roman" w:hAnsi="Times New Roman" w:cs="Times New Roman"/>
          <w:sz w:val="24"/>
          <w:szCs w:val="24"/>
        </w:rPr>
        <w:t>.</w:t>
      </w:r>
    </w:p>
    <w:p w14:paraId="493FBA44" w14:textId="3751E89E" w:rsidR="00005BFC" w:rsidRDefault="00D84CCF" w:rsidP="00005BF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05BFC">
        <w:rPr>
          <w:rFonts w:ascii="Times New Roman" w:hAnsi="Times New Roman" w:cs="Times New Roman"/>
          <w:b/>
          <w:bCs/>
          <w:sz w:val="24"/>
          <w:szCs w:val="24"/>
        </w:rPr>
        <w:t>Seasonality:</w:t>
      </w:r>
      <w:r w:rsidRPr="00005BFC">
        <w:rPr>
          <w:rFonts w:ascii="Times New Roman" w:hAnsi="Times New Roman" w:cs="Times New Roman"/>
          <w:sz w:val="24"/>
          <w:szCs w:val="24"/>
        </w:rPr>
        <w:t xml:space="preserve"> </w:t>
      </w:r>
      <w:r w:rsidR="00005BFC" w:rsidRPr="00005BFC">
        <w:rPr>
          <w:rFonts w:ascii="Times New Roman" w:hAnsi="Times New Roman" w:cs="Times New Roman"/>
          <w:sz w:val="24"/>
          <w:szCs w:val="24"/>
        </w:rPr>
        <w:t>The seasonal component shows recurring fluctuations. However, the strength of seasonality is 0.3309, suggesting that while seasonality exists, it has a relatively weaker influence compared to the trend.</w:t>
      </w:r>
    </w:p>
    <w:p w14:paraId="529E94B5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C1D10B" w14:textId="266CF0FB" w:rsidR="00D87727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6417FE" wp14:editId="2CBDCA05">
            <wp:extent cx="5731510" cy="2813685"/>
            <wp:effectExtent l="19050" t="19050" r="21590" b="24765"/>
            <wp:docPr id="2119163605" name="Picture 3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3605" name="Picture 3" descr="A graph of different colored lin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8EEC6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62EB7E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30546C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19C4D62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A619EF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D290565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8BA3BF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30E2A26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9F964A2" w14:textId="77777777" w:rsid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B22D62" w14:textId="77777777" w:rsidR="00005BFC" w:rsidRP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0197C" w14:textId="587E841C" w:rsidR="00005BFC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lastRenderedPageBreak/>
        <w:t>Autocorrelation Analysis</w:t>
      </w:r>
    </w:p>
    <w:p w14:paraId="3B576BAB" w14:textId="77777777" w:rsidR="00005BFC" w:rsidRDefault="00005BFC" w:rsidP="00CE2575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005BFC">
        <w:rPr>
          <w:rFonts w:ascii="Times New Roman" w:hAnsi="Times New Roman" w:cs="Times New Roman"/>
          <w:sz w:val="24"/>
          <w:szCs w:val="24"/>
        </w:rPr>
        <w:t xml:space="preserve">The Autocorrelation Function (ACF) plot of the Gold Close Price shows high autocorrelation across all time lags, with values sticking close to 1 and </w:t>
      </w:r>
      <w:r>
        <w:rPr>
          <w:rFonts w:ascii="Times New Roman" w:hAnsi="Times New Roman" w:cs="Times New Roman"/>
          <w:sz w:val="24"/>
          <w:szCs w:val="24"/>
        </w:rPr>
        <w:t>a minor</w:t>
      </w:r>
      <w:r w:rsidRPr="00005BFC">
        <w:rPr>
          <w:rFonts w:ascii="Times New Roman" w:hAnsi="Times New Roman" w:cs="Times New Roman"/>
          <w:sz w:val="24"/>
          <w:szCs w:val="24"/>
        </w:rPr>
        <w:t xml:space="preserve"> decline. This means there’s a steady and strong link between past and future values, making the data highly non-stationary. In simple terms, the closing price depends heavily on its previous values.</w:t>
      </w:r>
      <w:r w:rsidRPr="00005BFC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p w14:paraId="2328B08A" w14:textId="77777777" w:rsidR="00005BFC" w:rsidRDefault="00005BFC" w:rsidP="00CE2575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412EF330" w14:textId="03039428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3C04921" wp14:editId="42C24969">
            <wp:extent cx="4918710" cy="3074057"/>
            <wp:effectExtent l="19050" t="19050" r="15240" b="12065"/>
            <wp:docPr id="1818462028" name="Picture 4" descr="A graph of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62028" name="Picture 4" descr="A graph of a line graph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741" cy="308095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3357D7" w14:textId="77777777" w:rsidR="00005BFC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5E5F9C" w14:textId="6BF00DF3" w:rsidR="00D37496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  <w:r w:rsidRPr="00005BFC">
        <w:rPr>
          <w:rFonts w:ascii="Times New Roman" w:hAnsi="Times New Roman" w:cs="Times New Roman"/>
          <w:sz w:val="24"/>
          <w:szCs w:val="24"/>
        </w:rPr>
        <w:t>Since the autocorrelation doesn’t gradually decrease, it points to a strong trend in the data. To make this data stationary, differencing would be necessary. Because of these patterns, forecasting models that handle non-stationary data and autocorrelation are ideal. The ARIMA (Auto Regressive Integrated Moving Average) model fits well here because it’s built to deal with such trends. If there’s a seasonal pattern in the data, SARIMA (Seasonal ARIMA) would be a better pick, as it adds seasonal components on top of ARIMA’s features.</w:t>
      </w:r>
    </w:p>
    <w:p w14:paraId="7CA005E9" w14:textId="77777777" w:rsidR="00005BFC" w:rsidRPr="00CE2575" w:rsidRDefault="00005BFC" w:rsidP="00CE257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3C81AA" w14:textId="1F83BA22" w:rsidR="00005BFC" w:rsidRPr="00D84CCF" w:rsidRDefault="00D84CCF" w:rsidP="00CE257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84CCF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5C7CB8B" w14:textId="2E02FC0B" w:rsidR="00005BFC" w:rsidRPr="00005BFC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  <w:r w:rsidRPr="00005BFC">
        <w:rPr>
          <w:rFonts w:ascii="Times New Roman" w:hAnsi="Times New Roman" w:cs="Times New Roman"/>
          <w:sz w:val="24"/>
          <w:szCs w:val="24"/>
        </w:rPr>
        <w:t xml:space="preserve">This dataset presents an excellent opportunity for in-depth time series analysis. The presence of both trend and seasonality makes it suitable for predictive </w:t>
      </w:r>
      <w:r w:rsidRPr="00005BFC">
        <w:rPr>
          <w:rFonts w:ascii="Times New Roman" w:hAnsi="Times New Roman" w:cs="Times New Roman"/>
          <w:sz w:val="24"/>
          <w:szCs w:val="24"/>
        </w:rPr>
        <w:t>modelling</w:t>
      </w:r>
      <w:r w:rsidRPr="00005BFC">
        <w:rPr>
          <w:rFonts w:ascii="Times New Roman" w:hAnsi="Times New Roman" w:cs="Times New Roman"/>
          <w:sz w:val="24"/>
          <w:szCs w:val="24"/>
        </w:rPr>
        <w:t>.</w:t>
      </w:r>
    </w:p>
    <w:p w14:paraId="5080B14D" w14:textId="3CD87E6B" w:rsidR="00CA2D3B" w:rsidRPr="00CE2575" w:rsidRDefault="00005BFC" w:rsidP="00005BFC">
      <w:pPr>
        <w:jc w:val="both"/>
        <w:rPr>
          <w:rFonts w:ascii="Times New Roman" w:hAnsi="Times New Roman" w:cs="Times New Roman"/>
          <w:sz w:val="24"/>
          <w:szCs w:val="24"/>
        </w:rPr>
      </w:pPr>
      <w:r w:rsidRPr="00005BFC">
        <w:rPr>
          <w:rFonts w:ascii="Times New Roman" w:hAnsi="Times New Roman" w:cs="Times New Roman"/>
          <w:sz w:val="24"/>
          <w:szCs w:val="24"/>
        </w:rPr>
        <w:t xml:space="preserve">Further steps in this study will involve feature engineering, model selection, and evaluation to optimize forecasting accuracy. Ultimately, this analysis aims to provide valuable insights into </w:t>
      </w:r>
      <w:proofErr w:type="gramStart"/>
      <w:r w:rsidRPr="00005BFC">
        <w:rPr>
          <w:rFonts w:ascii="Times New Roman" w:hAnsi="Times New Roman" w:cs="Times New Roman"/>
          <w:sz w:val="24"/>
          <w:szCs w:val="24"/>
        </w:rPr>
        <w:t>Gold</w:t>
      </w:r>
      <w:proofErr w:type="gramEnd"/>
      <w:r w:rsidRPr="00005BFC">
        <w:rPr>
          <w:rFonts w:ascii="Times New Roman" w:hAnsi="Times New Roman" w:cs="Times New Roman"/>
          <w:sz w:val="24"/>
          <w:szCs w:val="24"/>
        </w:rPr>
        <w:t xml:space="preserve"> ETF price movements, equipping investors with data-driven predictive analytics for informed decision-making.</w:t>
      </w:r>
    </w:p>
    <w:sectPr w:rsidR="00CA2D3B" w:rsidRPr="00CE257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63A36" w14:textId="77777777" w:rsidR="00CF442D" w:rsidRDefault="00CF442D" w:rsidP="00D37496">
      <w:pPr>
        <w:spacing w:after="0" w:line="240" w:lineRule="auto"/>
      </w:pPr>
      <w:r>
        <w:separator/>
      </w:r>
    </w:p>
  </w:endnote>
  <w:endnote w:type="continuationSeparator" w:id="0">
    <w:p w14:paraId="363C80B2" w14:textId="77777777" w:rsidR="00CF442D" w:rsidRDefault="00CF442D" w:rsidP="00D3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91051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9BE79C5" w14:textId="644082CB" w:rsidR="00CE2575" w:rsidRDefault="00CE257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0681077" w14:textId="77777777" w:rsidR="00CE2575" w:rsidRDefault="00CE25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B0361" w14:textId="77777777" w:rsidR="00CF442D" w:rsidRDefault="00CF442D" w:rsidP="00D37496">
      <w:pPr>
        <w:spacing w:after="0" w:line="240" w:lineRule="auto"/>
      </w:pPr>
      <w:r>
        <w:separator/>
      </w:r>
    </w:p>
  </w:footnote>
  <w:footnote w:type="continuationSeparator" w:id="0">
    <w:p w14:paraId="34B29E3A" w14:textId="77777777" w:rsidR="00CF442D" w:rsidRDefault="00CF442D" w:rsidP="00D3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94536" w14:textId="5241B2BE" w:rsidR="00D37496" w:rsidRDefault="00CE2575">
    <w:pPr>
      <w:pStyle w:val="Header"/>
    </w:pPr>
    <w:r>
      <w:t>Project Proposal</w:t>
    </w:r>
    <w:r w:rsidR="00D37496">
      <w:ptab w:relativeTo="margin" w:alignment="center" w:leader="none"/>
    </w:r>
    <w:r w:rsidR="00D37496">
      <w:t>GWID: G36308827</w:t>
    </w:r>
    <w:r w:rsidR="00D37496">
      <w:ptab w:relativeTo="margin" w:alignment="right" w:leader="none"/>
    </w:r>
    <w:r w:rsidR="00D37496">
      <w:t>DATS_6313_10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22F49"/>
    <w:multiLevelType w:val="multilevel"/>
    <w:tmpl w:val="93AC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3958BC"/>
    <w:multiLevelType w:val="multilevel"/>
    <w:tmpl w:val="ECE0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E85DE8"/>
    <w:multiLevelType w:val="multilevel"/>
    <w:tmpl w:val="98D4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092683"/>
    <w:multiLevelType w:val="hybridMultilevel"/>
    <w:tmpl w:val="503A5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8912753">
    <w:abstractNumId w:val="2"/>
  </w:num>
  <w:num w:numId="2" w16cid:durableId="683359312">
    <w:abstractNumId w:val="1"/>
  </w:num>
  <w:num w:numId="3" w16cid:durableId="1882160342">
    <w:abstractNumId w:val="0"/>
  </w:num>
  <w:num w:numId="4" w16cid:durableId="485635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CF"/>
    <w:rsid w:val="00005BFC"/>
    <w:rsid w:val="000A4001"/>
    <w:rsid w:val="004E5148"/>
    <w:rsid w:val="00693093"/>
    <w:rsid w:val="00770BE8"/>
    <w:rsid w:val="0080552D"/>
    <w:rsid w:val="00870B06"/>
    <w:rsid w:val="008A321E"/>
    <w:rsid w:val="00A15B39"/>
    <w:rsid w:val="00B7276F"/>
    <w:rsid w:val="00BE3D23"/>
    <w:rsid w:val="00C27932"/>
    <w:rsid w:val="00C63CB7"/>
    <w:rsid w:val="00CA2D3B"/>
    <w:rsid w:val="00CD6406"/>
    <w:rsid w:val="00CE2575"/>
    <w:rsid w:val="00CF442D"/>
    <w:rsid w:val="00D37496"/>
    <w:rsid w:val="00D84CCF"/>
    <w:rsid w:val="00D87727"/>
    <w:rsid w:val="00E2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6DDC"/>
  <w15:chartTrackingRefBased/>
  <w15:docId w15:val="{D3178489-9DAC-4551-9D03-50E4D2622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C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C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C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C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C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C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C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C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C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C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C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496"/>
  </w:style>
  <w:style w:type="paragraph" w:styleId="Footer">
    <w:name w:val="footer"/>
    <w:basedOn w:val="Normal"/>
    <w:link w:val="FooterChar"/>
    <w:uiPriority w:val="99"/>
    <w:unhideWhenUsed/>
    <w:rsid w:val="00D374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496"/>
  </w:style>
  <w:style w:type="character" w:styleId="Hyperlink">
    <w:name w:val="Hyperlink"/>
    <w:basedOn w:val="DefaultParagraphFont"/>
    <w:uiPriority w:val="99"/>
    <w:unhideWhenUsed/>
    <w:rsid w:val="00CE25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5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257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6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franciscogcc/financial-data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4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Nathani, Hussain</dc:creator>
  <cp:keywords/>
  <dc:description/>
  <cp:lastModifiedBy>Nathani, Hussain</cp:lastModifiedBy>
  <cp:revision>10</cp:revision>
  <cp:lastPrinted>2025-03-04T16:47:00Z</cp:lastPrinted>
  <dcterms:created xsi:type="dcterms:W3CDTF">2025-02-22T22:21:00Z</dcterms:created>
  <dcterms:modified xsi:type="dcterms:W3CDTF">2025-03-04T16:47:00Z</dcterms:modified>
</cp:coreProperties>
</file>