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Digitale SHK Anfragen sinnvoll vorsortieren</w:t>
      </w:r>
    </w:p>
    <w:p>
      <w:pPr>
        <w:pStyle w:val="Subtitle"/>
      </w:pPr>
      <w:r>
        <w:t>Welche Angaben helfen und wann ein Mensch übernehmen muss</w:t>
      </w:r>
    </w:p>
    <w:p>
      <w:pPr>
        <w:spacing w:before="0" w:after="160" w:line="271" w:lineRule="auto"/>
      </w:pPr>
      <w:r>
        <w:rPr>
          <w:rFonts w:ascii="Arial" w:hAnsi="Arial" w:eastAsia="Arial"/>
          <w:b/>
          <w:color w:val="404040"/>
          <w:sz w:val="20"/>
        </w:rPr>
        <w:t>Gastbeitrag von Hussam Alabar  |  ZunftEcho</w:t>
      </w:r>
    </w:p>
    <w:p>
      <w:pPr>
        <w:spacing w:before="0" w:after="220" w:line="264" w:lineRule="auto"/>
      </w:pPr>
      <w:r>
        <w:rPr>
          <w:rFonts w:ascii="Arial" w:hAnsi="Arial" w:eastAsia="Arial"/>
          <w:i/>
          <w:color w:val="555555"/>
          <w:sz w:val="18"/>
        </w:rPr>
        <w:t>Transparenzhinweis  Der Autor entwickelt mit ZunftEcho einen Website-Anfrageassistenten für kleine SHK-Betriebe. Der Beitrag beschreibt anbieterneutrale Auswahlkriterien und Prozessgrenzen. Er enthält keine Kunden- oder Wirkungsnachweise.</w:t>
      </w:r>
    </w:p>
    <w:p>
      <w:pPr>
        <w:spacing w:before="0" w:after="120" w:line="271" w:lineRule="auto"/>
      </w:pPr>
      <w:r>
        <w:rPr>
          <w:rFonts w:ascii="Arial" w:hAnsi="Arial" w:eastAsia="Arial"/>
          <w:color w:val="000000"/>
          <w:sz w:val="21"/>
        </w:rPr>
        <w:t>Eine Website-Anfrage klingt zunächst einfach: Name, E-Mail-Adresse, Nachricht, absenden. Für einen SHK-Betrieb beginnt die eigentliche Arbeit jedoch oft erst danach. Geht es um eine Wartung, eine Reparatur oder eine Modernisierung? Liegt das Objekt im Einsatzgebiet? Ist die Situation sicher? Welche Anlage ist vorhanden? Und erwartet die anfragende Person bereits einen verbindlichen Termin?</w:t>
      </w:r>
    </w:p>
    <w:p>
      <w:pPr>
        <w:spacing w:before="0" w:after="120" w:line="271" w:lineRule="auto"/>
      </w:pPr>
      <w:r>
        <w:rPr>
          <w:rFonts w:ascii="Arial" w:hAnsi="Arial" w:eastAsia="Arial"/>
          <w:color w:val="000000"/>
          <w:sz w:val="21"/>
        </w:rPr>
        <w:t>Digitale Anfrageaufnahme kann solche Rückfragen reduzieren, wenn sie fachlich sinnvoll aufgebaut ist. Sie sollte aber nicht versuchen, den Auftrag aus der Ferne zu diagnostizieren oder automatisch zu versprechen. Ihr Zweck ist enger: Informationen so vorzustrukturieren, dass ein Mensch im Betrieb schneller entscheiden kann, was als Nächstes zu tun ist.</w:t>
      </w:r>
    </w:p>
    <w:p>
      <w:pPr>
        <w:pStyle w:val="Heading1"/>
        <w:keepNext/>
      </w:pPr>
      <w:r>
        <w:t>Erst den Anwendungsfall trennen, dann die Fragen stellen</w:t>
      </w:r>
    </w:p>
    <w:p>
      <w:pPr>
        <w:spacing w:before="0" w:after="120" w:line="271" w:lineRule="auto"/>
      </w:pPr>
      <w:r>
        <w:rPr>
          <w:rFonts w:ascii="Arial" w:hAnsi="Arial" w:eastAsia="Arial"/>
          <w:color w:val="000000"/>
          <w:sz w:val="21"/>
        </w:rPr>
        <w:t>Ein einziges langes Formular für jede Anfrage führt schnell zu unnötigen Pflichtfeldern. Praktischer ist eine frühe Auswahl des Anliegens. Für viele Betriebe reichen zunächst drei Hauptwege:</w:t>
      </w:r>
    </w:p>
    <w:p>
      <w:pPr>
        <w:pStyle w:val="ListNumber"/>
        <w:spacing w:before="0" w:after="50" w:line="264" w:lineRule="auto"/>
        <w:ind w:left="340" w:hanging="170"/>
      </w:pPr>
      <w:r>
        <w:rPr>
          <w:rFonts w:ascii="Arial" w:hAnsi="Arial" w:eastAsia="Arial"/>
          <w:color w:val="000000"/>
          <w:sz w:val="20"/>
        </w:rPr>
        <w:t>Wartung: planbare Prüfung oder Pflege einer bestehenden Anlage.</w:t>
      </w:r>
    </w:p>
    <w:p>
      <w:pPr>
        <w:pStyle w:val="ListNumber"/>
        <w:spacing w:before="0" w:after="50" w:line="264" w:lineRule="auto"/>
        <w:ind w:left="340" w:hanging="170"/>
      </w:pPr>
      <w:r>
        <w:rPr>
          <w:rFonts w:ascii="Arial" w:hAnsi="Arial" w:eastAsia="Arial"/>
          <w:color w:val="000000"/>
          <w:sz w:val="20"/>
        </w:rPr>
        <w:t>Reparatur: eine Störung oder ein Defekt, der fachlich eingeordnet werden muss.</w:t>
      </w:r>
    </w:p>
    <w:p>
      <w:pPr>
        <w:pStyle w:val="ListNumber"/>
        <w:spacing w:before="0" w:after="50" w:line="264" w:lineRule="auto"/>
        <w:ind w:left="340" w:hanging="170"/>
      </w:pPr>
      <w:r>
        <w:rPr>
          <w:rFonts w:ascii="Arial" w:hAnsi="Arial" w:eastAsia="Arial"/>
          <w:color w:val="000000"/>
          <w:sz w:val="20"/>
        </w:rPr>
        <w:t>Modernisierung: eine geplante Veränderung, bei der Bestand, Ziel und Zeithorizont wichtig sind.</w:t>
      </w:r>
    </w:p>
    <w:p>
      <w:pPr>
        <w:spacing w:before="0" w:after="120" w:line="271" w:lineRule="auto"/>
      </w:pPr>
      <w:r>
        <w:rPr>
          <w:rFonts w:ascii="Arial" w:hAnsi="Arial" w:eastAsia="Arial"/>
          <w:color w:val="000000"/>
          <w:sz w:val="21"/>
        </w:rPr>
        <w:t>Diese Trennung entscheidet darüber, welche Folgefragen wirklich nützlich sind. Der Zentralverband Sanitär Heizung Klima zeigt mit seinen digitalen Abfragestrecken ebenfalls, dass je nach Thema unterschiedliche Fragen zu Gebäudetechnik und gewünschter Leistung sinnvoll sind. Das Prinzip lässt sich unabhängig vom eingesetzten System übernehmen: nicht alles abfragen, sondern das, was für den nächsten Bearbeitungsschritt gebraucht wird.</w:t>
      </w:r>
    </w:p>
    <w:p>
      <w:pPr>
        <w:pStyle w:val="Heading1"/>
        <w:keepNext/>
      </w:pPr>
      <w:r>
        <w:t>Sieben Angaben, die eine Erstanfrage bearbeitbar machen</w:t>
      </w:r>
    </w:p>
    <w:p>
      <w:pPr>
        <w:spacing w:before="0" w:after="120" w:line="271" w:lineRule="auto"/>
      </w:pPr>
      <w:r>
        <w:rPr>
          <w:rFonts w:ascii="Arial" w:hAnsi="Arial" w:eastAsia="Arial"/>
          <w:color w:val="000000"/>
          <w:sz w:val="21"/>
        </w:rPr>
        <w:t>Für eine erste Sichtung sind meist folgende Informationen hilfreich:</w:t>
      </w:r>
    </w:p>
    <w:p>
      <w:pPr>
        <w:pStyle w:val="ListBullet"/>
        <w:spacing w:before="0" w:after="50" w:line="264" w:lineRule="auto"/>
        <w:ind w:left="340" w:hanging="170"/>
      </w:pPr>
      <w:r>
        <w:rPr>
          <w:rFonts w:ascii="Arial" w:hAnsi="Arial" w:eastAsia="Arial"/>
          <w:b/>
          <w:color w:val="000000"/>
          <w:sz w:val="20"/>
        </w:rPr>
        <w:t>Anliegen:</w:t>
      </w:r>
      <w:r>
        <w:rPr>
          <w:rFonts w:ascii="Arial" w:hAnsi="Arial" w:eastAsia="Arial"/>
          <w:color w:val="000000"/>
          <w:sz w:val="20"/>
        </w:rPr>
        <w:t xml:space="preserve"> Wartung, Reparatur, Modernisierung oder ein anderes Thema.</w:t>
      </w:r>
    </w:p>
    <w:p>
      <w:pPr>
        <w:pStyle w:val="ListBullet"/>
        <w:spacing w:before="0" w:after="50" w:line="264" w:lineRule="auto"/>
        <w:ind w:left="340" w:hanging="170"/>
      </w:pPr>
      <w:r>
        <w:rPr>
          <w:rFonts w:ascii="Arial" w:hAnsi="Arial" w:eastAsia="Arial"/>
          <w:b/>
          <w:color w:val="000000"/>
          <w:sz w:val="20"/>
        </w:rPr>
        <w:t>Einsatzort:</w:t>
      </w:r>
      <w:r>
        <w:rPr>
          <w:rFonts w:ascii="Arial" w:hAnsi="Arial" w:eastAsia="Arial"/>
          <w:color w:val="000000"/>
          <w:sz w:val="20"/>
        </w:rPr>
        <w:t xml:space="preserve"> mindestens Postleitzahl und Ort, damit der Betrieb sein Einsatzgebiet prüfen kann.</w:t>
      </w:r>
    </w:p>
    <w:p>
      <w:pPr>
        <w:pStyle w:val="ListBullet"/>
        <w:spacing w:before="0" w:after="50" w:line="264" w:lineRule="auto"/>
        <w:ind w:left="340" w:hanging="170"/>
      </w:pPr>
      <w:r>
        <w:rPr>
          <w:rFonts w:ascii="Arial" w:hAnsi="Arial" w:eastAsia="Arial"/>
          <w:b/>
          <w:color w:val="000000"/>
          <w:sz w:val="20"/>
        </w:rPr>
        <w:t>Objekt:</w:t>
      </w:r>
      <w:r>
        <w:rPr>
          <w:rFonts w:ascii="Arial" w:hAnsi="Arial" w:eastAsia="Arial"/>
          <w:color w:val="000000"/>
          <w:sz w:val="20"/>
        </w:rPr>
        <w:t xml:space="preserve"> zum Beispiel Einfamilienhaus, Mehrfamilienhaus, Wohnung oder Gewerbeeinheit.</w:t>
      </w:r>
    </w:p>
    <w:p>
      <w:pPr>
        <w:pStyle w:val="ListBullet"/>
        <w:spacing w:before="0" w:after="50" w:line="264" w:lineRule="auto"/>
        <w:ind w:left="340" w:hanging="170"/>
      </w:pPr>
      <w:r>
        <w:rPr>
          <w:rFonts w:ascii="Arial" w:hAnsi="Arial" w:eastAsia="Arial"/>
          <w:b/>
          <w:color w:val="000000"/>
          <w:sz w:val="20"/>
        </w:rPr>
        <w:t>Vorhandene Anlage:</w:t>
      </w:r>
      <w:r>
        <w:rPr>
          <w:rFonts w:ascii="Arial" w:hAnsi="Arial" w:eastAsia="Arial"/>
          <w:color w:val="000000"/>
          <w:sz w:val="20"/>
        </w:rPr>
        <w:t xml:space="preserve"> Art, Hersteller und Modell, soweit bekannt. Unbekannt muss als Antwort möglich bleiben.</w:t>
      </w:r>
    </w:p>
    <w:p>
      <w:pPr>
        <w:pStyle w:val="ListBullet"/>
        <w:spacing w:before="0" w:after="50" w:line="264" w:lineRule="auto"/>
        <w:ind w:left="340" w:hanging="170"/>
      </w:pPr>
      <w:r>
        <w:rPr>
          <w:rFonts w:ascii="Arial" w:hAnsi="Arial" w:eastAsia="Arial"/>
          <w:b/>
          <w:color w:val="000000"/>
          <w:sz w:val="20"/>
        </w:rPr>
        <w:t>Kurze Beschreibung:</w:t>
      </w:r>
      <w:r>
        <w:rPr>
          <w:rFonts w:ascii="Arial" w:hAnsi="Arial" w:eastAsia="Arial"/>
          <w:color w:val="000000"/>
          <w:sz w:val="20"/>
        </w:rPr>
        <w:t xml:space="preserve"> Was wurde beobachtet, seit wann und unter welchen Umständen?</w:t>
      </w:r>
    </w:p>
    <w:p>
      <w:pPr>
        <w:pStyle w:val="ListBullet"/>
        <w:spacing w:before="0" w:after="50" w:line="264" w:lineRule="auto"/>
        <w:ind w:left="340" w:hanging="170"/>
      </w:pPr>
      <w:r>
        <w:rPr>
          <w:rFonts w:ascii="Arial" w:hAnsi="Arial" w:eastAsia="Arial"/>
          <w:b/>
          <w:color w:val="000000"/>
          <w:sz w:val="20"/>
        </w:rPr>
        <w:t>Dringlichkeit und Sicherheit:</w:t>
      </w:r>
      <w:r>
        <w:rPr>
          <w:rFonts w:ascii="Arial" w:hAnsi="Arial" w:eastAsia="Arial"/>
          <w:color w:val="000000"/>
          <w:sz w:val="20"/>
        </w:rPr>
        <w:t xml:space="preserve"> Gibt es Hinweise, die nicht in eine normale Online-Warteschlange gehören?</w:t>
      </w:r>
    </w:p>
    <w:p>
      <w:pPr>
        <w:pStyle w:val="ListBullet"/>
        <w:spacing w:before="0" w:after="50" w:line="264" w:lineRule="auto"/>
        <w:ind w:left="340" w:hanging="170"/>
      </w:pPr>
      <w:r>
        <w:rPr>
          <w:rFonts w:ascii="Arial" w:hAnsi="Arial" w:eastAsia="Arial"/>
          <w:b/>
          <w:color w:val="000000"/>
          <w:sz w:val="20"/>
        </w:rPr>
        <w:t>Erreichbarkeit:</w:t>
      </w:r>
      <w:r>
        <w:rPr>
          <w:rFonts w:ascii="Arial" w:hAnsi="Arial" w:eastAsia="Arial"/>
          <w:color w:val="000000"/>
          <w:sz w:val="20"/>
        </w:rPr>
        <w:t xml:space="preserve"> gewünschter schriftlicher Rückkanal und sinnvolle Zeitfenster für Rückfragen.</w:t>
      </w:r>
    </w:p>
    <w:p>
      <w:pPr>
        <w:spacing w:before="0" w:after="120" w:line="271" w:lineRule="auto"/>
      </w:pPr>
      <w:r>
        <w:rPr>
          <w:rFonts w:ascii="Arial" w:hAnsi="Arial" w:eastAsia="Arial"/>
          <w:color w:val="000000"/>
          <w:sz w:val="21"/>
        </w:rPr>
        <w:t>Nicht jede Angabe muss ein Pflichtfeld sein. Wer Hersteller, Baujahr oder Modell nicht kennt, sollte die Anfrage trotzdem abschicken können. Ein gut aufgebauter Prozess unterscheidet zwischen „für die erste Prüfung notwendig“ und „hilfreich, falls vorhanden“.</w:t>
      </w:r>
    </w:p>
    <w:p>
      <w:pPr>
        <w:pStyle w:val="Heading1"/>
        <w:keepNext/>
      </w:pPr>
      <w:r>
        <w:t>Wartung, Reparatur und Modernisierung brauchen unterschiedliche Details</w:t>
      </w:r>
    </w:p>
    <w:p>
      <w:pPr>
        <w:spacing w:before="0" w:after="120" w:line="271" w:lineRule="auto"/>
      </w:pPr>
      <w:r>
        <w:rPr>
          <w:rFonts w:ascii="Arial" w:hAnsi="Arial" w:eastAsia="Arial"/>
          <w:color w:val="000000"/>
          <w:sz w:val="21"/>
        </w:rPr>
        <w:t xml:space="preserve">Bei einer </w:t>
      </w:r>
      <w:r>
        <w:rPr>
          <w:rFonts w:ascii="Arial" w:hAnsi="Arial" w:eastAsia="Arial"/>
          <w:b/>
          <w:color w:val="000000"/>
          <w:sz w:val="21"/>
        </w:rPr>
        <w:t>Wartungsanfrage</w:t>
      </w:r>
      <w:r>
        <w:rPr>
          <w:rFonts w:ascii="Arial" w:hAnsi="Arial" w:eastAsia="Arial"/>
          <w:color w:val="000000"/>
          <w:sz w:val="21"/>
        </w:rPr>
        <w:t xml:space="preserve"> können Anlagentyp, letzter Wartungszeitpunkt und ein gewünschter Zeitraum helfen. Der Zeitraum ist dabei nur ein Wunsch, noch keine Terminbestätigung.</w:t>
      </w:r>
    </w:p>
    <w:p>
      <w:pPr>
        <w:spacing w:before="0" w:after="120" w:line="271" w:lineRule="auto"/>
      </w:pPr>
      <w:r>
        <w:rPr>
          <w:rFonts w:ascii="Arial" w:hAnsi="Arial" w:eastAsia="Arial"/>
          <w:color w:val="000000"/>
          <w:sz w:val="21"/>
        </w:rPr>
        <w:t xml:space="preserve">Bei einer </w:t>
      </w:r>
      <w:r>
        <w:rPr>
          <w:rFonts w:ascii="Arial" w:hAnsi="Arial" w:eastAsia="Arial"/>
          <w:b/>
          <w:color w:val="000000"/>
          <w:sz w:val="21"/>
        </w:rPr>
        <w:t>Reparaturanfrage</w:t>
      </w:r>
      <w:r>
        <w:rPr>
          <w:rFonts w:ascii="Arial" w:hAnsi="Arial" w:eastAsia="Arial"/>
          <w:color w:val="000000"/>
          <w:sz w:val="21"/>
        </w:rPr>
        <w:t xml:space="preserve"> sind das beobachtete Verhalten, eine sichtbare Fehlermeldung und die Frage wichtig, ob die Anlage noch teilweise funktioniert. Die digitale Abfrage sammelt Beobachtungen; sie stellt keine technische Diagnose.</w:t>
      </w:r>
    </w:p>
    <w:p>
      <w:pPr>
        <w:spacing w:before="0" w:after="120" w:line="271" w:lineRule="auto"/>
      </w:pPr>
      <w:r>
        <w:rPr>
          <w:rFonts w:ascii="Arial" w:hAnsi="Arial" w:eastAsia="Arial"/>
          <w:color w:val="000000"/>
          <w:sz w:val="21"/>
        </w:rPr>
        <w:t xml:space="preserve">Bei einer </w:t>
      </w:r>
      <w:r>
        <w:rPr>
          <w:rFonts w:ascii="Arial" w:hAnsi="Arial" w:eastAsia="Arial"/>
          <w:b/>
          <w:color w:val="000000"/>
          <w:sz w:val="21"/>
        </w:rPr>
        <w:t>Modernisierungsanfrage</w:t>
      </w:r>
      <w:r>
        <w:rPr>
          <w:rFonts w:ascii="Arial" w:hAnsi="Arial" w:eastAsia="Arial"/>
          <w:color w:val="000000"/>
          <w:sz w:val="21"/>
        </w:rPr>
        <w:t xml:space="preserve"> stehen eher Gebäudeart, vorhandenes System, grobe Ausgangssituation, Ziel und zeitlicher Horizont im Vordergrund. Eine vollständige Planung oder belastbare Preisangabe lässt sich daraus in der Regel noch nicht ableiten.</w:t>
      </w:r>
    </w:p>
    <w:p>
      <w:pPr>
        <w:pStyle w:val="Heading1"/>
        <w:keepNext/>
      </w:pPr>
      <w:r>
        <w:t>Fotos helfen wenn sie freiwillig und gezielt bleiben</w:t>
      </w:r>
    </w:p>
    <w:p>
      <w:pPr>
        <w:spacing w:before="0" w:after="120" w:line="271" w:lineRule="auto"/>
      </w:pPr>
      <w:r>
        <w:rPr>
          <w:rFonts w:ascii="Arial" w:hAnsi="Arial" w:eastAsia="Arial"/>
          <w:color w:val="000000"/>
          <w:sz w:val="21"/>
        </w:rPr>
        <w:t>Ein Übersichtsbild, ein lesbares Typenschild oder eine sichtbare Fehlermeldung kann Rückfragen vermeiden. Daraus folgt jedoch nicht, dass jede Anfrage Fotos benötigt. Sinnvoll sind klare Hinweise:</w:t>
      </w:r>
    </w:p>
    <w:p>
      <w:pPr>
        <w:pStyle w:val="ListBullet"/>
        <w:spacing w:before="0" w:after="50" w:line="264" w:lineRule="auto"/>
        <w:ind w:left="340" w:hanging="170"/>
      </w:pPr>
      <w:r>
        <w:rPr>
          <w:rFonts w:ascii="Arial" w:hAnsi="Arial" w:eastAsia="Arial"/>
          <w:color w:val="000000"/>
          <w:sz w:val="20"/>
        </w:rPr>
        <w:t>Fotos sind freiwillig.</w:t>
      </w:r>
    </w:p>
    <w:p>
      <w:pPr>
        <w:pStyle w:val="ListBullet"/>
        <w:spacing w:before="0" w:after="50" w:line="264" w:lineRule="auto"/>
        <w:ind w:left="340" w:hanging="170"/>
      </w:pPr>
      <w:r>
        <w:rPr>
          <w:rFonts w:ascii="Arial" w:hAnsi="Arial" w:eastAsia="Arial"/>
          <w:color w:val="000000"/>
          <w:sz w:val="20"/>
        </w:rPr>
        <w:t>Es sollen nur sicher zugängliche Bereiche fotografiert werden.</w:t>
      </w:r>
    </w:p>
    <w:p>
      <w:pPr>
        <w:pStyle w:val="ListBullet"/>
        <w:spacing w:before="0" w:after="50" w:line="264" w:lineRule="auto"/>
        <w:ind w:left="340" w:hanging="170"/>
      </w:pPr>
      <w:r>
        <w:rPr>
          <w:rFonts w:ascii="Arial" w:hAnsi="Arial" w:eastAsia="Arial"/>
          <w:color w:val="000000"/>
          <w:sz w:val="20"/>
        </w:rPr>
        <w:t>Unbeteiligte Personen und unnötige persönliche Unterlagen gehören nicht ins Bild.</w:t>
      </w:r>
    </w:p>
    <w:p>
      <w:pPr>
        <w:pStyle w:val="ListBullet"/>
        <w:spacing w:before="0" w:after="50" w:line="264" w:lineRule="auto"/>
        <w:ind w:left="340" w:hanging="170"/>
      </w:pPr>
      <w:r>
        <w:rPr>
          <w:rFonts w:ascii="Arial" w:hAnsi="Arial" w:eastAsia="Arial"/>
          <w:color w:val="000000"/>
          <w:sz w:val="20"/>
        </w:rPr>
        <w:t>Ein Foto ersetzt weder Prüfung vor Ort noch fachliche Diagnose.</w:t>
      </w:r>
    </w:p>
    <w:p>
      <w:pPr>
        <w:spacing w:before="0" w:after="120" w:line="271" w:lineRule="auto"/>
      </w:pPr>
      <w:r>
        <w:rPr>
          <w:rFonts w:ascii="Arial" w:hAnsi="Arial" w:eastAsia="Arial"/>
          <w:color w:val="000000"/>
          <w:sz w:val="21"/>
        </w:rPr>
        <w:t>Auch bei Textfeldern gilt: nur Daten erheben, die für den angegebenen Zweck benötigt werden. Dieser Grundsatz der Datenminimierung ist in Artikel 5 der Datenschutz-Grundverordnung verankert. Welche Rechtsgrundlage, Speicherfrist und Datenschutzhinweise im konkreten Betrieb erforderlich sind, muss separat geprüft werden; ein Anfrageformular allein löst diese Fragen nicht.</w:t>
      </w:r>
    </w:p>
    <w:p>
      <w:pPr>
        <w:pStyle w:val="Heading1"/>
        <w:keepNext/>
      </w:pPr>
      <w:r>
        <w:t>Sicherheitsfälle dürfen nicht in der normalen Warteschlange landen</w:t>
      </w:r>
    </w:p>
    <w:p>
      <w:pPr>
        <w:spacing w:before="0" w:after="120" w:line="271" w:lineRule="auto"/>
      </w:pPr>
      <w:r>
        <w:rPr>
          <w:rFonts w:ascii="Arial" w:hAnsi="Arial" w:eastAsia="Arial"/>
          <w:color w:val="000000"/>
          <w:sz w:val="21"/>
        </w:rPr>
        <w:t>Die digitale Erfassung braucht einen klaren Ausstieg für Gefahrensituationen. Bei Gasgeruch etwa verweist der DVGW darauf, Zündquellen zu vermeiden, das Gebäude zu verlassen und den Bereitschaftsdienst beziehungsweise die Feuerwehr von außerhalb zu verständigen. Eine Website-Anfrage ist dafür nicht der richtige Kanal.</w:t>
      </w:r>
    </w:p>
    <w:p>
      <w:pPr>
        <w:spacing w:before="0" w:after="120" w:line="271" w:lineRule="auto"/>
      </w:pPr>
      <w:r>
        <w:rPr>
          <w:rFonts w:ascii="Arial" w:hAnsi="Arial" w:eastAsia="Arial"/>
          <w:color w:val="000000"/>
          <w:sz w:val="21"/>
        </w:rPr>
        <w:t>Entscheidend ist nicht, dass ein Formular jeden Notfall automatisch erkennt. Es muss vielmehr verständlich anzeigen, dass akute Gefahren nicht online abgearbeitet werden und welche offizielle Hilfe stattdessen zu nutzen ist. Solche Hinweise sollten sichtbar sein, bevor eine anfragende Person auf eine spätere Antwort wartet.</w:t>
      </w:r>
    </w:p>
    <w:p>
      <w:pPr>
        <w:pStyle w:val="Heading1"/>
        <w:keepNext/>
      </w:pPr>
      <w:r>
        <w:t>Eine Anfrage ist weder Termin noch Angebot</w:t>
      </w:r>
    </w:p>
    <w:p>
      <w:pPr>
        <w:spacing w:before="0" w:after="120" w:line="271" w:lineRule="auto"/>
      </w:pPr>
      <w:r>
        <w:rPr>
          <w:rFonts w:ascii="Arial" w:hAnsi="Arial" w:eastAsia="Arial"/>
          <w:color w:val="000000"/>
          <w:sz w:val="21"/>
        </w:rPr>
        <w:t>Missverständnisse entstehen häufig am Ende des Prozesses. Eine gute Bestätigung sagt deshalb ausdrücklich:</w:t>
      </w:r>
    </w:p>
    <w:p>
      <w:pPr>
        <w:pStyle w:val="ListBullet"/>
        <w:spacing w:before="0" w:after="50" w:line="264" w:lineRule="auto"/>
        <w:ind w:left="340" w:hanging="170"/>
      </w:pPr>
      <w:r>
        <w:rPr>
          <w:rFonts w:ascii="Arial" w:hAnsi="Arial" w:eastAsia="Arial"/>
          <w:color w:val="000000"/>
          <w:sz w:val="20"/>
        </w:rPr>
        <w:t>Die Anfrage ist eingegangen.</w:t>
      </w:r>
    </w:p>
    <w:p>
      <w:pPr>
        <w:pStyle w:val="ListBullet"/>
        <w:spacing w:before="0" w:after="50" w:line="264" w:lineRule="auto"/>
        <w:ind w:left="340" w:hanging="170"/>
      </w:pPr>
      <w:r>
        <w:rPr>
          <w:rFonts w:ascii="Arial" w:hAnsi="Arial" w:eastAsia="Arial"/>
          <w:color w:val="000000"/>
          <w:sz w:val="20"/>
        </w:rPr>
        <w:t>Der Betrieb prüft Inhalt, Einsatzgebiet und Verfügbarkeit.</w:t>
      </w:r>
    </w:p>
    <w:p>
      <w:pPr>
        <w:pStyle w:val="ListBullet"/>
        <w:spacing w:before="0" w:after="50" w:line="264" w:lineRule="auto"/>
        <w:ind w:left="340" w:hanging="170"/>
      </w:pPr>
      <w:r>
        <w:rPr>
          <w:rFonts w:ascii="Arial" w:hAnsi="Arial" w:eastAsia="Arial"/>
          <w:color w:val="000000"/>
          <w:sz w:val="20"/>
        </w:rPr>
        <w:t>Ein Termin gilt erst nach ausdrücklicher Bestätigung.</w:t>
      </w:r>
    </w:p>
    <w:p>
      <w:pPr>
        <w:pStyle w:val="ListBullet"/>
        <w:spacing w:before="0" w:after="50" w:line="264" w:lineRule="auto"/>
        <w:ind w:left="340" w:hanging="170"/>
      </w:pPr>
      <w:r>
        <w:rPr>
          <w:rFonts w:ascii="Arial" w:hAnsi="Arial" w:eastAsia="Arial"/>
          <w:color w:val="000000"/>
          <w:sz w:val="20"/>
        </w:rPr>
        <w:t>Preise und technische Aussagen sind erst nach fachlicher Prüfung belastbar.</w:t>
      </w:r>
    </w:p>
    <w:p>
      <w:pPr>
        <w:pStyle w:val="ListBullet"/>
        <w:spacing w:before="0" w:after="50" w:line="264" w:lineRule="auto"/>
        <w:ind w:left="340" w:hanging="170"/>
      </w:pPr>
      <w:r>
        <w:rPr>
          <w:rFonts w:ascii="Arial" w:hAnsi="Arial" w:eastAsia="Arial"/>
          <w:color w:val="000000"/>
          <w:sz w:val="20"/>
        </w:rPr>
        <w:t>Für dringende oder gefährliche Situationen gelten gesonderte Kontaktwege.</w:t>
      </w:r>
    </w:p>
    <w:p>
      <w:pPr>
        <w:spacing w:before="0" w:after="120" w:line="271" w:lineRule="auto"/>
      </w:pPr>
      <w:r>
        <w:rPr>
          <w:rFonts w:ascii="Arial" w:hAnsi="Arial" w:eastAsia="Arial"/>
          <w:color w:val="000000"/>
          <w:sz w:val="21"/>
        </w:rPr>
        <w:t>Diese Abgrenzung schützt beide Seiten. Die anfragende Person weiß, was als Nächstes passiert. Der Betrieb verspricht nichts, was das Team noch nicht geprüft hat.</w:t>
      </w:r>
    </w:p>
    <w:p>
      <w:pPr>
        <w:pStyle w:val="Heading1"/>
        <w:keepNext/>
      </w:pPr>
      <w:r>
        <w:t>Der menschliche Übergabepunkt gehört zum Prozessdesign</w:t>
      </w:r>
    </w:p>
    <w:p>
      <w:pPr>
        <w:spacing w:before="0" w:after="120" w:line="271" w:lineRule="auto"/>
      </w:pPr>
      <w:r>
        <w:rPr>
          <w:rFonts w:ascii="Arial" w:hAnsi="Arial" w:eastAsia="Arial"/>
          <w:color w:val="000000"/>
          <w:sz w:val="21"/>
        </w:rPr>
        <w:t>Digitale Anfrageaufnahme ist keine abgeschlossene Insel. Vor der Einführung sollte feststehen, wer neue Anfragen sieht, wer sie priorisiert und wie Rückfragen beantwortet werden. Eine Übergabe an einen Menschen ist besonders wichtig, wenn:</w:t>
      </w:r>
    </w:p>
    <w:p>
      <w:pPr>
        <w:pStyle w:val="ListBullet"/>
        <w:spacing w:before="0" w:after="50" w:line="264" w:lineRule="auto"/>
        <w:ind w:left="340" w:hanging="170"/>
      </w:pPr>
      <w:r>
        <w:rPr>
          <w:rFonts w:ascii="Arial" w:hAnsi="Arial" w:eastAsia="Arial"/>
          <w:color w:val="000000"/>
          <w:sz w:val="20"/>
        </w:rPr>
        <w:t>die Situation sicherheitsrelevant oder unklar ist,</w:t>
      </w:r>
    </w:p>
    <w:p>
      <w:pPr>
        <w:pStyle w:val="ListBullet"/>
        <w:spacing w:before="0" w:after="50" w:line="264" w:lineRule="auto"/>
        <w:ind w:left="340" w:hanging="170"/>
      </w:pPr>
      <w:r>
        <w:rPr>
          <w:rFonts w:ascii="Arial" w:hAnsi="Arial" w:eastAsia="Arial"/>
          <w:color w:val="000000"/>
          <w:sz w:val="20"/>
        </w:rPr>
        <w:t>die angefragte Leistung nicht eindeutig zum Betrieb passt,</w:t>
      </w:r>
    </w:p>
    <w:p>
      <w:pPr>
        <w:pStyle w:val="ListBullet"/>
        <w:spacing w:before="0" w:after="50" w:line="264" w:lineRule="auto"/>
        <w:ind w:left="340" w:hanging="170"/>
      </w:pPr>
      <w:r>
        <w:rPr>
          <w:rFonts w:ascii="Arial" w:hAnsi="Arial" w:eastAsia="Arial"/>
          <w:color w:val="000000"/>
          <w:sz w:val="20"/>
        </w:rPr>
        <w:t>eine verbindliche Preis- oder Terminaussage erwartet wird,</w:t>
      </w:r>
    </w:p>
    <w:p>
      <w:pPr>
        <w:pStyle w:val="ListBullet"/>
        <w:spacing w:before="0" w:after="50" w:line="264" w:lineRule="auto"/>
        <w:ind w:left="340" w:hanging="170"/>
      </w:pPr>
      <w:r>
        <w:rPr>
          <w:rFonts w:ascii="Arial" w:hAnsi="Arial" w:eastAsia="Arial"/>
          <w:color w:val="000000"/>
          <w:sz w:val="20"/>
        </w:rPr>
        <w:t>ungewöhnliche technische Angaben vorliegen,</w:t>
      </w:r>
    </w:p>
    <w:p>
      <w:pPr>
        <w:pStyle w:val="ListBullet"/>
        <w:spacing w:before="0" w:after="50" w:line="264" w:lineRule="auto"/>
        <w:ind w:left="340" w:hanging="170"/>
      </w:pPr>
      <w:r>
        <w:rPr>
          <w:rFonts w:ascii="Arial" w:hAnsi="Arial" w:eastAsia="Arial"/>
          <w:color w:val="000000"/>
          <w:sz w:val="20"/>
        </w:rPr>
        <w:t>die anfragende Person ausdrücklich persönliche Unterstützung wünscht.</w:t>
      </w:r>
    </w:p>
    <w:p>
      <w:pPr>
        <w:spacing w:before="0" w:after="120" w:line="271" w:lineRule="auto"/>
      </w:pPr>
      <w:r>
        <w:rPr>
          <w:rFonts w:ascii="Arial" w:hAnsi="Arial" w:eastAsia="Arial"/>
          <w:color w:val="000000"/>
          <w:sz w:val="21"/>
        </w:rPr>
        <w:t>Ohne diese Zuständigkeit entsteht nur ein neuer Posteingang. Der Nutzen liegt nicht in der Zahl der abgefragten Felder, sondern darin, dass die Informationen im Arbeitsalltag auffindbar, verständlich und einer nächsten Handlung zugeordnet sind.</w:t>
      </w:r>
    </w:p>
    <w:p>
      <w:pPr>
        <w:pStyle w:val="Heading1"/>
        <w:keepNext/>
      </w:pPr>
      <w:r>
        <w:t>Acht Prüffragen vor der Einführung</w:t>
      </w:r>
    </w:p>
    <w:p>
      <w:pPr>
        <w:spacing w:before="0" w:after="120" w:line="271" w:lineRule="auto"/>
      </w:pPr>
      <w:r>
        <w:rPr>
          <w:rFonts w:ascii="Arial" w:hAnsi="Arial" w:eastAsia="Arial"/>
          <w:color w:val="000000"/>
          <w:sz w:val="21"/>
        </w:rPr>
        <w:t>Vor der Entscheidung für ein Formular, einen geführten Anfrageprozess oder eine andere Lösung helfen acht einfache Fragen:</w:t>
      </w:r>
    </w:p>
    <w:p>
      <w:pPr>
        <w:pStyle w:val="ListNumber"/>
        <w:spacing w:before="0" w:after="50" w:line="264" w:lineRule="auto"/>
        <w:ind w:left="340" w:hanging="170"/>
      </w:pPr>
      <w:r>
        <w:rPr>
          <w:rFonts w:ascii="Arial" w:hAnsi="Arial" w:eastAsia="Arial"/>
          <w:color w:val="000000"/>
          <w:sz w:val="20"/>
        </w:rPr>
        <w:t>Welche Anfragetypen sollen getrennt werden?</w:t>
      </w:r>
    </w:p>
    <w:p>
      <w:pPr>
        <w:pStyle w:val="ListNumber"/>
        <w:spacing w:before="0" w:after="50" w:line="264" w:lineRule="auto"/>
        <w:ind w:left="340" w:hanging="170"/>
      </w:pPr>
      <w:r>
        <w:rPr>
          <w:rFonts w:ascii="Arial" w:hAnsi="Arial" w:eastAsia="Arial"/>
          <w:color w:val="000000"/>
          <w:sz w:val="20"/>
        </w:rPr>
        <w:t>Welche Angaben sind für die erste betriebliche Entscheidung wirklich nötig?</w:t>
      </w:r>
    </w:p>
    <w:p>
      <w:pPr>
        <w:pStyle w:val="ListNumber"/>
        <w:spacing w:before="0" w:after="50" w:line="264" w:lineRule="auto"/>
        <w:ind w:left="340" w:hanging="170"/>
      </w:pPr>
      <w:r>
        <w:rPr>
          <w:rFonts w:ascii="Arial" w:hAnsi="Arial" w:eastAsia="Arial"/>
          <w:color w:val="000000"/>
          <w:sz w:val="20"/>
        </w:rPr>
        <w:t>Welche Felder dürfen freiwillig oder mit „unbekannt“ beantwortet werden?</w:t>
      </w:r>
    </w:p>
    <w:p>
      <w:pPr>
        <w:pStyle w:val="ListNumber"/>
        <w:spacing w:before="0" w:after="50" w:line="264" w:lineRule="auto"/>
        <w:ind w:left="340" w:hanging="170"/>
      </w:pPr>
      <w:r>
        <w:rPr>
          <w:rFonts w:ascii="Arial" w:hAnsi="Arial" w:eastAsia="Arial"/>
          <w:color w:val="000000"/>
          <w:sz w:val="20"/>
        </w:rPr>
        <w:t>Wie werden Gefahren- und Notfallhinweise behandelt?</w:t>
      </w:r>
    </w:p>
    <w:p>
      <w:pPr>
        <w:pStyle w:val="ListNumber"/>
        <w:spacing w:before="0" w:after="50" w:line="264" w:lineRule="auto"/>
        <w:ind w:left="340" w:hanging="170"/>
      </w:pPr>
      <w:r>
        <w:rPr>
          <w:rFonts w:ascii="Arial" w:hAnsi="Arial" w:eastAsia="Arial"/>
          <w:color w:val="000000"/>
          <w:sz w:val="20"/>
        </w:rPr>
        <w:t>Wann und durch wen übernimmt ein Mensch?</w:t>
      </w:r>
    </w:p>
    <w:p>
      <w:pPr>
        <w:pStyle w:val="ListNumber"/>
        <w:spacing w:before="0" w:after="50" w:line="264" w:lineRule="auto"/>
        <w:ind w:left="340" w:hanging="170"/>
      </w:pPr>
      <w:r>
        <w:rPr>
          <w:rFonts w:ascii="Arial" w:hAnsi="Arial" w:eastAsia="Arial"/>
          <w:color w:val="000000"/>
          <w:sz w:val="20"/>
        </w:rPr>
        <w:t>Wie wird deutlich, dass noch kein Termin und kein Angebot entstanden ist?</w:t>
      </w:r>
    </w:p>
    <w:p>
      <w:pPr>
        <w:pStyle w:val="ListNumber"/>
        <w:spacing w:before="0" w:after="50" w:line="264" w:lineRule="auto"/>
        <w:ind w:left="340" w:hanging="170"/>
      </w:pPr>
      <w:r>
        <w:rPr>
          <w:rFonts w:ascii="Arial" w:hAnsi="Arial" w:eastAsia="Arial"/>
          <w:color w:val="000000"/>
          <w:sz w:val="20"/>
        </w:rPr>
        <w:t>Wo landen Text, Kontaktdaten und Fotos, und wer darf darauf zugreifen?</w:t>
      </w:r>
    </w:p>
    <w:p>
      <w:pPr>
        <w:pStyle w:val="ListNumber"/>
        <w:spacing w:before="0" w:after="50" w:line="264" w:lineRule="auto"/>
        <w:ind w:left="340" w:hanging="170"/>
      </w:pPr>
      <w:r>
        <w:rPr>
          <w:rFonts w:ascii="Arial" w:hAnsi="Arial" w:eastAsia="Arial"/>
          <w:color w:val="000000"/>
          <w:sz w:val="20"/>
        </w:rPr>
        <w:t>Welche bestehende Arbeitsweise muss tatsächlich angebunden werden – und welche Integration wäre nur „nice to have“?</w:t>
      </w:r>
    </w:p>
    <w:p>
      <w:pPr>
        <w:pStyle w:val="Heading1"/>
        <w:keepNext/>
      </w:pPr>
      <w:r>
        <w:t>Fazit</w:t>
      </w:r>
    </w:p>
    <w:p>
      <w:pPr>
        <w:spacing w:before="0" w:after="120" w:line="271" w:lineRule="auto"/>
      </w:pPr>
      <w:r>
        <w:rPr>
          <w:rFonts w:ascii="Arial" w:hAnsi="Arial" w:eastAsia="Arial"/>
          <w:color w:val="000000"/>
          <w:sz w:val="21"/>
        </w:rPr>
        <w:t>Eine gute digitale SHK-Anfrage ist nicht die mit den meisten Fragen. Sie ist die, die mit möglichst wenigen, passenden Angaben eine verantwortbare nächste Entscheidung ermöglicht. Wartung, Reparatur und Modernisierung sollten unterscheidbar sein; Fotos bleiben optional; Sicherheitsfälle erhalten einen klaren Ausstieg; Termin, Preis und Diagnose bleiben beim Menschen.</w:t>
      </w:r>
    </w:p>
    <w:p>
      <w:pPr>
        <w:spacing w:before="0" w:after="120" w:line="271" w:lineRule="auto"/>
      </w:pPr>
      <w:r>
        <w:rPr>
          <w:rFonts w:ascii="Arial" w:hAnsi="Arial" w:eastAsia="Arial"/>
          <w:color w:val="000000"/>
          <w:sz w:val="21"/>
        </w:rPr>
        <w:t>So wird aus einer unstrukturierten Nachricht eine bearbeitbare Anfrage – ohne vorzutäuschen, dass der Auftrag bereits geklärt ist.</w:t>
      </w:r>
    </w:p>
    <w:p>
      <w:pPr>
        <w:pStyle w:val="Heading1"/>
      </w:pPr>
      <w:r>
        <w:t>Quellen und weiterführende Hinweise</w:t>
      </w:r>
    </w:p>
    <w:p>
      <w:pPr>
        <w:pStyle w:val="ListBullet"/>
        <w:spacing w:before="0" w:after="80" w:line="264" w:lineRule="auto"/>
        <w:ind w:left="340" w:hanging="170"/>
      </w:pPr>
      <w:hyperlink r:id="rId9">
        <w:r>
          <w:rPr>
            <w:color w:val="1F4E79"/>
            <w:u w:val="single"/>
          </w:rPr>
          <w:t>Zentralverband Sanitär Heizung Klima  Serviceportal SHK</w:t>
        </w:r>
      </w:hyperlink>
    </w:p>
    <w:p>
      <w:pPr>
        <w:pStyle w:val="ListBullet"/>
        <w:spacing w:before="0" w:after="80" w:line="264" w:lineRule="auto"/>
        <w:ind w:left="340" w:hanging="170"/>
      </w:pPr>
      <w:hyperlink r:id="rId10">
        <w:r>
          <w:rPr>
            <w:color w:val="1F4E79"/>
            <w:u w:val="single"/>
          </w:rPr>
          <w:t>DVGW  Was tun bei Gasgeruch</w:t>
        </w:r>
      </w:hyperlink>
    </w:p>
    <w:p>
      <w:pPr>
        <w:pStyle w:val="ListBullet"/>
        <w:spacing w:before="0" w:after="80" w:line="264" w:lineRule="auto"/>
        <w:ind w:left="340" w:hanging="170"/>
      </w:pPr>
      <w:hyperlink r:id="rId11">
        <w:r>
          <w:rPr>
            <w:color w:val="1F4E79"/>
            <w:u w:val="single"/>
          </w:rPr>
          <w:t>Verordnung EU 2016 679  Artikel 5</w:t>
        </w:r>
      </w:hyperlink>
    </w:p>
    <w:sectPr w:rsidR="00FC693F" w:rsidRPr="0006063C" w:rsidSect="00034616">
      <w:pgSz w:w="12240" w:h="15840"/>
      <w:pgMar w:top="1134" w:right="1247" w:bottom="107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vshk.de/themen/serviceportal-shk" TargetMode="External"/><Relationship Id="rId10" Type="http://schemas.openxmlformats.org/officeDocument/2006/relationships/hyperlink" Target="https://www.dvgw.de/themen/gas/verbraucherinformationen/was-tun-bei-gasgeruch" TargetMode="External"/><Relationship Id="rId11" Type="http://schemas.openxmlformats.org/officeDocument/2006/relationships/hyperlink" Target="https://eur-lex.europa.eu/legal-content/DE/ALL/?uri=celex:32016R0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Digitale SHK Anfragen sinnvoll vorsortieren</dc:title>
  <dc:subject>Anbieterneutraler Gastbeitrag für Handwerker Expertencheck</dc:subject>
  <dc:creator>Hussam Alabar</dc:creator>
  <cp:keywords>SHK, digitale Anfrageaufnahme, Wartung, Reparatur, Modernisierung</cp:keywords>
  <dc:description>Redaktionelle Einreichung 21 September 2026</dc:description>
  <cp:lastModifiedBy/>
  <cp:revision>1</cp:revision>
  <dcterms:created xsi:type="dcterms:W3CDTF">2013-12-23T23:15:00Z</dcterms:created>
  <dcterms:modified xsi:type="dcterms:W3CDTF">2013-12-23T23:15:00Z</dcterms:modified>
  <cp:category/>
</cp:coreProperties>
</file>