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bidi/>
        <w:spacing w:before="200" w:after="40"/>
        <w:jc w:val="center"/>
      </w:pPr>
      <w:r>
        <w:rPr>
          <w:rFonts w:ascii="Tajawal" w:hAnsi="Tajawal" w:cs="Tajawal" w:eastAsia="Tajawal"/>
          <w:b/>
          <w:bCs/>
          <w:color w:val="12355B"/>
          <w:sz w:val="27"/>
          <w:szCs w:val="27"/>
          <w:rtl/>
        </w:rPr>
        <w:t>جمهورية العراق</w:t>
      </w:r>
    </w:p>
    <w:p>
      <w:pPr>
        <w:widowControl/>
        <w:bidi/>
        <w:spacing w:before="0" w:after="40"/>
        <w:jc w:val="center"/>
      </w:pPr>
      <w:r>
        <w:rPr>
          <w:rFonts w:ascii="Tajawal" w:hAnsi="Tajawal" w:cs="Tajawal" w:eastAsia="Tajawal"/>
          <w:b/>
          <w:bCs/>
          <w:color w:val="12355B"/>
          <w:sz w:val="27"/>
          <w:szCs w:val="27"/>
          <w:rtl/>
        </w:rPr>
        <w:t>وزارة التعليم العالي والبحث العلمي</w:t>
      </w:r>
    </w:p>
    <w:p>
      <w:pPr>
        <w:widowControl/>
        <w:bidi/>
        <w:spacing w:before="0" w:after="40"/>
        <w:jc w:val="center"/>
      </w:pPr>
      <w:r>
        <w:rPr>
          <w:rFonts w:ascii="Tajawal" w:hAnsi="Tajawal" w:cs="Tajawal" w:eastAsia="Tajawal"/>
          <w:b/>
          <w:bCs/>
          <w:color w:val="12355B"/>
          <w:sz w:val="27"/>
          <w:szCs w:val="27"/>
          <w:rtl/>
        </w:rPr>
        <w:t>الجامعة التكنولوجية — قسم الهندسة الكهربائية</w:t>
      </w:r>
    </w:p>
    <w:p>
      <w:pPr>
        <w:widowControl/>
        <w:bidi/>
        <w:spacing w:before="0" w:after="40"/>
        <w:jc w:val="center"/>
      </w:pPr>
      <w:r>
        <w:rPr>
          <w:rFonts w:ascii="Tajawal" w:hAnsi="Tajawal" w:cs="Tajawal" w:eastAsia="Tajawal"/>
          <w:b/>
          <w:bCs/>
          <w:color w:val="12355B"/>
          <w:sz w:val="27"/>
          <w:szCs w:val="27"/>
          <w:rtl/>
        </w:rPr>
        <w:t>فرع هندسة القدرة والطاقات المتجددة</w:t>
      </w:r>
    </w:p>
    <w:p>
      <w:pPr>
        <w:widowControl/>
        <w:pBdr>
          <w:bottom w:val="double" w:sz="6" w:space="1" w:color="A67C2D"/>
        </w:pBdr>
        <w:bidi/>
        <w:spacing w:before="0" w:after="0"/>
        <w:jc w:val="center"/>
      </w:pPr>
    </w:p>
    <w:p>
      <w:pPr>
        <w:widowControl/>
        <w:bidi/>
        <w:spacing w:before="1920" w:after="120"/>
        <w:jc w:val="center"/>
      </w:pPr>
      <w:r>
        <w:rPr>
          <w:rFonts w:ascii="Tajawal" w:hAnsi="Tajawal" w:cs="Tajawal" w:eastAsia="Tajawal"/>
          <w:color w:val="A67C2D"/>
          <w:sz w:val="26"/>
          <w:szCs w:val="26"/>
          <w:rtl/>
        </w:rPr>
        <w:t>تقرير بعنوان</w:t>
      </w:r>
    </w:p>
    <w:p>
      <w:pPr>
        <w:widowControl/>
        <w:bidi/>
        <w:spacing w:before="0" w:after="120" w:line="276" w:lineRule="auto"/>
        <w:jc w:val="center"/>
      </w:pPr>
      <w:r>
        <w:rPr>
          <w:rFonts w:ascii="Tajawal ExtraBold" w:hAnsi="Tajawal ExtraBold" w:cs="Tajawal ExtraBold" w:eastAsia="Tajawal ExtraBold"/>
          <w:color w:val="12355B"/>
          <w:sz w:val="54"/>
          <w:szCs w:val="54"/>
          <w:rtl/>
        </w:rPr>
        <w:t>الطاقة الشمسية في العراق: الإمكانات والعوائق وطريق التوسع</w:t>
      </w:r>
    </w:p>
    <w:p>
      <w:pPr>
        <w:widowControl/>
        <w:spacing w:before="160" w:after="800"/>
        <w:jc w:val="center"/>
      </w:pPr>
      <w:r>
        <w:rPr>
          <w:rFonts w:ascii="Tajawal" w:hAnsi="Tajawal" w:cs="Tajawal" w:eastAsia="Tajawal"/>
          <w:color w:val="A67C2D"/>
          <w:sz w:val="20"/>
          <w:szCs w:val="20"/>
        </w:rPr>
        <w:t>◆  ◆  ◆</w:t>
      </w:r>
    </w:p>
    <w:tbl>
      <w:tblPr>
        <w:bidiVisual/>
        <w:tblW w:w="6803" w:type="dxa"/>
        <w:jc w:val="center"/>
        <w:tblBorders>
          <w:top w:val="nil"/>
          <w:left w:val="nil"/>
          <w:bottom w:val="nil"/>
          <w:right w:val="nil"/>
          <w:insideH w:val="single" w:sz="4" w:space="0" w:color="D0D4DA"/>
          <w:insideV w:val="nil"/>
        </w:tblBorders>
        <w:tblLayout w:type="fixed"/>
        <w:tblCellMar>
          <w:top w:w="60" w:type="dxa"/>
          <w:left w:w="110" w:type="dxa"/>
          <w:bottom w:w="60" w:type="dxa"/>
          <w:right w:w="110" w:type="dxa"/>
        </w:tblCellMar>
        <w:tblLook w:firstColumn="1" w:firstRow="1" w:lastColumn="0" w:lastRow="0" w:noHBand="0" w:noVBand="1" w:val="04A0"/>
      </w:tblPr>
      <w:tblGrid>
        <w:gridCol w:w="2268"/>
        <w:gridCol w:w="4535"/>
      </w:tblGrid>
      <w:tr>
        <w:tc>
          <w:tcPr>
            <w:tcW w:type="dxa" w:w="2268"/>
            <w:tcMar>
              <w:top w:w="90" w:type="dxa"/>
              <w:bottom w:w="90" w:type="dxa"/>
            </w:tcMar>
            <w:vAlign w:val="center"/>
          </w:tcPr>
          <w:p>
            <w:pPr>
              <w:widowControl/>
              <w:bidi/>
              <w:spacing w:before="0" w:after="0"/>
            </w:pPr>
            <w:r>
              <w:rPr>
                <w:rFonts w:ascii="Tajawal" w:hAnsi="Tajawal" w:cs="Tajawal" w:eastAsia="Tajawal"/>
                <w:b/>
                <w:bCs/>
                <w:color w:val="A67C2D"/>
                <w:sz w:val="25"/>
                <w:szCs w:val="25"/>
                <w:rtl/>
              </w:rPr>
              <w:t>إعداد الطالب</w:t>
            </w:r>
          </w:p>
        </w:tc>
        <w:tc>
          <w:tcPr>
            <w:tcW w:type="dxa" w:w="4535"/>
            <w:tcMar>
              <w:top w:w="90" w:type="dxa"/>
              <w:bottom w:w="90" w:type="dxa"/>
            </w:tcMar>
            <w:vAlign w:val="center"/>
          </w:tcPr>
          <w:p>
            <w:pPr>
              <w:widowControl/>
              <w:bidi/>
              <w:spacing w:before="0" w:after="0"/>
            </w:pPr>
            <w:r>
              <w:rPr>
                <w:rFonts w:ascii="Amiri" w:hAnsi="Amiri" w:cs="Amiri" w:eastAsia="Amiri"/>
                <w:b/>
                <w:bCs/>
                <w:color w:val="1F2328"/>
                <w:sz w:val="28"/>
                <w:szCs w:val="28"/>
                <w:rtl/>
              </w:rPr>
              <w:t>مصطفى جاسم الربيعي</w:t>
            </w:r>
          </w:p>
        </w:tc>
      </w:tr>
      <w:tr>
        <w:tc>
          <w:tcPr>
            <w:tcW w:type="dxa" w:w="2268"/>
            <w:tcMar>
              <w:top w:w="90" w:type="dxa"/>
              <w:bottom w:w="90" w:type="dxa"/>
            </w:tcMar>
            <w:vAlign w:val="center"/>
          </w:tcPr>
          <w:p>
            <w:pPr>
              <w:widowControl/>
              <w:bidi/>
              <w:spacing w:before="0" w:after="0"/>
            </w:pPr>
            <w:r>
              <w:rPr>
                <w:rFonts w:ascii="Tajawal" w:hAnsi="Tajawal" w:cs="Tajawal" w:eastAsia="Tajawal"/>
                <w:b/>
                <w:bCs/>
                <w:color w:val="A67C2D"/>
                <w:sz w:val="25"/>
                <w:szCs w:val="25"/>
                <w:rtl/>
              </w:rPr>
              <w:t>المادة</w:t>
            </w:r>
          </w:p>
        </w:tc>
        <w:tc>
          <w:tcPr>
            <w:tcW w:type="dxa" w:w="4535"/>
            <w:tcMar>
              <w:top w:w="90" w:type="dxa"/>
              <w:bottom w:w="90" w:type="dxa"/>
            </w:tcMar>
            <w:vAlign w:val="center"/>
          </w:tcPr>
          <w:p>
            <w:pPr>
              <w:widowControl/>
              <w:bidi/>
              <w:spacing w:before="0" w:after="0"/>
            </w:pPr>
            <w:r>
              <w:rPr>
                <w:rFonts w:ascii="Amiri" w:hAnsi="Amiri" w:cs="Amiri" w:eastAsia="Amiri"/>
                <w:b/>
                <w:bCs/>
                <w:color w:val="1F2328"/>
                <w:sz w:val="28"/>
                <w:szCs w:val="28"/>
                <w:rtl/>
              </w:rPr>
              <w:t>منظومات الطاقة المتجددة</w:t>
            </w:r>
          </w:p>
        </w:tc>
      </w:tr>
      <w:tr>
        <w:tc>
          <w:tcPr>
            <w:tcW w:type="dxa" w:w="2268"/>
            <w:tcMar>
              <w:top w:w="90" w:type="dxa"/>
              <w:bottom w:w="90" w:type="dxa"/>
            </w:tcMar>
            <w:vAlign w:val="center"/>
          </w:tcPr>
          <w:p>
            <w:pPr>
              <w:widowControl/>
              <w:bidi/>
              <w:spacing w:before="0" w:after="0"/>
            </w:pPr>
            <w:r>
              <w:rPr>
                <w:rFonts w:ascii="Tajawal" w:hAnsi="Tajawal" w:cs="Tajawal" w:eastAsia="Tajawal"/>
                <w:b/>
                <w:bCs/>
                <w:color w:val="A67C2D"/>
                <w:sz w:val="25"/>
                <w:szCs w:val="25"/>
                <w:rtl/>
              </w:rPr>
              <w:t>المرحلة</w:t>
            </w:r>
          </w:p>
        </w:tc>
        <w:tc>
          <w:tcPr>
            <w:tcW w:type="dxa" w:w="4535"/>
            <w:tcMar>
              <w:top w:w="90" w:type="dxa"/>
              <w:bottom w:w="90" w:type="dxa"/>
            </w:tcMar>
            <w:vAlign w:val="center"/>
          </w:tcPr>
          <w:p>
            <w:pPr>
              <w:widowControl/>
              <w:bidi/>
              <w:spacing w:before="0" w:after="0"/>
            </w:pPr>
            <w:r>
              <w:rPr>
                <w:rFonts w:ascii="Amiri" w:hAnsi="Amiri" w:cs="Amiri" w:eastAsia="Amiri"/>
                <w:b/>
                <w:bCs/>
                <w:color w:val="1F2328"/>
                <w:sz w:val="28"/>
                <w:szCs w:val="28"/>
                <w:rtl/>
              </w:rPr>
              <w:t>المرحلة الثالثة</w:t>
            </w:r>
          </w:p>
        </w:tc>
      </w:tr>
      <w:tr>
        <w:tc>
          <w:tcPr>
            <w:tcW w:type="dxa" w:w="2268"/>
            <w:tcMar>
              <w:top w:w="90" w:type="dxa"/>
              <w:bottom w:w="90" w:type="dxa"/>
            </w:tcMar>
            <w:vAlign w:val="center"/>
          </w:tcPr>
          <w:p>
            <w:pPr>
              <w:widowControl/>
              <w:bidi/>
              <w:spacing w:before="0" w:after="0"/>
            </w:pPr>
            <w:r>
              <w:rPr>
                <w:rFonts w:ascii="Tajawal" w:hAnsi="Tajawal" w:cs="Tajawal" w:eastAsia="Tajawal"/>
                <w:b/>
                <w:bCs/>
                <w:color w:val="A67C2D"/>
                <w:sz w:val="25"/>
                <w:szCs w:val="25"/>
                <w:rtl/>
              </w:rPr>
              <w:t>بإشراف</w:t>
            </w:r>
          </w:p>
        </w:tc>
        <w:tc>
          <w:tcPr>
            <w:tcW w:type="dxa" w:w="4535"/>
            <w:tcMar>
              <w:top w:w="90" w:type="dxa"/>
              <w:bottom w:w="90" w:type="dxa"/>
            </w:tcMar>
            <w:vAlign w:val="center"/>
          </w:tcPr>
          <w:p>
            <w:pPr>
              <w:widowControl/>
              <w:bidi/>
              <w:spacing w:before="0" w:after="0"/>
            </w:pPr>
            <w:r>
              <w:rPr>
                <w:rFonts w:ascii="Amiri" w:hAnsi="Amiri" w:cs="Amiri" w:eastAsia="Amiri"/>
                <w:b/>
                <w:bCs/>
                <w:color w:val="1F2328"/>
                <w:sz w:val="28"/>
                <w:szCs w:val="28"/>
                <w:rtl/>
              </w:rPr>
              <w:t>م.د. نور الهدى سالم</w:t>
            </w:r>
          </w:p>
        </w:tc>
      </w:tr>
    </w:tbl>
    <w:p>
      <w:pPr>
        <w:widowControl/>
        <w:bidi/>
        <w:spacing w:before="920" w:after="0"/>
        <w:jc w:val="center"/>
      </w:pPr>
      <w:r>
        <w:rPr>
          <w:rFonts w:ascii="Tajawal" w:hAnsi="Tajawal" w:cs="Tajawal" w:eastAsia="Tajawal"/>
          <w:color w:val="5B6470"/>
          <w:sz w:val="25"/>
          <w:szCs w:val="25"/>
          <w:rtl/>
        </w:rPr>
        <w:t>العام الدراسي 2025 – 2026</w:t>
      </w:r>
    </w:p>
    <w:p>
      <w:pPr>
        <w:widowControl/>
        <w:bidi/>
        <w:spacing w:before="0" w:after="0"/>
      </w:pPr>
      <w:r>
        <w:br w:type="page"/>
      </w:r>
    </w:p>
    <w:p>
      <w:pPr>
        <w:widowControl/>
        <w:bidi/>
        <w:spacing w:before="80" w:after="360"/>
        <w:jc w:val="center"/>
      </w:pPr>
      <w:r>
        <w:rPr>
          <w:rFonts w:ascii="Tajawal ExtraBold" w:hAnsi="Tajawal ExtraBold" w:cs="Tajawal ExtraBold" w:eastAsia="Tajawal ExtraBold"/>
          <w:color w:val="12355B"/>
          <w:sz w:val="44"/>
          <w:szCs w:val="44"/>
          <w:rtl/>
        </w:rPr>
        <w:t>المحتويات</w:t>
      </w:r>
    </w:p>
    <w:tbl>
      <w:tblPr>
        <w:bidiVisual/>
        <w:tblW w:w="9184" w:type="dxa"/>
        <w:jc w:val="center"/>
        <w:tblBorders>
          <w:top w:val="nil"/>
          <w:left w:val="nil"/>
          <w:bottom w:val="dotted" w:sz="6" w:space="0" w:color="B8BEC7"/>
          <w:right w:val="nil"/>
          <w:insideH w:val="dotted" w:sz="6" w:space="0" w:color="B8BEC7"/>
          <w:insideV w:val="nil"/>
        </w:tblBorders>
        <w:tblLayout w:type="fixed"/>
        <w:tblCellMar>
          <w:top w:w="60" w:type="dxa"/>
          <w:left w:w="110" w:type="dxa"/>
          <w:bottom w:w="60" w:type="dxa"/>
          <w:right w:w="110" w:type="dxa"/>
        </w:tblCellMar>
        <w:tblLook w:firstColumn="1" w:firstRow="1" w:lastColumn="0" w:lastRow="0" w:noHBand="0" w:noVBand="1" w:val="04A0"/>
      </w:tblPr>
      <w:tblGrid>
        <w:gridCol w:w="8164"/>
        <w:gridCol w:w="1020"/>
      </w:tblGrid>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الملخص</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3</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أولاً: المقدمة</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3</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ثانياً: الإمكانات الشمسية للعراق</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3</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ثالثاً: التحديات الهندسية في البيئة العراقية</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4</w:t>
            </w:r>
          </w:p>
        </w:tc>
      </w:tr>
      <w:tr>
        <w:tc>
          <w:tcPr>
            <w:tcW w:type="dxa" w:w="8164"/>
            <w:tcMar>
              <w:top w:w="70" w:type="dxa"/>
              <w:bottom w:w="70" w:type="dxa"/>
            </w:tcMar>
            <w:vAlign w:val="center"/>
          </w:tcPr>
          <w:p>
            <w:pPr>
              <w:widowControl/>
              <w:bidi/>
              <w:spacing w:before="0" w:after="0"/>
              <w:ind w:start="480"/>
            </w:pPr>
            <w:r>
              <w:rPr>
                <w:rFonts w:ascii="Tajawal" w:hAnsi="Tajawal" w:cs="Tajawal" w:eastAsia="Tajawal"/>
                <w:color w:val="5B6470"/>
                <w:sz w:val="25"/>
                <w:szCs w:val="25"/>
                <w:rtl/>
              </w:rPr>
              <w:t>3.1 أثر الحرارة</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4</w:t>
            </w:r>
          </w:p>
        </w:tc>
      </w:tr>
      <w:tr>
        <w:tc>
          <w:tcPr>
            <w:tcW w:type="dxa" w:w="8164"/>
            <w:tcMar>
              <w:top w:w="70" w:type="dxa"/>
              <w:bottom w:w="70" w:type="dxa"/>
            </w:tcMar>
            <w:vAlign w:val="center"/>
          </w:tcPr>
          <w:p>
            <w:pPr>
              <w:widowControl/>
              <w:bidi/>
              <w:spacing w:before="0" w:after="0"/>
              <w:ind w:start="480"/>
            </w:pPr>
            <w:r>
              <w:rPr>
                <w:rFonts w:ascii="Tajawal" w:hAnsi="Tajawal" w:cs="Tajawal" w:eastAsia="Tajawal"/>
                <w:color w:val="5B6470"/>
                <w:sz w:val="25"/>
                <w:szCs w:val="25"/>
                <w:rtl/>
              </w:rPr>
              <w:t>3.2 الغبار والعواصف الترابية</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4</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رابعاً: الجدوى الاقتصادية</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5</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خامساً: العوائق المؤسسية: لماذا يتأخر التوسع؟</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5</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سادساً: الخاتمة والتوصيات</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6</w:t>
            </w:r>
          </w:p>
        </w:tc>
      </w:tr>
      <w:tr>
        <w:tc>
          <w:tcPr>
            <w:tcW w:type="dxa" w:w="8164"/>
            <w:tcMar>
              <w:top w:w="70" w:type="dxa"/>
              <w:bottom w:w="70" w:type="dxa"/>
            </w:tcMar>
            <w:vAlign w:val="center"/>
          </w:tcPr>
          <w:p>
            <w:pPr>
              <w:widowControl/>
              <w:bidi/>
              <w:spacing w:before="0" w:after="0"/>
              <w:ind w:start="0"/>
            </w:pPr>
            <w:r>
              <w:rPr>
                <w:rFonts w:ascii="Tajawal" w:hAnsi="Tajawal" w:cs="Tajawal" w:eastAsia="Tajawal"/>
                <w:b/>
                <w:bCs/>
                <w:color w:val="1F2328"/>
                <w:sz w:val="27"/>
                <w:szCs w:val="27"/>
                <w:rtl/>
              </w:rPr>
              <w:t>المصادر والمراجع</w:t>
            </w:r>
          </w:p>
        </w:tc>
        <w:tc>
          <w:tcPr>
            <w:tcW w:type="dxa" w:w="1020"/>
            <w:tcMar>
              <w:top w:w="70" w:type="dxa"/>
              <w:bottom w:w="70" w:type="dxa"/>
            </w:tcMar>
            <w:vAlign w:val="center"/>
          </w:tcPr>
          <w:p>
            <w:pPr>
              <w:widowControl/>
              <w:bidi/>
              <w:spacing w:before="0" w:after="0"/>
              <w:jc w:val="left"/>
            </w:pPr>
            <w:r>
              <w:rPr>
                <w:rFonts w:ascii="Tajawal" w:hAnsi="Tajawal" w:cs="Tajawal" w:eastAsia="Tajawal"/>
                <w:b/>
                <w:bCs/>
                <w:color w:val="12355B"/>
                <w:sz w:val="25"/>
                <w:szCs w:val="25"/>
                <w:rtl/>
              </w:rPr>
              <w:t>7</w:t>
            </w:r>
          </w:p>
        </w:tc>
      </w:tr>
    </w:tbl>
    <w:p>
      <w:pPr>
        <w:widowControl/>
        <w:bidi/>
        <w:spacing w:before="0" w:after="0"/>
      </w:pPr>
      <w:r>
        <w:br w:type="page"/>
      </w:r>
    </w:p>
    <w:p>
      <w:pPr>
        <w:pStyle w:val="Heading1"/>
        <w:keepNext/>
        <w:keepLines/>
        <w:widowControl/>
        <w:pBdr>
          <w:bottom w:val="single" w:sz="12" w:space="6" w:color="A67C2D"/>
        </w:pBdr>
        <w:bidi/>
        <w:spacing w:before="320" w:after="200"/>
        <w:outlineLvl w:val="0"/>
      </w:pPr>
      <w:r>
        <w:rPr>
          <w:rFonts w:ascii="Tajawal" w:hAnsi="Tajawal" w:cs="Tajawal" w:eastAsia="Tajawal"/>
          <w:b/>
          <w:bCs/>
          <w:color w:val="12355B"/>
          <w:sz w:val="38"/>
          <w:szCs w:val="38"/>
          <w:rtl/>
        </w:rPr>
        <w:t>الملخص</w:t>
      </w:r>
    </w:p>
    <w:p>
      <w:pPr>
        <w:widowControl/>
        <w:bidi/>
        <w:spacing w:before="0" w:after="160" w:line="288" w:lineRule="auto"/>
        <w:jc w:val="both"/>
      </w:pPr>
      <w:r>
        <w:rPr>
          <w:rFonts w:ascii="Amiri" w:hAnsi="Amiri" w:cs="Amiri" w:eastAsia="Amiri"/>
          <w:color w:val="1F2328"/>
          <w:sz w:val="28"/>
          <w:szCs w:val="28"/>
          <w:rtl/>
        </w:rPr>
        <w:t>يمتلك العراق واحداً من أعلى مستويات الإشعاع الشمسي في المنطقة، بينما يعيش مواطنوه كل صيف أزمة كهرباء تدفعهم إلى المولدات الأهلية. يحاول هذا التقرير تفسير هذه المفارقة. يبدأ بتقدير الإمكانات الشمسية اعتماداً على بيانات الأطلس الشمسي العالمي، ثم يحلل العوامل الهندسية الخاصة بالبيئة العراقية، وأبرزها الحرارة العالية والغبار، ويقارن كلفة الكهرباء الشمسية بالبدائل القائمة. ويخلص إلى أن العائق الأكبر لم يعد تقنياً ولا اقتصادياً بالدرجة الأولى، بل تنظيمي ومؤسسي، ويقترح خطوات عملية على مستوى المنازل والشبكة الوطنية.</w:t>
      </w:r>
    </w:p>
    <w:p>
      <w:pPr>
        <w:widowControl/>
        <w:bidi/>
        <w:spacing w:before="0" w:after="200"/>
        <w:jc w:val="both"/>
      </w:pPr>
      <w:r>
        <w:rPr>
          <w:rFonts w:ascii="Amiri" w:hAnsi="Amiri" w:cs="Amiri" w:eastAsia="Amiri"/>
          <w:b/>
          <w:bCs/>
          <w:color w:val="1F2328"/>
          <w:sz w:val="26"/>
          <w:szCs w:val="26"/>
          <w:rtl/>
        </w:rPr>
        <w:t>الكلمات المفتاحية:</w:t>
      </w:r>
      <w:r>
        <w:rPr>
          <w:rFonts w:ascii="Amiri" w:hAnsi="Amiri" w:cs="Amiri" w:eastAsia="Amiri"/>
          <w:color w:val="1F2328"/>
          <w:sz w:val="26"/>
          <w:szCs w:val="26"/>
          <w:rtl/>
        </w:rPr>
        <w:t xml:space="preserve"> الطاقة الشمسية، الخلايا الكهروضوئية، العراق، أزمة الكهرباء، الغبار، كلفة الطاقة</w:t>
      </w:r>
    </w:p>
    <w:p>
      <w:pPr>
        <w:pStyle w:val="Heading1"/>
        <w:keepNext/>
        <w:keepLines/>
        <w:widowControl/>
        <w:pBdr>
          <w:bottom w:val="single" w:sz="12" w:space="6" w:color="A67C2D"/>
        </w:pBdr>
        <w:bidi/>
        <w:spacing w:before="320" w:after="200"/>
        <w:outlineLvl w:val="0"/>
      </w:pPr>
      <w:r>
        <w:rPr>
          <w:rFonts w:ascii="Tajawal" w:hAnsi="Tajawal" w:cs="Tajawal" w:eastAsia="Tajawal"/>
          <w:b/>
          <w:bCs/>
          <w:color w:val="12355B"/>
          <w:sz w:val="38"/>
          <w:szCs w:val="38"/>
          <w:rtl/>
        </w:rPr>
        <w:t>أولاً: المقدمة</w:t>
      </w:r>
    </w:p>
    <w:p>
      <w:pPr>
        <w:widowControl/>
        <w:bidi/>
        <w:spacing w:before="0" w:after="160" w:line="288" w:lineRule="auto"/>
        <w:jc w:val="both"/>
      </w:pPr>
      <w:r>
        <w:rPr>
          <w:rFonts w:ascii="Amiri" w:hAnsi="Amiri" w:cs="Amiri" w:eastAsia="Amiri"/>
          <w:color w:val="1F2328"/>
          <w:sz w:val="28"/>
          <w:szCs w:val="28"/>
          <w:rtl/>
        </w:rPr>
        <w:t>في ذروة صيف بغداد، حين تتجاوز الحرارة خمسين درجة، يرتفع الطلب على الكهرباء إلى مستوى لا تلحق به محطات التوليد. يعوّض المواطن الفرق باشتراك في مولدة الحي، ويدفع ثمن كهرباء أغلى وأكثر تلويثاً. والمفارقة أن مصدر هذه الحرارة نفسه، أي الشمس، يمكن أن يكون جزءاً من الحل.</w:t>
      </w:r>
    </w:p>
    <w:p>
      <w:pPr>
        <w:widowControl/>
        <w:bidi/>
        <w:spacing w:before="0" w:after="160" w:line="288" w:lineRule="auto"/>
        <w:jc w:val="both"/>
      </w:pPr>
      <w:r>
        <w:rPr>
          <w:rFonts w:ascii="Amiri" w:hAnsi="Amiri" w:cs="Amiri" w:eastAsia="Amiri"/>
          <w:color w:val="1F2328"/>
          <w:sz w:val="28"/>
          <w:szCs w:val="28"/>
          <w:rtl/>
        </w:rPr>
        <w:t>اعتمد العراق تاريخياً على المحطات الغازية والحرارية، ويستورد جزءاً من الغاز والكهرباء من دول الجوار، فيما يُهدر جزء كبير من الطاقة المنتجة في شبكات النقل والتوزيع بحسب تقديرات الوكالة الدولية للطاقة [1]. في هذا السياق لا تُعد الطاقة الشمسية ترفاً بيئياً، بل خياراً لسد فجوة قائمة. يسأل هذا التقرير: ما حجم هذه الإمكانات؟ وما الذي يعيق استثمارها؟</w:t>
      </w:r>
    </w:p>
    <w:p>
      <w:pPr>
        <w:pStyle w:val="Heading1"/>
        <w:keepNext/>
        <w:keepLines/>
        <w:widowControl/>
        <w:pBdr>
          <w:bottom w:val="single" w:sz="12" w:space="6" w:color="A67C2D"/>
        </w:pBdr>
        <w:bidi/>
        <w:spacing w:before="320" w:after="200"/>
        <w:outlineLvl w:val="0"/>
      </w:pPr>
      <w:r>
        <w:rPr>
          <w:rFonts w:ascii="Tajawal" w:hAnsi="Tajawal" w:cs="Tajawal" w:eastAsia="Tajawal"/>
          <w:b/>
          <w:bCs/>
          <w:color w:val="12355B"/>
          <w:sz w:val="38"/>
          <w:szCs w:val="38"/>
          <w:rtl/>
        </w:rPr>
        <w:t>ثانياً: الإمكانات الشمسية للعراق</w:t>
      </w:r>
    </w:p>
    <w:p>
      <w:pPr>
        <w:widowControl/>
        <w:bidi/>
        <w:spacing w:before="0" w:after="160" w:line="288" w:lineRule="auto"/>
        <w:jc w:val="both"/>
      </w:pPr>
      <w:r>
        <w:rPr>
          <w:rFonts w:ascii="Amiri" w:hAnsi="Amiri" w:cs="Amiri" w:eastAsia="Amiri"/>
          <w:color w:val="1F2328"/>
          <w:sz w:val="28"/>
          <w:szCs w:val="28"/>
          <w:rtl/>
        </w:rPr>
        <w:t>تُظهر بيانات الأطلس الشمسي العالمي أن متوسط الإشعاع الأفقي الكلي في معظم مناطق العراق يتراوح تقريباً بين 5 و6 كيلوواط ساعة للمتر المربع يومياً، وترتفع القيم في المناطق الغربية والجنوبية [3]. وبلغة عملية، يعني ذلك أن لوحاً شمسياً بقدرة كيلوواط واحد يمكن أن ينتج في المتوسط ما يقارب 4 إلى 5 كيلوواط ساعة يومياً في ظروف تشغيل جيدة.</w:t>
      </w:r>
    </w:p>
    <w:tbl>
      <w:tblPr>
        <w:bidiVisual/>
        <w:tblW w:w="9184" w:type="dxa"/>
        <w:jc w:val="center"/>
        <w:tblBorders>
          <w:top w:val="single" w:sz="24" w:space="0" w:color="A67C2D"/>
          <w:left w:val="nil"/>
          <w:bottom w:val="nil"/>
          <w:right w:val="nil"/>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9184"/>
      </w:tblGrid>
      <w:tr>
        <w:tc>
          <w:tcPr>
            <w:tcW w:type="dxa" w:w="9184"/>
            <w:shd w:val="clear" w:color="auto" w:fill="F4F0E6"/>
            <w:tcMar>
              <w:top w:w="140" w:type="dxa"/>
              <w:left w:w="220" w:type="dxa"/>
              <w:bottom w:w="140" w:type="dxa"/>
              <w:right w:w="220" w:type="dxa"/>
            </w:tcMar>
            <w:vAlign w:val="center"/>
          </w:tcPr>
          <w:p>
            <w:pPr>
              <w:widowControl/>
              <w:bidi/>
              <w:spacing w:before="0" w:after="60"/>
            </w:pPr>
            <w:r>
              <w:rPr>
                <w:rFonts w:ascii="Tajawal" w:hAnsi="Tajawal" w:cs="Tajawal" w:eastAsia="Tajawal"/>
                <w:b/>
                <w:bCs/>
                <w:color w:val="12355B"/>
                <w:sz w:val="26"/>
                <w:szCs w:val="26"/>
                <w:rtl/>
              </w:rPr>
              <w:t>أين تكمن الميزة؟</w:t>
            </w:r>
          </w:p>
          <w:p>
            <w:pPr>
              <w:widowControl/>
              <w:bidi/>
              <w:spacing w:before="0" w:after="0" w:line="312" w:lineRule="auto"/>
              <w:jc w:val="both"/>
            </w:pPr>
            <w:r>
              <w:rPr>
                <w:rFonts w:ascii="Amiri" w:hAnsi="Amiri" w:cs="Amiri" w:eastAsia="Amiri"/>
                <w:color w:val="1F2328"/>
                <w:sz w:val="26"/>
                <w:szCs w:val="26"/>
                <w:rtl/>
              </w:rPr>
              <w:t xml:space="preserve">الميزة ليست في شدة الإشعاع وحدها، بل في </w:t>
            </w:r>
            <w:r>
              <w:rPr>
                <w:rFonts w:ascii="Amiri" w:hAnsi="Amiri" w:cs="Amiri" w:eastAsia="Amiri"/>
                <w:b/>
                <w:bCs/>
                <w:color w:val="1F2328"/>
                <w:sz w:val="26"/>
                <w:szCs w:val="26"/>
                <w:rtl/>
              </w:rPr>
              <w:t>تزامنه مع الطلب</w:t>
            </w:r>
            <w:r>
              <w:rPr>
                <w:rFonts w:ascii="Amiri" w:hAnsi="Amiri" w:cs="Amiri" w:eastAsia="Amiri"/>
                <w:color w:val="1F2328"/>
                <w:sz w:val="26"/>
                <w:szCs w:val="26"/>
                <w:rtl/>
              </w:rPr>
              <w:t>: فذروة الإنتاج الشمسي في ساعات الظهيرة الصيفية تتطابق تقريباً مع ذروة تشغيل أجهزة التبريد، وهي الساعات التي تعجز فيها الشبكة أكثر من غيرها.</w:t>
            </w:r>
          </w:p>
        </w:tc>
      </w:tr>
    </w:tbl>
    <w:p>
      <w:pPr>
        <w:widowControl/>
        <w:bidi/>
        <w:spacing w:before="0" w:after="120"/>
      </w:pPr>
    </w:p>
    <w:p>
      <w:pPr>
        <w:widowControl/>
        <w:bidi/>
        <w:spacing w:before="0" w:after="160" w:line="288" w:lineRule="auto"/>
        <w:jc w:val="both"/>
      </w:pPr>
      <w:r>
        <w:rPr>
          <w:rFonts w:ascii="Amiri" w:hAnsi="Amiri" w:cs="Amiri" w:eastAsia="Amiri"/>
          <w:color w:val="1F2328"/>
          <w:sz w:val="28"/>
          <w:szCs w:val="28"/>
          <w:rtl/>
        </w:rPr>
        <w:t>وتملك البلاد أراضي صحراوية واسعة قليلة الاستخدام قرب خطوط النقل في الأنبار والنجف والمثنى والبصرة، وهذا يسهّل إقامة محطات كبيرة دون منافسة مع الأراضي الزراعية.</w:t>
      </w:r>
    </w:p>
    <w:p>
      <w:pPr>
        <w:pStyle w:val="Heading1"/>
        <w:keepNext/>
        <w:keepLines/>
        <w:widowControl/>
        <w:pBdr>
          <w:bottom w:val="single" w:sz="12" w:space="6" w:color="A67C2D"/>
        </w:pBdr>
        <w:bidi/>
        <w:spacing w:before="320" w:after="200"/>
        <w:outlineLvl w:val="0"/>
      </w:pPr>
      <w:r>
        <w:rPr>
          <w:rFonts w:ascii="Tajawal" w:hAnsi="Tajawal" w:cs="Tajawal" w:eastAsia="Tajawal"/>
          <w:b/>
          <w:bCs/>
          <w:color w:val="12355B"/>
          <w:sz w:val="38"/>
          <w:szCs w:val="38"/>
          <w:rtl/>
        </w:rPr>
        <w:t>ثالثاً: التحديات الهندسية في البيئة العراقية</w:t>
      </w:r>
    </w:p>
    <w:p>
      <w:pPr>
        <w:widowControl/>
        <w:bidi/>
        <w:spacing w:before="0" w:after="160" w:line="288" w:lineRule="auto"/>
        <w:jc w:val="both"/>
      </w:pPr>
      <w:r>
        <w:rPr>
          <w:rFonts w:ascii="Amiri" w:hAnsi="Amiri" w:cs="Amiri" w:eastAsia="Amiri"/>
          <w:color w:val="1F2328"/>
          <w:sz w:val="28"/>
          <w:szCs w:val="28"/>
          <w:rtl/>
        </w:rPr>
        <w:t>الشمس الوفيرة تأتي مع ظروف قاسية على الألواح. ولا يمكن تقدير الإنتاج الفعلي بالاعتماد على أرقام المختبر وحدها.</w:t>
      </w:r>
    </w:p>
    <w:p>
      <w:pPr>
        <w:pStyle w:val="Heading2"/>
        <w:keepNext/>
        <w:keepLines/>
        <w:widowControl/>
        <w:bidi/>
        <w:spacing w:before="240" w:after="120"/>
        <w:outlineLvl w:val="1"/>
      </w:pPr>
      <w:r>
        <w:rPr>
          <w:rFonts w:ascii="Tajawal" w:hAnsi="Tajawal" w:cs="Tajawal" w:eastAsia="Tajawal"/>
          <w:b/>
          <w:bCs/>
          <w:color w:val="A67C2D"/>
          <w:sz w:val="30"/>
          <w:szCs w:val="30"/>
          <w:rtl/>
        </w:rPr>
        <w:t>3.1 أثر الحرارة</w:t>
      </w:r>
    </w:p>
    <w:p>
      <w:pPr>
        <w:widowControl/>
        <w:bidi/>
        <w:spacing w:before="0" w:after="160" w:line="288" w:lineRule="auto"/>
        <w:jc w:val="both"/>
      </w:pPr>
      <w:r>
        <w:rPr>
          <w:rFonts w:ascii="Amiri" w:hAnsi="Amiri" w:cs="Amiri" w:eastAsia="Amiri"/>
          <w:color w:val="1F2328"/>
          <w:sz w:val="28"/>
          <w:szCs w:val="28"/>
          <w:rtl/>
        </w:rPr>
        <w:t>تنخفض كفاءة الخلايا السيليكونية مع ارتفاع حرارتها، بمعامل يقارب 0.4% لكل درجة مئوية فوق 25 درجة في الألواح البلورية الشائعة [5]. وقد تتجاوز حرارة سطح اللوح في الصيف العراقي 65 درجة، أي أن الخسارة قد تبلغ 15% أو أكثر في ساعات الذروة. ولهذا يوصى بتركيب يسمح بمرور الهواء خلف الألواح، واختيار ألواح بمعامل حراري منخفض.</w:t>
      </w:r>
    </w:p>
    <w:p>
      <w:pPr>
        <w:pStyle w:val="Heading2"/>
        <w:keepNext/>
        <w:keepLines/>
        <w:widowControl/>
        <w:bidi/>
        <w:spacing w:before="240" w:after="120"/>
        <w:outlineLvl w:val="1"/>
      </w:pPr>
      <w:r>
        <w:rPr>
          <w:rFonts w:ascii="Tajawal" w:hAnsi="Tajawal" w:cs="Tajawal" w:eastAsia="Tajawal"/>
          <w:b/>
          <w:bCs/>
          <w:color w:val="A67C2D"/>
          <w:sz w:val="30"/>
          <w:szCs w:val="30"/>
          <w:rtl/>
        </w:rPr>
        <w:t>3.2 الغبار والعواصف الترابية</w:t>
      </w:r>
    </w:p>
    <w:p>
      <w:pPr>
        <w:widowControl/>
        <w:bidi/>
        <w:spacing w:before="0" w:after="160" w:line="288" w:lineRule="auto"/>
        <w:jc w:val="both"/>
      </w:pPr>
      <w:r>
        <w:rPr>
          <w:rFonts w:ascii="Amiri" w:hAnsi="Amiri" w:cs="Amiri" w:eastAsia="Amiri"/>
          <w:color w:val="1F2328"/>
          <w:sz w:val="28"/>
          <w:szCs w:val="28"/>
          <w:rtl/>
        </w:rPr>
        <w:t>تراكم الغبار على سطح اللوح يحجب جزءاً من الإشعاع، وتشير المراجعات البحثية إلى أن الخسائر قد تصل في المناطق الصحراوية إلى نسب كبيرة إذا تُركت الألواح دون تنظيف لأسابيع [4]. ويزيد من صعوبة الأمر أن الماء نفسه مورد شحيح في المناطق الأنسب للمحطات.</w:t>
      </w:r>
    </w:p>
    <w:p>
      <w:pPr>
        <w:keepNext/>
        <w:keepLines/>
        <w:widowControl/>
        <w:bidi/>
        <w:spacing w:before="120" w:after="80"/>
        <w:jc w:val="center"/>
      </w:pPr>
      <w:r>
        <w:rPr>
          <w:rFonts w:ascii="Tajawal" w:hAnsi="Tajawal" w:cs="Tajawal" w:eastAsia="Tajawal"/>
          <w:b/>
          <w:bCs/>
          <w:color w:val="12355B"/>
          <w:sz w:val="24"/>
          <w:szCs w:val="24"/>
          <w:rtl/>
        </w:rPr>
        <w:t>جدول (1): عوامل الخسارة الرئيسة ووسائل معالجتها</w:t>
      </w:r>
    </w:p>
    <w:tbl>
      <w:tblPr>
        <w:bidiVisual/>
        <w:tblW w:w="9184" w:type="dxa"/>
        <w:jc w:val="center"/>
        <w:tblBorders>
          <w:top w:val="single" w:sz="12" w:space="0" w:color="12355B"/>
          <w:left w:val="nil"/>
          <w:bottom w:val="single" w:sz="12" w:space="0" w:color="12355B"/>
          <w:right w:val="nil"/>
          <w:insideH w:val="single" w:sz="4" w:space="0" w:color="C9CED6"/>
          <w:insideV w:val="single" w:sz="4" w:space="0" w:color="C9CED6"/>
        </w:tblBorders>
        <w:tblLayout w:type="fixed"/>
        <w:tblCellMar>
          <w:top w:w="60" w:type="dxa"/>
          <w:left w:w="110" w:type="dxa"/>
          <w:bottom w:w="60" w:type="dxa"/>
          <w:right w:w="110" w:type="dxa"/>
        </w:tblCellMar>
        <w:tblLook w:firstColumn="1" w:firstRow="1" w:lastColumn="0" w:lastRow="0" w:noHBand="0" w:noVBand="1" w:val="04A0"/>
      </w:tblPr>
      <w:tblGrid>
        <w:gridCol w:w="3061"/>
        <w:gridCol w:w="3061"/>
        <w:gridCol w:w="3061"/>
      </w:tblGrid>
      <w:tr>
        <w:trPr>
          <w:tblHeader/>
        </w:trPr>
        <w:tc>
          <w:tcPr>
            <w:tcW w:type="dxa" w:w="3061"/>
            <w:shd w:val="clear" w:color="auto" w:fill="12355B"/>
            <w:vAlign w:val="center"/>
          </w:tcPr>
          <w:p>
            <w:pPr>
              <w:widowControl/>
              <w:bidi/>
              <w:spacing w:before="0" w:after="0"/>
              <w:jc w:val="center"/>
            </w:pPr>
            <w:r>
              <w:rPr>
                <w:rFonts w:ascii="Tajawal" w:hAnsi="Tajawal" w:cs="Tajawal" w:eastAsia="Tajawal"/>
                <w:b/>
                <w:bCs/>
                <w:color w:val="FFFFFF"/>
                <w:sz w:val="24"/>
                <w:szCs w:val="24"/>
                <w:rtl/>
              </w:rPr>
              <w:t>العامل</w:t>
            </w:r>
          </w:p>
        </w:tc>
        <w:tc>
          <w:tcPr>
            <w:tcW w:type="dxa" w:w="3061"/>
            <w:shd w:val="clear" w:color="auto" w:fill="12355B"/>
            <w:vAlign w:val="center"/>
          </w:tcPr>
          <w:p>
            <w:pPr>
              <w:widowControl/>
              <w:bidi/>
              <w:spacing w:before="0" w:after="0"/>
              <w:jc w:val="center"/>
            </w:pPr>
            <w:r>
              <w:rPr>
                <w:rFonts w:ascii="Tajawal" w:hAnsi="Tajawal" w:cs="Tajawal" w:eastAsia="Tajawal"/>
                <w:b/>
                <w:bCs/>
                <w:color w:val="FFFFFF"/>
                <w:sz w:val="24"/>
                <w:szCs w:val="24"/>
                <w:rtl/>
              </w:rPr>
              <w:t>أثره التقريبي</w:t>
            </w:r>
          </w:p>
        </w:tc>
        <w:tc>
          <w:tcPr>
            <w:tcW w:type="dxa" w:w="3061"/>
            <w:shd w:val="clear" w:color="auto" w:fill="12355B"/>
            <w:vAlign w:val="center"/>
          </w:tcPr>
          <w:p>
            <w:pPr>
              <w:widowControl/>
              <w:bidi/>
              <w:spacing w:before="0" w:after="0"/>
              <w:jc w:val="center"/>
            </w:pPr>
            <w:r>
              <w:rPr>
                <w:rFonts w:ascii="Tajawal" w:hAnsi="Tajawal" w:cs="Tajawal" w:eastAsia="Tajawal"/>
                <w:b/>
                <w:bCs/>
                <w:color w:val="FFFFFF"/>
                <w:sz w:val="24"/>
                <w:szCs w:val="24"/>
                <w:rtl/>
              </w:rPr>
              <w:t>المعالجة المقترحة</w:t>
            </w:r>
          </w:p>
        </w:tc>
      </w:tr>
      <w:tr>
        <w:trPr>
          <w:cantSplit/>
        </w:trPr>
        <w:tc>
          <w:tcPr>
            <w:tcW w:type="dxa" w:w="3061"/>
            <w:vAlign w:val="center"/>
          </w:tcPr>
          <w:p>
            <w:pPr>
              <w:widowControl/>
              <w:bidi/>
              <w:spacing w:before="0" w:after="0"/>
              <w:jc w:val="center"/>
            </w:pPr>
            <w:r>
              <w:rPr>
                <w:rFonts w:ascii="Amiri" w:hAnsi="Amiri" w:cs="Amiri" w:eastAsia="Amiri"/>
                <w:color w:val="1F2328"/>
                <w:sz w:val="24"/>
                <w:szCs w:val="24"/>
                <w:rtl/>
              </w:rPr>
              <w:t>ارتفاع الحرارة</w:t>
            </w:r>
          </w:p>
        </w:tc>
        <w:tc>
          <w:tcPr>
            <w:tcW w:type="dxa" w:w="3061"/>
            <w:vAlign w:val="center"/>
          </w:tcPr>
          <w:p>
            <w:pPr>
              <w:widowControl/>
              <w:bidi/>
              <w:spacing w:before="0" w:after="0"/>
              <w:jc w:val="center"/>
            </w:pPr>
            <w:r>
              <w:rPr>
                <w:rFonts w:ascii="Amiri" w:hAnsi="Amiri" w:cs="Amiri" w:eastAsia="Amiri"/>
                <w:color w:val="1F2328"/>
                <w:sz w:val="24"/>
                <w:szCs w:val="24"/>
                <w:rtl/>
              </w:rPr>
              <w:t>10–15% في الذروة الصيفية</w:t>
            </w:r>
          </w:p>
        </w:tc>
        <w:tc>
          <w:tcPr>
            <w:tcW w:type="dxa" w:w="3061"/>
            <w:vAlign w:val="center"/>
          </w:tcPr>
          <w:p>
            <w:pPr>
              <w:widowControl/>
              <w:bidi/>
              <w:spacing w:before="0" w:after="0"/>
              <w:jc w:val="center"/>
            </w:pPr>
            <w:r>
              <w:rPr>
                <w:rFonts w:ascii="Amiri" w:hAnsi="Amiri" w:cs="Amiri" w:eastAsia="Amiri"/>
                <w:color w:val="1F2328"/>
                <w:sz w:val="24"/>
                <w:szCs w:val="24"/>
                <w:rtl/>
              </w:rPr>
              <w:t>تهوية خلفية وألواح بمعامل حراري منخفض</w:t>
            </w:r>
          </w:p>
        </w:tc>
      </w:tr>
      <w:tr>
        <w:trPr>
          <w:cantSplit/>
        </w:trPr>
        <w:tc>
          <w:tcPr>
            <w:tcW w:type="dxa" w:w="3061"/>
            <w:shd w:val="clear" w:color="auto" w:fill="F4F0E6"/>
            <w:vAlign w:val="center"/>
          </w:tcPr>
          <w:p>
            <w:pPr>
              <w:widowControl/>
              <w:bidi/>
              <w:spacing w:before="0" w:after="0"/>
              <w:jc w:val="center"/>
            </w:pPr>
            <w:r>
              <w:rPr>
                <w:rFonts w:ascii="Amiri" w:hAnsi="Amiri" w:cs="Amiri" w:eastAsia="Amiri"/>
                <w:color w:val="1F2328"/>
                <w:sz w:val="24"/>
                <w:szCs w:val="24"/>
                <w:rtl/>
              </w:rPr>
              <w:t>الغبار</w:t>
            </w:r>
          </w:p>
        </w:tc>
        <w:tc>
          <w:tcPr>
            <w:tcW w:type="dxa" w:w="3061"/>
            <w:shd w:val="clear" w:color="auto" w:fill="F4F0E6"/>
            <w:vAlign w:val="center"/>
          </w:tcPr>
          <w:p>
            <w:pPr>
              <w:widowControl/>
              <w:bidi/>
              <w:spacing w:before="0" w:after="0"/>
              <w:jc w:val="center"/>
            </w:pPr>
            <w:r>
              <w:rPr>
                <w:rFonts w:ascii="Amiri" w:hAnsi="Amiri" w:cs="Amiri" w:eastAsia="Amiri"/>
                <w:color w:val="1F2328"/>
                <w:sz w:val="24"/>
                <w:szCs w:val="24"/>
                <w:rtl/>
              </w:rPr>
              <w:t>يتضاعف مع طول فترة عدم التنظيف</w:t>
            </w:r>
          </w:p>
        </w:tc>
        <w:tc>
          <w:tcPr>
            <w:tcW w:type="dxa" w:w="3061"/>
            <w:shd w:val="clear" w:color="auto" w:fill="F4F0E6"/>
            <w:vAlign w:val="center"/>
          </w:tcPr>
          <w:p>
            <w:pPr>
              <w:widowControl/>
              <w:bidi/>
              <w:spacing w:before="0" w:after="0"/>
              <w:jc w:val="center"/>
            </w:pPr>
            <w:r>
              <w:rPr>
                <w:rFonts w:ascii="Amiri" w:hAnsi="Amiri" w:cs="Amiri" w:eastAsia="Amiri"/>
                <w:color w:val="1F2328"/>
                <w:sz w:val="24"/>
                <w:szCs w:val="24"/>
                <w:rtl/>
              </w:rPr>
              <w:t>جدولة تنظيف دورية وطلاءات طاردة للغبار</w:t>
            </w:r>
          </w:p>
        </w:tc>
      </w:tr>
      <w:tr>
        <w:trPr>
          <w:cantSplit/>
        </w:trPr>
        <w:tc>
          <w:tcPr>
            <w:tcW w:type="dxa" w:w="3061"/>
            <w:vAlign w:val="center"/>
          </w:tcPr>
          <w:p>
            <w:pPr>
              <w:widowControl/>
              <w:bidi/>
              <w:spacing w:before="0" w:after="0"/>
              <w:jc w:val="center"/>
            </w:pPr>
            <w:r>
              <w:rPr>
                <w:rFonts w:ascii="Amiri" w:hAnsi="Amiri" w:cs="Amiri" w:eastAsia="Amiri"/>
                <w:color w:val="1F2328"/>
                <w:sz w:val="24"/>
                <w:szCs w:val="24"/>
                <w:rtl/>
              </w:rPr>
              <w:t>خسائر الأسلاك والمحوّل</w:t>
            </w:r>
          </w:p>
        </w:tc>
        <w:tc>
          <w:tcPr>
            <w:tcW w:type="dxa" w:w="3061"/>
            <w:vAlign w:val="center"/>
          </w:tcPr>
          <w:p>
            <w:pPr>
              <w:widowControl/>
              <w:bidi/>
              <w:spacing w:before="0" w:after="0"/>
              <w:jc w:val="center"/>
            </w:pPr>
            <w:r>
              <w:rPr>
                <w:rFonts w:ascii="Amiri" w:hAnsi="Amiri" w:cs="Amiri" w:eastAsia="Amiri"/>
                <w:color w:val="1F2328"/>
                <w:sz w:val="24"/>
                <w:szCs w:val="24"/>
              </w:rPr>
              <w:t>3–5%</w:t>
            </w:r>
          </w:p>
        </w:tc>
        <w:tc>
          <w:tcPr>
            <w:tcW w:type="dxa" w:w="3061"/>
            <w:vAlign w:val="center"/>
          </w:tcPr>
          <w:p>
            <w:pPr>
              <w:widowControl/>
              <w:bidi/>
              <w:spacing w:before="0" w:after="0"/>
              <w:jc w:val="center"/>
            </w:pPr>
            <w:r>
              <w:rPr>
                <w:rFonts w:ascii="Amiri" w:hAnsi="Amiri" w:cs="Amiri" w:eastAsia="Amiri"/>
                <w:color w:val="1F2328"/>
                <w:sz w:val="24"/>
                <w:szCs w:val="24"/>
                <w:rtl/>
              </w:rPr>
              <w:t>تصميم كابلات مناسب ومحوّلات عالية الكفاءة</w:t>
            </w:r>
          </w:p>
        </w:tc>
      </w:tr>
    </w:tbl>
    <w:p>
      <w:pPr>
        <w:widowControl/>
        <w:bidi/>
        <w:spacing w:before="0" w:after="120"/>
      </w:pPr>
    </w:p>
    <w:p>
      <w:pPr>
        <w:pStyle w:val="Heading1"/>
        <w:keepNext/>
        <w:keepLines/>
        <w:widowControl/>
        <w:pBdr>
          <w:bottom w:val="single" w:sz="12" w:space="6" w:color="A67C2D"/>
        </w:pBdr>
        <w:bidi/>
        <w:spacing w:before="320" w:after="200"/>
        <w:outlineLvl w:val="0"/>
      </w:pPr>
      <w:r>
        <w:rPr>
          <w:rFonts w:ascii="Tajawal" w:hAnsi="Tajawal" w:cs="Tajawal" w:eastAsia="Tajawal"/>
          <w:b/>
          <w:bCs/>
          <w:color w:val="12355B"/>
          <w:sz w:val="38"/>
          <w:szCs w:val="38"/>
          <w:rtl/>
        </w:rPr>
        <w:t>رابعاً: الجدوى الاقتصادية</w:t>
      </w:r>
    </w:p>
    <w:p>
      <w:pPr>
        <w:widowControl/>
        <w:bidi/>
        <w:spacing w:before="0" w:after="160" w:line="288" w:lineRule="auto"/>
        <w:jc w:val="both"/>
      </w:pPr>
      <w:r>
        <w:rPr>
          <w:rFonts w:ascii="Amiri" w:hAnsi="Amiri" w:cs="Amiri" w:eastAsia="Amiri"/>
          <w:color w:val="1F2328"/>
          <w:sz w:val="28"/>
          <w:szCs w:val="28"/>
          <w:rtl/>
        </w:rPr>
        <w:t>انخفض متوسط كلفة الكهرباء المنتجة من المحطات الشمسية الكبيرة عالمياً بنحو 90% بين عامي 2010 و2023 بحسب الوكالة الدولية للطاقة المتجددة [2]، وأصبحت في كثير من الأسواق أرخص مصدر جديد للكهرباء. وعلى مستوى المنزل العراقي، تنافس المنظومة الشمسية كلفة الاشتراك في المولدة على المدى المتوسط، لأن كلفتها تُدفع مرة واحدة في البداية، بينما يدفع المشترك رسوم المولدة كل شهر ما دامت الأزمة قائمة.</w:t>
      </w:r>
    </w:p>
    <w:p>
      <w:pPr>
        <w:widowControl/>
        <w:bidi/>
        <w:spacing w:before="0" w:after="160" w:line="288" w:lineRule="auto"/>
        <w:jc w:val="both"/>
      </w:pPr>
      <w:r>
        <w:rPr>
          <w:rFonts w:ascii="Amiri" w:hAnsi="Amiri" w:cs="Amiri" w:eastAsia="Amiri"/>
          <w:color w:val="1F2328"/>
          <w:sz w:val="28"/>
          <w:szCs w:val="28"/>
          <w:rtl/>
        </w:rPr>
        <w:t>في 2023 أُعلن ضمن اتفاقية الطاقة بين الحكومة العراقية وشركة TotalEnergies عن مشروع شمسي بقدرة تقارب 1 غيغاواط في محافظة البصرة، وهو مؤشر على أن المشاريع الكبيرة باتت مطروحة جدياً. غير أن المشروع الواحد، مهما كبر، لا يغطي إلا جزءاً صغيراً من الفجوة.</w:t>
      </w:r>
    </w:p>
    <w:p>
      <w:pPr>
        <w:pStyle w:val="Heading1"/>
        <w:keepNext/>
        <w:keepLines/>
        <w:widowControl/>
        <w:pBdr>
          <w:bottom w:val="single" w:sz="12" w:space="6" w:color="A67C2D"/>
        </w:pBdr>
        <w:bidi/>
        <w:spacing w:before="320" w:after="200"/>
        <w:outlineLvl w:val="0"/>
      </w:pPr>
      <w:r>
        <w:rPr>
          <w:rFonts w:ascii="Tajawal" w:hAnsi="Tajawal" w:cs="Tajawal" w:eastAsia="Tajawal"/>
          <w:b/>
          <w:bCs/>
          <w:color w:val="12355B"/>
          <w:sz w:val="38"/>
          <w:szCs w:val="38"/>
          <w:rtl/>
        </w:rPr>
        <w:t>خامساً: العوائق المؤسسية: لماذا يتأخر التوسع؟</w:t>
      </w:r>
    </w:p>
    <w:p>
      <w:pPr>
        <w:widowControl/>
        <w:bidi/>
        <w:spacing w:before="0" w:after="160" w:line="288" w:lineRule="auto"/>
        <w:jc w:val="both"/>
      </w:pPr>
      <w:r>
        <w:rPr>
          <w:rFonts w:ascii="Amiri" w:hAnsi="Amiri" w:cs="Amiri" w:eastAsia="Amiri"/>
          <w:color w:val="1F2328"/>
          <w:sz w:val="28"/>
          <w:szCs w:val="28"/>
          <w:rtl/>
        </w:rPr>
        <w:t xml:space="preserve">إذا كانت الشمس متوفرة والكلفة منافسة، فالعائق في مكان آخر. أولاً، </w:t>
      </w:r>
      <w:r>
        <w:rPr>
          <w:rFonts w:ascii="Amiri" w:hAnsi="Amiri" w:cs="Amiri" w:eastAsia="Amiri"/>
          <w:b/>
          <w:bCs/>
          <w:color w:val="1F2328"/>
          <w:sz w:val="28"/>
          <w:szCs w:val="28"/>
          <w:rtl/>
        </w:rPr>
        <w:t>تسعير الكهرباء المدعوم</w:t>
      </w:r>
      <w:r>
        <w:rPr>
          <w:rFonts w:ascii="Amiri" w:hAnsi="Amiri" w:cs="Amiri" w:eastAsia="Amiri"/>
          <w:color w:val="1F2328"/>
          <w:sz w:val="28"/>
          <w:szCs w:val="28"/>
          <w:rtl/>
        </w:rPr>
        <w:t xml:space="preserve"> يجعل أي مصدر جديد يبدو غالياً في حسابات الوزارة، لأن المستهلك لا يدفع الكلفة الحقيقية. ثانياً، غياب إطار واضح لبيع الفائض المنزلي إلى الشبكة (العدادات ثنائية الاتجاه) يحرم الأسر من حافز مهم. ثالثاً، تبقى الشبكة الحالية بحاجة إلى تحديث لاستيعاب مصادر متقطعة الإنتاج دون أن تفقد استقرارها.</w:t>
      </w:r>
    </w:p>
    <w:p>
      <w:pPr>
        <w:widowControl/>
        <w:bidi/>
        <w:spacing w:before="0" w:after="160" w:line="288" w:lineRule="auto"/>
        <w:jc w:val="both"/>
      </w:pPr>
      <w:r>
        <w:rPr>
          <w:rFonts w:ascii="Amiri" w:hAnsi="Amiri" w:cs="Amiri" w:eastAsia="Amiri"/>
          <w:color w:val="1F2328"/>
          <w:sz w:val="28"/>
          <w:szCs w:val="28"/>
          <w:rtl/>
        </w:rPr>
        <w:t>ولا يقل عن ذلك أهمية ضعف الرقابة على جودة الألواح والبطاريات المستوردة. فالمنظومات الرديئة التي تتعطل بعد سنة أو سنتين تُضعف ثقة الناس بالتقنية كلها، وهو أثر يصعب إصلاحه لاحقاً.</w:t>
      </w:r>
    </w:p>
    <w:p>
      <w:pPr>
        <w:pStyle w:val="Heading1"/>
        <w:keepNext/>
        <w:keepLines/>
        <w:widowControl/>
        <w:pBdr>
          <w:bottom w:val="single" w:sz="12" w:space="6" w:color="A67C2D"/>
        </w:pBdr>
        <w:bidi/>
        <w:spacing w:before="320" w:after="200"/>
        <w:outlineLvl w:val="0"/>
      </w:pPr>
      <w:r>
        <w:rPr>
          <w:rFonts w:ascii="Tajawal" w:hAnsi="Tajawal" w:cs="Tajawal" w:eastAsia="Tajawal"/>
          <w:b/>
          <w:bCs/>
          <w:color w:val="12355B"/>
          <w:sz w:val="38"/>
          <w:szCs w:val="38"/>
          <w:rtl/>
        </w:rPr>
        <w:t>سادساً: الخاتمة والتوصيات</w:t>
      </w:r>
    </w:p>
    <w:p>
      <w:pPr>
        <w:widowControl/>
        <w:bidi/>
        <w:spacing w:before="0" w:after="160" w:line="288" w:lineRule="auto"/>
        <w:jc w:val="both"/>
      </w:pPr>
      <w:r>
        <w:rPr>
          <w:rFonts w:ascii="Amiri" w:hAnsi="Amiri" w:cs="Amiri" w:eastAsia="Amiri"/>
          <w:color w:val="1F2328"/>
          <w:sz w:val="28"/>
          <w:szCs w:val="28"/>
          <w:rtl/>
        </w:rPr>
        <w:t>المشكلة في العراق لم تعد في الشمس ولا في التقنية، فكلاهما متاح بأسعار معقولة. ما ينقص هو الإطار الذي يجعل الاستثمار فيهما منطقياً للأسرة والمستثمر والدولة معاً. ولهذا تتركز التوصيات على التنظيم أكثر من الهندسة:</w:t>
      </w:r>
    </w:p>
    <w:p>
      <w:pPr>
        <w:widowControl/>
        <w:bidi/>
        <w:spacing w:before="0" w:after="80" w:line="312" w:lineRule="auto"/>
        <w:ind w:start="540" w:hanging="360"/>
        <w:jc w:val="both"/>
      </w:pPr>
      <w:r>
        <w:rPr>
          <w:rFonts w:ascii="Tajawal" w:hAnsi="Tajawal" w:cs="Tajawal" w:eastAsia="Tajawal"/>
          <w:b/>
          <w:bCs/>
          <w:color w:val="A67C2D"/>
          <w:sz w:val="26"/>
          <w:szCs w:val="26"/>
          <w:rtl/>
        </w:rPr>
        <w:t xml:space="preserve">1. </w:t>
      </w:r>
      <w:r>
        <w:rPr>
          <w:rFonts w:ascii="Amiri" w:hAnsi="Amiri" w:cs="Amiri" w:eastAsia="Amiri"/>
          <w:color w:val="1F2328"/>
          <w:sz w:val="28"/>
          <w:szCs w:val="28"/>
          <w:rtl/>
        </w:rPr>
        <w:t>إقرار نظام للعدادات ثنائية الاتجاه يسمح للمنازل ببيع فائضها إلى الشبكة.</w:t>
      </w:r>
    </w:p>
    <w:p>
      <w:pPr>
        <w:widowControl/>
        <w:bidi/>
        <w:spacing w:before="0" w:after="80" w:line="312" w:lineRule="auto"/>
        <w:ind w:start="540" w:hanging="360"/>
        <w:jc w:val="both"/>
      </w:pPr>
      <w:r>
        <w:rPr>
          <w:rFonts w:ascii="Tajawal" w:hAnsi="Tajawal" w:cs="Tajawal" w:eastAsia="Tajawal"/>
          <w:b/>
          <w:bCs/>
          <w:color w:val="A67C2D"/>
          <w:sz w:val="26"/>
          <w:szCs w:val="26"/>
          <w:rtl/>
        </w:rPr>
        <w:t xml:space="preserve">2. </w:t>
      </w:r>
      <w:r>
        <w:rPr>
          <w:rFonts w:ascii="Amiri" w:hAnsi="Amiri" w:cs="Amiri" w:eastAsia="Amiri"/>
          <w:color w:val="1F2328"/>
          <w:sz w:val="28"/>
          <w:szCs w:val="28"/>
          <w:rtl/>
        </w:rPr>
        <w:t>وضع مواصفة وطنية إلزامية لجودة الألواح والمحوّلات والبطاريات المستوردة، مع مختبرات فحص معتمدة.</w:t>
      </w:r>
    </w:p>
    <w:p>
      <w:pPr>
        <w:widowControl/>
        <w:bidi/>
        <w:spacing w:before="0" w:after="80" w:line="312" w:lineRule="auto"/>
        <w:ind w:start="540" w:hanging="360"/>
        <w:jc w:val="both"/>
      </w:pPr>
      <w:r>
        <w:rPr>
          <w:rFonts w:ascii="Tajawal" w:hAnsi="Tajawal" w:cs="Tajawal" w:eastAsia="Tajawal"/>
          <w:b/>
          <w:bCs/>
          <w:color w:val="A67C2D"/>
          <w:sz w:val="26"/>
          <w:szCs w:val="26"/>
          <w:rtl/>
        </w:rPr>
        <w:t xml:space="preserve">3. </w:t>
      </w:r>
      <w:r>
        <w:rPr>
          <w:rFonts w:ascii="Amiri" w:hAnsi="Amiri" w:cs="Amiri" w:eastAsia="Amiri"/>
          <w:color w:val="1F2328"/>
          <w:sz w:val="28"/>
          <w:szCs w:val="28"/>
          <w:rtl/>
        </w:rPr>
        <w:t>تقديم قروض ميسّرة للمنظومات المنزلية عبر المصارف الحكومية بدل دعم الوقود للمولدات.</w:t>
      </w:r>
    </w:p>
    <w:p>
      <w:pPr>
        <w:widowControl/>
        <w:bidi/>
        <w:spacing w:before="0" w:after="80" w:line="312" w:lineRule="auto"/>
        <w:ind w:start="540" w:hanging="360"/>
        <w:jc w:val="both"/>
      </w:pPr>
      <w:r>
        <w:rPr>
          <w:rFonts w:ascii="Tajawal" w:hAnsi="Tajawal" w:cs="Tajawal" w:eastAsia="Tajawal"/>
          <w:b/>
          <w:bCs/>
          <w:color w:val="A67C2D"/>
          <w:sz w:val="26"/>
          <w:szCs w:val="26"/>
          <w:rtl/>
        </w:rPr>
        <w:t xml:space="preserve">4. </w:t>
      </w:r>
      <w:r>
        <w:rPr>
          <w:rFonts w:ascii="Amiri" w:hAnsi="Amiri" w:cs="Amiri" w:eastAsia="Amiri"/>
          <w:color w:val="1F2328"/>
          <w:sz w:val="28"/>
          <w:szCs w:val="28"/>
          <w:rtl/>
        </w:rPr>
        <w:t>إدراج خسائر الحرارة والغبار في دراسات الجدوى وعقود المحطات الكبيرة، مع برامج تنظيف مجدولة.</w:t>
      </w:r>
    </w:p>
    <w:p>
      <w:pPr>
        <w:widowControl/>
        <w:bidi/>
        <w:spacing w:before="0" w:after="200" w:line="312" w:lineRule="auto"/>
        <w:ind w:start="540" w:hanging="360"/>
        <w:jc w:val="both"/>
      </w:pPr>
      <w:r>
        <w:rPr>
          <w:rFonts w:ascii="Tajawal" w:hAnsi="Tajawal" w:cs="Tajawal" w:eastAsia="Tajawal"/>
          <w:b/>
          <w:bCs/>
          <w:color w:val="A67C2D"/>
          <w:sz w:val="26"/>
          <w:szCs w:val="26"/>
          <w:rtl/>
        </w:rPr>
        <w:t xml:space="preserve">5. </w:t>
      </w:r>
      <w:r>
        <w:rPr>
          <w:rFonts w:ascii="Amiri" w:hAnsi="Amiri" w:cs="Amiri" w:eastAsia="Amiri"/>
          <w:color w:val="1F2328"/>
          <w:sz w:val="28"/>
          <w:szCs w:val="28"/>
          <w:rtl/>
        </w:rPr>
        <w:t>تطوير الشبكة الوطنية ووسائل الخزن تدريجياً لاستيعاب نسبة أكبر من الطاقة المتجددة.</w:t>
      </w:r>
    </w:p>
    <w:p>
      <w:pPr>
        <w:pStyle w:val="Heading1"/>
        <w:keepNext/>
        <w:keepLines/>
        <w:pageBreakBefore/>
        <w:widowControl/>
        <w:pBdr>
          <w:bottom w:val="single" w:sz="12" w:space="6" w:color="A67C2D"/>
        </w:pBdr>
        <w:bidi/>
        <w:spacing w:before="120" w:after="200"/>
        <w:outlineLvl w:val="0"/>
      </w:pPr>
      <w:r>
        <w:rPr>
          <w:rFonts w:ascii="Tajawal" w:hAnsi="Tajawal" w:cs="Tajawal" w:eastAsia="Tajawal"/>
          <w:b/>
          <w:bCs/>
          <w:color w:val="12355B"/>
          <w:sz w:val="38"/>
          <w:szCs w:val="38"/>
          <w:rtl/>
        </w:rPr>
        <w:t>المصادر والمراجع</w:t>
      </w:r>
    </w:p>
    <w:p>
      <w:pPr>
        <w:widowControl/>
        <w:spacing w:before="0" w:after="120" w:line="288" w:lineRule="auto"/>
        <w:ind w:start="480" w:hanging="480"/>
      </w:pPr>
      <w:r>
        <w:rPr>
          <w:rFonts w:ascii="Tajawal" w:hAnsi="Tajawal" w:cs="Tajawal" w:eastAsia="Tajawal"/>
          <w:b/>
          <w:bCs/>
          <w:color w:val="A67C2D"/>
          <w:sz w:val="23"/>
          <w:szCs w:val="23"/>
        </w:rPr>
        <w:t xml:space="preserve">[1] </w:t>
      </w:r>
      <w:r>
        <w:rPr>
          <w:rFonts w:ascii="Amiri" w:hAnsi="Amiri" w:cs="Amiri" w:eastAsia="Amiri"/>
          <w:color w:val="1F2328"/>
          <w:sz w:val="22"/>
          <w:szCs w:val="22"/>
        </w:rPr>
        <w:t>International Energy Agency. (2019). Iraq's energy sector: A roadmap to a brighter future. Paris: IEA.</w:t>
      </w:r>
    </w:p>
    <w:p>
      <w:pPr>
        <w:widowControl/>
        <w:spacing w:before="0" w:after="120" w:line="288" w:lineRule="auto"/>
        <w:ind w:start="480" w:hanging="480"/>
      </w:pPr>
      <w:r>
        <w:rPr>
          <w:rFonts w:ascii="Tajawal" w:hAnsi="Tajawal" w:cs="Tajawal" w:eastAsia="Tajawal"/>
          <w:b/>
          <w:bCs/>
          <w:color w:val="A67C2D"/>
          <w:sz w:val="23"/>
          <w:szCs w:val="23"/>
        </w:rPr>
        <w:t xml:space="preserve">[2] </w:t>
      </w:r>
      <w:r>
        <w:rPr>
          <w:rFonts w:ascii="Amiri" w:hAnsi="Amiri" w:cs="Amiri" w:eastAsia="Amiri"/>
          <w:color w:val="1F2328"/>
          <w:sz w:val="22"/>
          <w:szCs w:val="22"/>
        </w:rPr>
        <w:t>International Renewable Energy Agency. (2024). Renewable power generation costs in 2023. Abu Dhabi: IRENA.</w:t>
      </w:r>
    </w:p>
    <w:p>
      <w:pPr>
        <w:widowControl/>
        <w:spacing w:before="0" w:after="120" w:line="288" w:lineRule="auto"/>
        <w:ind w:start="480" w:hanging="480"/>
      </w:pPr>
      <w:r>
        <w:rPr>
          <w:rFonts w:ascii="Tajawal" w:hAnsi="Tajawal" w:cs="Tajawal" w:eastAsia="Tajawal"/>
          <w:b/>
          <w:bCs/>
          <w:color w:val="A67C2D"/>
          <w:sz w:val="23"/>
          <w:szCs w:val="23"/>
        </w:rPr>
        <w:t xml:space="preserve">[3] </w:t>
      </w:r>
      <w:r>
        <w:rPr>
          <w:rFonts w:ascii="Amiri" w:hAnsi="Amiri" w:cs="Amiri" w:eastAsia="Amiri"/>
          <w:color w:val="1F2328"/>
          <w:sz w:val="22"/>
          <w:szCs w:val="22"/>
        </w:rPr>
        <w:t>World Bank, ESMAP, &amp; Solargis. (n.d.). Global Solar Atlas 2.0. Retrieved from https://globalsolaratlas.info</w:t>
      </w:r>
    </w:p>
    <w:p>
      <w:pPr>
        <w:widowControl/>
        <w:spacing w:before="0" w:after="120" w:line="288" w:lineRule="auto"/>
        <w:ind w:start="480" w:hanging="480"/>
      </w:pPr>
      <w:r>
        <w:rPr>
          <w:rFonts w:ascii="Tajawal" w:hAnsi="Tajawal" w:cs="Tajawal" w:eastAsia="Tajawal"/>
          <w:b/>
          <w:bCs/>
          <w:color w:val="A67C2D"/>
          <w:sz w:val="23"/>
          <w:szCs w:val="23"/>
        </w:rPr>
        <w:t xml:space="preserve">[4] </w:t>
      </w:r>
      <w:r>
        <w:rPr>
          <w:rFonts w:ascii="Amiri" w:hAnsi="Amiri" w:cs="Amiri" w:eastAsia="Amiri"/>
          <w:color w:val="1F2328"/>
          <w:sz w:val="22"/>
          <w:szCs w:val="22"/>
        </w:rPr>
        <w:t>Mani, M., &amp; Pillai, R. (2010). Impact of dust on solar photovoltaic (PV) performance: Research status, challenges and recommendations. Renewable and Sustainable Energy Reviews, 14(9), 3124–3131.</w:t>
      </w:r>
    </w:p>
    <w:p>
      <w:pPr>
        <w:widowControl/>
        <w:spacing w:before="0" w:after="120" w:line="288" w:lineRule="auto"/>
        <w:ind w:start="480" w:hanging="480"/>
      </w:pPr>
      <w:r>
        <w:rPr>
          <w:rFonts w:ascii="Tajawal" w:hAnsi="Tajawal" w:cs="Tajawal" w:eastAsia="Tajawal"/>
          <w:b/>
          <w:bCs/>
          <w:color w:val="A67C2D"/>
          <w:sz w:val="23"/>
          <w:szCs w:val="23"/>
        </w:rPr>
        <w:t xml:space="preserve">[5] </w:t>
      </w:r>
      <w:r>
        <w:rPr>
          <w:rFonts w:ascii="Amiri" w:hAnsi="Amiri" w:cs="Amiri" w:eastAsia="Amiri"/>
          <w:color w:val="1F2328"/>
          <w:sz w:val="22"/>
          <w:szCs w:val="22"/>
        </w:rPr>
        <w:t>Skoplaki, E., &amp; Palyvos, J. A. (2009). On the temperature dependence of photovoltaic module electrical performance: A review of efficiency/power correlations. Solar Energy, 83(5), 614–624.</w:t>
      </w:r>
    </w:p>
    <w:p>
      <w:pPr>
        <w:widowControl/>
        <w:spacing w:before="0" w:after="120" w:line="288" w:lineRule="auto"/>
        <w:ind w:start="480" w:hanging="480"/>
      </w:pPr>
      <w:r>
        <w:rPr>
          <w:rFonts w:ascii="Tajawal" w:hAnsi="Tajawal" w:cs="Tajawal" w:eastAsia="Tajawal"/>
          <w:b/>
          <w:bCs/>
          <w:color w:val="A67C2D"/>
          <w:sz w:val="23"/>
          <w:szCs w:val="23"/>
        </w:rPr>
        <w:t xml:space="preserve">[6] </w:t>
      </w:r>
      <w:r>
        <w:rPr>
          <w:rFonts w:ascii="Amiri" w:hAnsi="Amiri" w:cs="Amiri" w:eastAsia="Amiri"/>
          <w:color w:val="1F2328"/>
          <w:sz w:val="22"/>
          <w:szCs w:val="22"/>
        </w:rPr>
        <w:t>International Energy Agency. (2024). Renewables 2023: Analysis and forecast to 2028. Paris: IEA.</w:t>
      </w:r>
    </w:p>
    <w:sectPr w:rsidR="00FC693F" w:rsidRPr="0006063C" w:rsidSect="00034616">
      <w:headerReference w:type="default" r:id="rId9"/>
      <w:footerReference w:type="default" r:id="rId10"/>
      <w:pgSz w:w="11906" w:h="16838"/>
      <w:pgMar w:top="1361" w:right="1361" w:bottom="1361" w:left="1361" w:header="624" w:footer="624" w:gutter="0"/>
      <w:pgBorders w:offsetFrom="page">
        <w:top w:val="thinThickSmallGap" w:sz="24" w:space="24" w:color="12355B"/>
        <w:left w:val="thinThickSmallGap" w:sz="24" w:space="24" w:color="12355B"/>
        <w:bottom w:val="thinThickSmallGap" w:sz="24" w:space="24" w:color="12355B"/>
        <w:right w:val="thinThickSmallGap" w:sz="24" w:space="24" w:color="12355B"/>
      </w:pgBorders>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charset w:val="00"/>
    <w:family w:val="auto"/>
    <w:pitch w:val="variable"/>
    <w:embedRegular r:id="rId1" w:fontKey="{0D4254DE-E48E-4BF9-9AB0-3F43D2464BF7}"/>
    <w:embedBold r:id="rId2" w:fontKey="{A9F3D1BD-27CF-47A4-BB25-96EE17BC145E}"/>
  </w:font>
  <w:font w:name="Tajawal">
    <w:charset w:val="00"/>
    <w:family w:val="auto"/>
    <w:pitch w:val="variable"/>
    <w:embedRegular r:id="rId3" w:fontKey="{9CDB3A59-A005-4EAF-AADA-1E494E58F447}"/>
    <w:embedBold r:id="rId4" w:fontKey="{556622F3-4315-426C-96F3-0396178DD553}"/>
  </w:font>
  <w:font w:name="Tajawal ExtraBold">
    <w:charset w:val="00"/>
    <w:family w:val="auto"/>
    <w:pitch w:val="variable"/>
    <w:embedRegular r:id="rId5" w:fontKey="{BCD8E332-36DE-4929-8F16-55A78D736B7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bidi/>
      <w:spacing w:before="0" w:after="0"/>
      <w:jc w:val="center"/>
    </w:pPr>
    <w:r>
      <w:rPr>
        <w:rFonts w:ascii="Tajawal" w:hAnsi="Tajawal" w:cs="Tajawal" w:eastAsia="Tajawal"/>
        <w:color w:val="A67C2D"/>
        <w:sz w:val="22"/>
        <w:szCs w:val="22"/>
        <w:rtl/>
      </w:rPr>
      <w:t xml:space="preserve">— </w:t>
    </w:r>
    <w:r>
      <w:rPr>
        <w:rFonts w:ascii="Amiri" w:hAnsi="Amiri" w:cs="Amiri" w:eastAsia="Amiri"/>
        <w:b/>
        <w:bCs/>
        <w:color w:val="12355B"/>
        <w:sz w:val="22"/>
        <w:szCs w:val="22"/>
        <w:rtl/>
      </w:rPr>
      <w:fldChar w:fldCharType="begin"/>
    </w:r>
    <w:r>
      <w:rPr>
        <w:rFonts w:ascii="Amiri" w:hAnsi="Amiri" w:cs="Amiri" w:eastAsia="Amiri"/>
        <w:b/>
        <w:bCs/>
        <w:color w:val="12355B"/>
        <w:sz w:val="22"/>
        <w:szCs w:val="22"/>
        <w:rtl/>
      </w:rPr>
      <w:instrText xml:space="preserve"> PAGE </w:instrText>
    </w:r>
    <w:r>
      <w:rPr>
        <w:rFonts w:ascii="Amiri" w:hAnsi="Amiri" w:cs="Amiri" w:eastAsia="Amiri"/>
        <w:b/>
        <w:bCs/>
        <w:color w:val="12355B"/>
        <w:sz w:val="22"/>
        <w:szCs w:val="22"/>
        <w:rtl/>
      </w:rPr>
      <w:fldChar w:fldCharType="separate"/>
    </w:r>
    <w:r>
      <w:rPr>
        <w:rFonts w:ascii="Amiri" w:hAnsi="Amiri" w:cs="Amiri" w:eastAsia="Amiri"/>
        <w:b/>
        <w:bCs/>
        <w:color w:val="12355B"/>
        <w:sz w:val="22"/>
        <w:szCs w:val="22"/>
        <w:rtl/>
      </w:rPr>
      <w:t>1</w:t>
    </w:r>
    <w:r>
      <w:rPr>
        <w:rFonts w:ascii="Amiri" w:hAnsi="Amiri" w:cs="Amiri" w:eastAsia="Amiri"/>
        <w:b/>
        <w:bCs/>
        <w:color w:val="12355B"/>
        <w:sz w:val="22"/>
        <w:szCs w:val="22"/>
        <w:rtl/>
      </w:rPr>
      <w:fldChar w:fldCharType="end"/>
    </w:r>
    <w:r>
      <w:rPr>
        <w:rFonts w:ascii="Tajawal" w:hAnsi="Tajawal" w:cs="Tajawal" w:eastAsia="Tajawal"/>
        <w:color w:val="A67C2D"/>
        <w:sz w:val="22"/>
        <w:szCs w:val="22"/>
        <w:rtl/>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Bdr>
        <w:bottom w:val="single" w:sz="6" w:space="4" w:color="A67C2D"/>
      </w:pBdr>
      <w:bidi/>
      <w:spacing w:before="0" w:after="0"/>
      <w:jc w:val="center"/>
    </w:pPr>
    <w:r>
      <w:rPr>
        <w:rFonts w:ascii="Tajawal" w:hAnsi="Tajawal" w:cs="Tajawal" w:eastAsia="Tajawal"/>
        <w:color w:val="5B6470"/>
        <w:sz w:val="19"/>
        <w:szCs w:val="19"/>
        <w:rtl/>
      </w:rPr>
      <w:t>الطاقة الشمسية في العراق: الإمكانات والعوائق وطريق التوسع | منظومات الطاقة المتجددة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sz w:val="28"/>
      <w:szCs w:val="28"/>
      <w:lang w:val="ar-IQ" w:bidi="ar-IQ"/>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الطاقة الشمسية في العراق: الإمكانات والعوائق وطريق التوسع</dc:title>
  <dc:subject>منظومات الطاقة المتجددة</dc:subject>
  <dc:creator>مصطفى جاسم الربيعي</dc:creator>
  <cp:keywords>الطاقة الشمسية، الخلايا الكهروضوئية، العراق، أزمة الكهرباء، الغبار، كلفة الطاقة</cp:keywords>
  <dc:description/>
  <cp:lastModifiedBy>مصطفى جاسم الربيعي</cp:lastModifiedBy>
  <cp:revision>1</cp:revision>
  <dcterms:created xsi:type="dcterms:W3CDTF">2026-09-30T19:10:31Z</dcterms:created>
  <dcterms:modified xsi:type="dcterms:W3CDTF">2026-09-30T19:10:31Z</dcterms:modified>
  <cp:category/>
</cp:coreProperties>
</file>