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184" w:type="dxa"/>
        <w:jc w:val="center"/>
        <w:tblBorders>
          <w:top w:val="nil"/>
          <w:left w:val="nil"/>
          <w:bottom w:val="nil"/>
          <w:right w:val="nil"/>
          <w:insideH w:val="nil"/>
          <w:insideV w:val="nil"/>
        </w:tblBorders>
        <w:tblLayout w:type="fixed"/>
        <w:tblCellMar>
          <w:top w:w="60" w:type="dxa"/>
          <w:left w:w="110" w:type="dxa"/>
          <w:bottom w:w="60" w:type="dxa"/>
          <w:right w:w="110" w:type="dxa"/>
        </w:tblCellMar>
        <w:tblLook w:firstColumn="1" w:firstRow="1" w:lastColumn="0" w:lastRow="0" w:noHBand="0" w:noVBand="1" w:val="04A0"/>
      </w:tblPr>
      <w:tblGrid>
        <w:gridCol w:w="9184"/>
      </w:tblGrid>
      <w:tr>
        <w:tc>
          <w:tcPr>
            <w:tcW w:type="dxa" w:w="9184"/>
            <w:shd w:val="clear" w:color="auto" w:fill="173F7A"/>
            <w:tcMar>
              <w:top w:w="320" w:type="dxa"/>
              <w:bottom w:w="320" w:type="dxa"/>
            </w:tcMar>
            <w:vAlign w:val="center"/>
          </w:tcPr>
          <w:p>
            <w:pPr>
              <w:widowControl/>
              <w:spacing w:before="0" w:after="40"/>
              <w:jc w:val="center"/>
            </w:pPr>
            <w:r>
              <w:rPr>
                <w:rFonts w:ascii="Tajawal" w:hAnsi="Tajawal" w:cs="Tajawal" w:eastAsia="Tajawal"/>
                <w:b/>
                <w:bCs/>
                <w:color w:val="FFFFFF"/>
                <w:sz w:val="25"/>
                <w:szCs w:val="25"/>
              </w:rPr>
              <w:t>Republic of Iraq</w:t>
            </w:r>
          </w:p>
          <w:p>
            <w:pPr>
              <w:widowControl/>
              <w:spacing w:before="0" w:after="40"/>
              <w:jc w:val="center"/>
            </w:pPr>
            <w:r>
              <w:rPr>
                <w:rFonts w:ascii="Tajawal" w:hAnsi="Tajawal" w:cs="Tajawal" w:eastAsia="Tajawal"/>
                <w:b/>
                <w:bCs/>
                <w:color w:val="FFFFFF"/>
                <w:sz w:val="25"/>
                <w:szCs w:val="25"/>
              </w:rPr>
              <w:t>Ministry of Higher Education and Scientific Research</w:t>
            </w:r>
          </w:p>
          <w:p>
            <w:pPr>
              <w:widowControl/>
              <w:spacing w:before="0" w:after="40"/>
              <w:jc w:val="center"/>
            </w:pPr>
            <w:r>
              <w:rPr>
                <w:rFonts w:ascii="Tajawal" w:hAnsi="Tajawal" w:cs="Tajawal" w:eastAsia="Tajawal"/>
                <w:b/>
                <w:bCs/>
                <w:color w:val="FFFFFF"/>
                <w:sz w:val="30"/>
                <w:szCs w:val="30"/>
              </w:rPr>
              <w:t>University of Basrah — College of Pharmacy</w:t>
            </w:r>
          </w:p>
          <w:p>
            <w:pPr>
              <w:widowControl/>
              <w:spacing w:before="0" w:after="40"/>
              <w:jc w:val="center"/>
            </w:pPr>
            <w:r>
              <w:rPr>
                <w:rFonts w:ascii="Tajawal" w:hAnsi="Tajawal" w:cs="Tajawal" w:eastAsia="Tajawal"/>
                <w:b/>
                <w:bCs/>
                <w:color w:val="FFFFFF"/>
                <w:sz w:val="25"/>
                <w:szCs w:val="25"/>
              </w:rPr>
              <w:t>Department of Clinical Pharmacy</w:t>
            </w:r>
          </w:p>
        </w:tc>
      </w:tr>
    </w:tbl>
    <w:p>
      <w:pPr>
        <w:widowControl/>
        <w:spacing w:before="1920" w:after="120"/>
        <w:jc w:val="center"/>
      </w:pPr>
      <w:r>
        <w:rPr>
          <w:rFonts w:ascii="Tajawal" w:hAnsi="Tajawal" w:cs="Tajawal" w:eastAsia="Tajawal"/>
          <w:color w:val="2F80ED"/>
          <w:sz w:val="26"/>
          <w:szCs w:val="26"/>
        </w:rPr>
        <w:t>A report on</w:t>
      </w:r>
    </w:p>
    <w:p>
      <w:pPr>
        <w:widowControl/>
        <w:spacing w:before="0" w:after="120" w:line="276" w:lineRule="auto"/>
        <w:jc w:val="center"/>
      </w:pPr>
      <w:r>
        <w:rPr>
          <w:rFonts w:ascii="Tajawal ExtraBold" w:hAnsi="Tajawal ExtraBold" w:cs="Tajawal ExtraBold" w:eastAsia="Tajawal ExtraBold"/>
          <w:color w:val="173F7A"/>
          <w:sz w:val="50"/>
          <w:szCs w:val="50"/>
        </w:rPr>
        <w:t>Antimicrobial Resistance: The Slow Pandemic</w:t>
      </w:r>
    </w:p>
    <w:p>
      <w:pPr>
        <w:widowControl/>
        <w:spacing w:before="0" w:after="80"/>
        <w:jc w:val="center"/>
      </w:pPr>
      <w:r>
        <w:rPr>
          <w:rFonts w:ascii="Tajawal" w:hAnsi="Tajawal" w:cs="Tajawal" w:eastAsia="Tajawal"/>
          <w:color w:val="5B6470"/>
          <w:sz w:val="28"/>
          <w:szCs w:val="28"/>
        </w:rPr>
        <w:t>Drivers, global burden, and what pharmacists can change</w:t>
      </w:r>
    </w:p>
    <w:p>
      <w:pPr>
        <w:widowControl/>
        <w:spacing w:before="160" w:after="800"/>
        <w:jc w:val="center"/>
      </w:pPr>
      <w:r>
        <w:rPr>
          <w:rFonts w:ascii="Tajawal" w:hAnsi="Tajawal" w:cs="Tajawal" w:eastAsia="Tajawal"/>
          <w:color w:val="2F80ED"/>
          <w:sz w:val="20"/>
          <w:szCs w:val="20"/>
        </w:rPr>
        <w:t>◆  ◆  ◆</w:t>
      </w:r>
    </w:p>
    <w:tbl>
      <w:tblPr>
        <w:tblW w:w="6803" w:type="dxa"/>
        <w:jc w:val="center"/>
        <w:tblBorders>
          <w:top w:val="nil"/>
          <w:left w:val="nil"/>
          <w:bottom w:val="nil"/>
          <w:right w:val="nil"/>
          <w:insideH w:val="single" w:sz="4" w:space="0" w:color="D0D4DA"/>
          <w:insideV w:val="nil"/>
        </w:tblBorders>
        <w:tblLayout w:type="fixed"/>
        <w:tblCellMar>
          <w:top w:w="60" w:type="dxa"/>
          <w:left w:w="110" w:type="dxa"/>
          <w:bottom w:w="60" w:type="dxa"/>
          <w:right w:w="110" w:type="dxa"/>
        </w:tblCellMar>
        <w:tblLook w:firstColumn="1" w:firstRow="1" w:lastColumn="0" w:lastRow="0" w:noHBand="0" w:noVBand="1" w:val="04A0"/>
      </w:tblPr>
      <w:tblGrid>
        <w:gridCol w:w="2268"/>
        <w:gridCol w:w="4535"/>
      </w:tblGrid>
      <w:tr>
        <w:tc>
          <w:tcPr>
            <w:tcW w:type="dxa" w:w="2268"/>
            <w:tcMar>
              <w:top w:w="90" w:type="dxa"/>
              <w:bottom w:w="90" w:type="dxa"/>
            </w:tcMar>
            <w:vAlign w:val="center"/>
          </w:tcPr>
          <w:p>
            <w:pPr>
              <w:widowControl/>
              <w:spacing w:before="0" w:after="0"/>
            </w:pPr>
            <w:r>
              <w:rPr>
                <w:rFonts w:ascii="Tajawal" w:hAnsi="Tajawal" w:cs="Tajawal" w:eastAsia="Tajawal"/>
                <w:b/>
                <w:bCs/>
                <w:color w:val="2F80ED"/>
                <w:sz w:val="25"/>
                <w:szCs w:val="25"/>
              </w:rPr>
              <w:t>Prepared by</w:t>
            </w:r>
          </w:p>
        </w:tc>
        <w:tc>
          <w:tcPr>
            <w:tcW w:type="dxa" w:w="4535"/>
            <w:tcMar>
              <w:top w:w="90" w:type="dxa"/>
              <w:bottom w:w="90" w:type="dxa"/>
            </w:tcMar>
            <w:vAlign w:val="center"/>
          </w:tcPr>
          <w:p>
            <w:pPr>
              <w:widowControl/>
              <w:spacing w:before="0" w:after="0"/>
            </w:pPr>
            <w:r>
              <w:rPr>
                <w:rFonts w:ascii="Amiri" w:hAnsi="Amiri" w:cs="Amiri" w:eastAsia="Amiri"/>
                <w:b/>
                <w:bCs/>
                <w:color w:val="1F2328"/>
                <w:sz w:val="28"/>
                <w:szCs w:val="28"/>
              </w:rPr>
              <w:t>Ali Kareem Al-Maliki</w:t>
            </w:r>
          </w:p>
        </w:tc>
      </w:tr>
      <w:tr>
        <w:tc>
          <w:tcPr>
            <w:tcW w:type="dxa" w:w="2268"/>
            <w:tcMar>
              <w:top w:w="90" w:type="dxa"/>
              <w:bottom w:w="90" w:type="dxa"/>
            </w:tcMar>
            <w:vAlign w:val="center"/>
          </w:tcPr>
          <w:p>
            <w:pPr>
              <w:widowControl/>
              <w:spacing w:before="0" w:after="0"/>
            </w:pPr>
            <w:r>
              <w:rPr>
                <w:rFonts w:ascii="Tajawal" w:hAnsi="Tajawal" w:cs="Tajawal" w:eastAsia="Tajawal"/>
                <w:b/>
                <w:bCs/>
                <w:color w:val="2F80ED"/>
                <w:sz w:val="25"/>
                <w:szCs w:val="25"/>
              </w:rPr>
              <w:t>Course</w:t>
            </w:r>
          </w:p>
        </w:tc>
        <w:tc>
          <w:tcPr>
            <w:tcW w:type="dxa" w:w="4535"/>
            <w:tcMar>
              <w:top w:w="90" w:type="dxa"/>
              <w:bottom w:w="90" w:type="dxa"/>
            </w:tcMar>
            <w:vAlign w:val="center"/>
          </w:tcPr>
          <w:p>
            <w:pPr>
              <w:widowControl/>
              <w:spacing w:before="0" w:after="0"/>
            </w:pPr>
            <w:r>
              <w:rPr>
                <w:rFonts w:ascii="Amiri" w:hAnsi="Amiri" w:cs="Amiri" w:eastAsia="Amiri"/>
                <w:b/>
                <w:bCs/>
                <w:color w:val="1F2328"/>
                <w:sz w:val="28"/>
                <w:szCs w:val="28"/>
              </w:rPr>
              <w:t>Pharmacology &amp; Therapeutics</w:t>
            </w:r>
          </w:p>
        </w:tc>
      </w:tr>
      <w:tr>
        <w:tc>
          <w:tcPr>
            <w:tcW w:type="dxa" w:w="2268"/>
            <w:tcMar>
              <w:top w:w="90" w:type="dxa"/>
              <w:bottom w:w="90" w:type="dxa"/>
            </w:tcMar>
            <w:vAlign w:val="center"/>
          </w:tcPr>
          <w:p>
            <w:pPr>
              <w:widowControl/>
              <w:spacing w:before="0" w:after="0"/>
            </w:pPr>
            <w:r>
              <w:rPr>
                <w:rFonts w:ascii="Tajawal" w:hAnsi="Tajawal" w:cs="Tajawal" w:eastAsia="Tajawal"/>
                <w:b/>
                <w:bCs/>
                <w:color w:val="2F80ED"/>
                <w:sz w:val="25"/>
                <w:szCs w:val="25"/>
              </w:rPr>
              <w:t>Year / Stage</w:t>
            </w:r>
          </w:p>
        </w:tc>
        <w:tc>
          <w:tcPr>
            <w:tcW w:type="dxa" w:w="4535"/>
            <w:tcMar>
              <w:top w:w="90" w:type="dxa"/>
              <w:bottom w:w="90" w:type="dxa"/>
            </w:tcMar>
            <w:vAlign w:val="center"/>
          </w:tcPr>
          <w:p>
            <w:pPr>
              <w:widowControl/>
              <w:spacing w:before="0" w:after="0"/>
            </w:pPr>
            <w:r>
              <w:rPr>
                <w:rFonts w:ascii="Amiri" w:hAnsi="Amiri" w:cs="Amiri" w:eastAsia="Amiri"/>
                <w:b/>
                <w:bCs/>
                <w:color w:val="1F2328"/>
                <w:sz w:val="28"/>
                <w:szCs w:val="28"/>
              </w:rPr>
              <w:t>4th Year</w:t>
            </w:r>
          </w:p>
        </w:tc>
      </w:tr>
      <w:tr>
        <w:tc>
          <w:tcPr>
            <w:tcW w:type="dxa" w:w="2268"/>
            <w:tcMar>
              <w:top w:w="90" w:type="dxa"/>
              <w:bottom w:w="90" w:type="dxa"/>
            </w:tcMar>
            <w:vAlign w:val="center"/>
          </w:tcPr>
          <w:p>
            <w:pPr>
              <w:widowControl/>
              <w:spacing w:before="0" w:after="0"/>
            </w:pPr>
            <w:r>
              <w:rPr>
                <w:rFonts w:ascii="Tajawal" w:hAnsi="Tajawal" w:cs="Tajawal" w:eastAsia="Tajawal"/>
                <w:b/>
                <w:bCs/>
                <w:color w:val="2F80ED"/>
                <w:sz w:val="25"/>
                <w:szCs w:val="25"/>
              </w:rPr>
              <w:t>Supervised by</w:t>
            </w:r>
          </w:p>
        </w:tc>
        <w:tc>
          <w:tcPr>
            <w:tcW w:type="dxa" w:w="4535"/>
            <w:tcMar>
              <w:top w:w="90" w:type="dxa"/>
              <w:bottom w:w="90" w:type="dxa"/>
            </w:tcMar>
            <w:vAlign w:val="center"/>
          </w:tcPr>
          <w:p>
            <w:pPr>
              <w:widowControl/>
              <w:spacing w:before="0" w:after="0"/>
            </w:pPr>
            <w:r>
              <w:rPr>
                <w:rFonts w:ascii="Amiri" w:hAnsi="Amiri" w:cs="Amiri" w:eastAsia="Amiri"/>
                <w:b/>
                <w:bCs/>
                <w:color w:val="1F2328"/>
                <w:sz w:val="28"/>
                <w:szCs w:val="28"/>
              </w:rPr>
              <w:t>Dr. Huda Abdulwahid</w:t>
            </w:r>
          </w:p>
        </w:tc>
      </w:tr>
    </w:tbl>
    <w:p>
      <w:pPr>
        <w:widowControl/>
        <w:spacing w:before="920" w:after="0"/>
        <w:jc w:val="center"/>
      </w:pPr>
      <w:r>
        <w:rPr>
          <w:rFonts w:ascii="Tajawal" w:hAnsi="Tajawal" w:cs="Tajawal" w:eastAsia="Tajawal"/>
          <w:color w:val="5B6470"/>
          <w:sz w:val="25"/>
          <w:szCs w:val="25"/>
        </w:rPr>
        <w:t>Academic year 2025 – 2026</w:t>
      </w:r>
    </w:p>
    <w:p>
      <w:pPr>
        <w:widowControl/>
        <w:spacing w:before="0" w:after="0"/>
      </w:pPr>
      <w:r>
        <w:br w:type="page"/>
      </w:r>
    </w:p>
    <w:p>
      <w:pPr>
        <w:widowControl/>
        <w:spacing w:before="80" w:after="360"/>
        <w:jc w:val="center"/>
      </w:pPr>
      <w:r>
        <w:rPr>
          <w:rFonts w:ascii="Tajawal ExtraBold" w:hAnsi="Tajawal ExtraBold" w:cs="Tajawal ExtraBold" w:eastAsia="Tajawal ExtraBold"/>
          <w:color w:val="173F7A"/>
          <w:sz w:val="44"/>
          <w:szCs w:val="44"/>
        </w:rPr>
        <w:t>Contents</w:t>
      </w:r>
    </w:p>
    <w:tbl>
      <w:tblPr>
        <w:tblW w:w="9184" w:type="dxa"/>
        <w:jc w:val="center"/>
        <w:tblBorders>
          <w:top w:val="nil"/>
          <w:left w:val="nil"/>
          <w:bottom w:val="dotted" w:sz="6" w:space="0" w:color="B8BEC7"/>
          <w:right w:val="nil"/>
          <w:insideH w:val="dotted" w:sz="6" w:space="0" w:color="B8BEC7"/>
          <w:insideV w:val="nil"/>
        </w:tblBorders>
        <w:tblLayout w:type="fixed"/>
        <w:tblCellMar>
          <w:top w:w="60" w:type="dxa"/>
          <w:left w:w="110" w:type="dxa"/>
          <w:bottom w:w="60" w:type="dxa"/>
          <w:right w:w="110" w:type="dxa"/>
        </w:tblCellMar>
        <w:tblLook w:firstColumn="1" w:firstRow="1" w:lastColumn="0" w:lastRow="0" w:noHBand="0" w:noVBand="1" w:val="04A0"/>
      </w:tblPr>
      <w:tblGrid>
        <w:gridCol w:w="8164"/>
        <w:gridCol w:w="1020"/>
      </w:tblGrid>
      <w:tr>
        <w:tc>
          <w:tcPr>
            <w:tcW w:type="dxa" w:w="8164"/>
            <w:tcMar>
              <w:top w:w="70" w:type="dxa"/>
              <w:bottom w:w="70" w:type="dxa"/>
            </w:tcMar>
            <w:vAlign w:val="center"/>
          </w:tcPr>
          <w:p>
            <w:pPr>
              <w:widowControl/>
              <w:spacing w:before="0" w:after="0"/>
              <w:ind w:start="0"/>
            </w:pPr>
            <w:r>
              <w:rPr>
                <w:rFonts w:ascii="Tajawal" w:hAnsi="Tajawal" w:cs="Tajawal" w:eastAsia="Tajawal"/>
                <w:b/>
                <w:bCs/>
                <w:color w:val="1F2328"/>
                <w:sz w:val="27"/>
                <w:szCs w:val="27"/>
              </w:rPr>
              <w:t>Abstract</w:t>
            </w:r>
          </w:p>
        </w:tc>
        <w:tc>
          <w:tcPr>
            <w:tcW w:type="dxa" w:w="1020"/>
            <w:tcMar>
              <w:top w:w="70" w:type="dxa"/>
              <w:bottom w:w="70" w:type="dxa"/>
            </w:tcMar>
            <w:vAlign w:val="center"/>
          </w:tcPr>
          <w:p>
            <w:pPr>
              <w:widowControl/>
              <w:spacing w:before="0" w:after="0"/>
              <w:jc w:val="right"/>
            </w:pPr>
            <w:r>
              <w:rPr>
                <w:rFonts w:ascii="Tajawal" w:hAnsi="Tajawal" w:cs="Tajawal" w:eastAsia="Tajawal"/>
                <w:b/>
                <w:bCs/>
                <w:color w:val="173F7A"/>
                <w:sz w:val="25"/>
                <w:szCs w:val="25"/>
              </w:rPr>
              <w:t>3</w:t>
            </w:r>
          </w:p>
        </w:tc>
      </w:tr>
      <w:tr>
        <w:tc>
          <w:tcPr>
            <w:tcW w:type="dxa" w:w="8164"/>
            <w:tcMar>
              <w:top w:w="70" w:type="dxa"/>
              <w:bottom w:w="70" w:type="dxa"/>
            </w:tcMar>
            <w:vAlign w:val="center"/>
          </w:tcPr>
          <w:p>
            <w:pPr>
              <w:widowControl/>
              <w:spacing w:before="0" w:after="0"/>
              <w:ind w:start="0"/>
            </w:pPr>
            <w:r>
              <w:rPr>
                <w:rFonts w:ascii="Tajawal" w:hAnsi="Tajawal" w:cs="Tajawal" w:eastAsia="Tajawal"/>
                <w:b/>
                <w:bCs/>
                <w:color w:val="1F2328"/>
                <w:sz w:val="27"/>
                <w:szCs w:val="27"/>
              </w:rPr>
              <w:t>1. Introduction</w:t>
            </w:r>
          </w:p>
        </w:tc>
        <w:tc>
          <w:tcPr>
            <w:tcW w:type="dxa" w:w="1020"/>
            <w:tcMar>
              <w:top w:w="70" w:type="dxa"/>
              <w:bottom w:w="70" w:type="dxa"/>
            </w:tcMar>
            <w:vAlign w:val="center"/>
          </w:tcPr>
          <w:p>
            <w:pPr>
              <w:widowControl/>
              <w:spacing w:before="0" w:after="0"/>
              <w:jc w:val="right"/>
            </w:pPr>
            <w:r>
              <w:rPr>
                <w:rFonts w:ascii="Tajawal" w:hAnsi="Tajawal" w:cs="Tajawal" w:eastAsia="Tajawal"/>
                <w:b/>
                <w:bCs/>
                <w:color w:val="173F7A"/>
                <w:sz w:val="25"/>
                <w:szCs w:val="25"/>
              </w:rPr>
              <w:t>3</w:t>
            </w:r>
          </w:p>
        </w:tc>
      </w:tr>
      <w:tr>
        <w:tc>
          <w:tcPr>
            <w:tcW w:type="dxa" w:w="8164"/>
            <w:tcMar>
              <w:top w:w="70" w:type="dxa"/>
              <w:bottom w:w="70" w:type="dxa"/>
            </w:tcMar>
            <w:vAlign w:val="center"/>
          </w:tcPr>
          <w:p>
            <w:pPr>
              <w:widowControl/>
              <w:spacing w:before="0" w:after="0"/>
              <w:ind w:start="0"/>
            </w:pPr>
            <w:r>
              <w:rPr>
                <w:rFonts w:ascii="Tajawal" w:hAnsi="Tajawal" w:cs="Tajawal" w:eastAsia="Tajawal"/>
                <w:b/>
                <w:bCs/>
                <w:color w:val="1F2328"/>
                <w:sz w:val="27"/>
                <w:szCs w:val="27"/>
              </w:rPr>
              <w:t>2. How Resistance Emerges and Spreads</w:t>
            </w:r>
          </w:p>
        </w:tc>
        <w:tc>
          <w:tcPr>
            <w:tcW w:type="dxa" w:w="1020"/>
            <w:tcMar>
              <w:top w:w="70" w:type="dxa"/>
              <w:bottom w:w="70" w:type="dxa"/>
            </w:tcMar>
            <w:vAlign w:val="center"/>
          </w:tcPr>
          <w:p>
            <w:pPr>
              <w:widowControl/>
              <w:spacing w:before="0" w:after="0"/>
              <w:jc w:val="right"/>
            </w:pPr>
            <w:r>
              <w:rPr>
                <w:rFonts w:ascii="Tajawal" w:hAnsi="Tajawal" w:cs="Tajawal" w:eastAsia="Tajawal"/>
                <w:b/>
                <w:bCs/>
                <w:color w:val="173F7A"/>
                <w:sz w:val="25"/>
                <w:szCs w:val="25"/>
              </w:rPr>
              <w:t>4</w:t>
            </w:r>
          </w:p>
        </w:tc>
      </w:tr>
      <w:tr>
        <w:tc>
          <w:tcPr>
            <w:tcW w:type="dxa" w:w="8164"/>
            <w:tcMar>
              <w:top w:w="70" w:type="dxa"/>
              <w:bottom w:w="70" w:type="dxa"/>
            </w:tcMar>
            <w:vAlign w:val="center"/>
          </w:tcPr>
          <w:p>
            <w:pPr>
              <w:widowControl/>
              <w:spacing w:before="0" w:after="0"/>
              <w:ind w:start="0"/>
            </w:pPr>
            <w:r>
              <w:rPr>
                <w:rFonts w:ascii="Tajawal" w:hAnsi="Tajawal" w:cs="Tajawal" w:eastAsia="Tajawal"/>
                <w:b/>
                <w:bCs/>
                <w:color w:val="1F2328"/>
                <w:sz w:val="27"/>
                <w:szCs w:val="27"/>
              </w:rPr>
              <w:t>3. The Global Burden</w:t>
            </w:r>
          </w:p>
        </w:tc>
        <w:tc>
          <w:tcPr>
            <w:tcW w:type="dxa" w:w="1020"/>
            <w:tcMar>
              <w:top w:w="70" w:type="dxa"/>
              <w:bottom w:w="70" w:type="dxa"/>
            </w:tcMar>
            <w:vAlign w:val="center"/>
          </w:tcPr>
          <w:p>
            <w:pPr>
              <w:widowControl/>
              <w:spacing w:before="0" w:after="0"/>
              <w:jc w:val="right"/>
            </w:pPr>
            <w:r>
              <w:rPr>
                <w:rFonts w:ascii="Tajawal" w:hAnsi="Tajawal" w:cs="Tajawal" w:eastAsia="Tajawal"/>
                <w:b/>
                <w:bCs/>
                <w:color w:val="173F7A"/>
                <w:sz w:val="25"/>
                <w:szCs w:val="25"/>
              </w:rPr>
              <w:t>5</w:t>
            </w:r>
          </w:p>
        </w:tc>
      </w:tr>
      <w:tr>
        <w:tc>
          <w:tcPr>
            <w:tcW w:type="dxa" w:w="8164"/>
            <w:tcMar>
              <w:top w:w="70" w:type="dxa"/>
              <w:bottom w:w="70" w:type="dxa"/>
            </w:tcMar>
            <w:vAlign w:val="center"/>
          </w:tcPr>
          <w:p>
            <w:pPr>
              <w:widowControl/>
              <w:spacing w:before="0" w:after="0"/>
              <w:ind w:start="0"/>
            </w:pPr>
            <w:r>
              <w:rPr>
                <w:rFonts w:ascii="Tajawal" w:hAnsi="Tajawal" w:cs="Tajawal" w:eastAsia="Tajawal"/>
                <w:b/>
                <w:bCs/>
                <w:color w:val="1F2328"/>
                <w:sz w:val="27"/>
                <w:szCs w:val="27"/>
              </w:rPr>
              <w:t>4. Critical Discussion: Why Progress Is Slow</w:t>
            </w:r>
          </w:p>
        </w:tc>
        <w:tc>
          <w:tcPr>
            <w:tcW w:type="dxa" w:w="1020"/>
            <w:tcMar>
              <w:top w:w="70" w:type="dxa"/>
              <w:bottom w:w="70" w:type="dxa"/>
            </w:tcMar>
            <w:vAlign w:val="center"/>
          </w:tcPr>
          <w:p>
            <w:pPr>
              <w:widowControl/>
              <w:spacing w:before="0" w:after="0"/>
              <w:jc w:val="right"/>
            </w:pPr>
            <w:r>
              <w:rPr>
                <w:rFonts w:ascii="Tajawal" w:hAnsi="Tajawal" w:cs="Tajawal" w:eastAsia="Tajawal"/>
                <w:b/>
                <w:bCs/>
                <w:color w:val="173F7A"/>
                <w:sz w:val="25"/>
                <w:szCs w:val="25"/>
              </w:rPr>
              <w:t>5</w:t>
            </w:r>
          </w:p>
        </w:tc>
      </w:tr>
      <w:tr>
        <w:tc>
          <w:tcPr>
            <w:tcW w:type="dxa" w:w="8164"/>
            <w:tcMar>
              <w:top w:w="70" w:type="dxa"/>
              <w:bottom w:w="70" w:type="dxa"/>
            </w:tcMar>
            <w:vAlign w:val="center"/>
          </w:tcPr>
          <w:p>
            <w:pPr>
              <w:widowControl/>
              <w:spacing w:before="0" w:after="0"/>
              <w:ind w:start="0"/>
            </w:pPr>
            <w:r>
              <w:rPr>
                <w:rFonts w:ascii="Tajawal" w:hAnsi="Tajawal" w:cs="Tajawal" w:eastAsia="Tajawal"/>
                <w:b/>
                <w:bCs/>
                <w:color w:val="1F2328"/>
                <w:sz w:val="27"/>
                <w:szCs w:val="27"/>
              </w:rPr>
              <w:t>5. What Pharmacists Can Change</w:t>
            </w:r>
          </w:p>
        </w:tc>
        <w:tc>
          <w:tcPr>
            <w:tcW w:type="dxa" w:w="1020"/>
            <w:tcMar>
              <w:top w:w="70" w:type="dxa"/>
              <w:bottom w:w="70" w:type="dxa"/>
            </w:tcMar>
            <w:vAlign w:val="center"/>
          </w:tcPr>
          <w:p>
            <w:pPr>
              <w:widowControl/>
              <w:spacing w:before="0" w:after="0"/>
              <w:jc w:val="right"/>
            </w:pPr>
            <w:r>
              <w:rPr>
                <w:rFonts w:ascii="Tajawal" w:hAnsi="Tajawal" w:cs="Tajawal" w:eastAsia="Tajawal"/>
                <w:b/>
                <w:bCs/>
                <w:color w:val="173F7A"/>
                <w:sz w:val="25"/>
                <w:szCs w:val="25"/>
              </w:rPr>
              <w:t>6</w:t>
            </w:r>
          </w:p>
        </w:tc>
      </w:tr>
      <w:tr>
        <w:tc>
          <w:tcPr>
            <w:tcW w:type="dxa" w:w="8164"/>
            <w:tcMar>
              <w:top w:w="70" w:type="dxa"/>
              <w:bottom w:w="70" w:type="dxa"/>
            </w:tcMar>
            <w:vAlign w:val="center"/>
          </w:tcPr>
          <w:p>
            <w:pPr>
              <w:widowControl/>
              <w:spacing w:before="0" w:after="0"/>
              <w:ind w:start="0"/>
            </w:pPr>
            <w:r>
              <w:rPr>
                <w:rFonts w:ascii="Tajawal" w:hAnsi="Tajawal" w:cs="Tajawal" w:eastAsia="Tajawal"/>
                <w:b/>
                <w:bCs/>
                <w:color w:val="1F2328"/>
                <w:sz w:val="27"/>
                <w:szCs w:val="27"/>
              </w:rPr>
              <w:t>6. Conclusion</w:t>
            </w:r>
          </w:p>
        </w:tc>
        <w:tc>
          <w:tcPr>
            <w:tcW w:type="dxa" w:w="1020"/>
            <w:tcMar>
              <w:top w:w="70" w:type="dxa"/>
              <w:bottom w:w="70" w:type="dxa"/>
            </w:tcMar>
            <w:vAlign w:val="center"/>
          </w:tcPr>
          <w:p>
            <w:pPr>
              <w:widowControl/>
              <w:spacing w:before="0" w:after="0"/>
              <w:jc w:val="right"/>
            </w:pPr>
            <w:r>
              <w:rPr>
                <w:rFonts w:ascii="Tajawal" w:hAnsi="Tajawal" w:cs="Tajawal" w:eastAsia="Tajawal"/>
                <w:b/>
                <w:bCs/>
                <w:color w:val="173F7A"/>
                <w:sz w:val="25"/>
                <w:szCs w:val="25"/>
              </w:rPr>
              <w:t>7</w:t>
            </w:r>
          </w:p>
        </w:tc>
      </w:tr>
      <w:tr>
        <w:tc>
          <w:tcPr>
            <w:tcW w:type="dxa" w:w="8164"/>
            <w:tcMar>
              <w:top w:w="70" w:type="dxa"/>
              <w:bottom w:w="70" w:type="dxa"/>
            </w:tcMar>
            <w:vAlign w:val="center"/>
          </w:tcPr>
          <w:p>
            <w:pPr>
              <w:widowControl/>
              <w:spacing w:before="0" w:after="0"/>
              <w:ind w:start="0"/>
            </w:pPr>
            <w:r>
              <w:rPr>
                <w:rFonts w:ascii="Tajawal" w:hAnsi="Tajawal" w:cs="Tajawal" w:eastAsia="Tajawal"/>
                <w:b/>
                <w:bCs/>
                <w:color w:val="1F2328"/>
                <w:sz w:val="27"/>
                <w:szCs w:val="27"/>
              </w:rPr>
              <w:t>References</w:t>
            </w:r>
          </w:p>
        </w:tc>
        <w:tc>
          <w:tcPr>
            <w:tcW w:type="dxa" w:w="1020"/>
            <w:tcMar>
              <w:top w:w="70" w:type="dxa"/>
              <w:bottom w:w="70" w:type="dxa"/>
            </w:tcMar>
            <w:vAlign w:val="center"/>
          </w:tcPr>
          <w:p>
            <w:pPr>
              <w:widowControl/>
              <w:spacing w:before="0" w:after="0"/>
              <w:jc w:val="right"/>
            </w:pPr>
            <w:r>
              <w:rPr>
                <w:rFonts w:ascii="Tajawal" w:hAnsi="Tajawal" w:cs="Tajawal" w:eastAsia="Tajawal"/>
                <w:b/>
                <w:bCs/>
                <w:color w:val="173F7A"/>
                <w:sz w:val="25"/>
                <w:szCs w:val="25"/>
              </w:rPr>
              <w:t>8</w:t>
            </w:r>
          </w:p>
        </w:tc>
      </w:tr>
    </w:tbl>
    <w:p>
      <w:pPr>
        <w:widowControl/>
        <w:spacing w:before="0" w:after="0"/>
      </w:pPr>
      <w:r>
        <w:br w:type="page"/>
      </w:r>
    </w:p>
    <w:p>
      <w:pPr>
        <w:pStyle w:val="Heading1"/>
        <w:keepNext/>
        <w:keepLines/>
        <w:widowControl/>
        <w:pBdr>
          <w:bottom w:val="single" w:sz="12" w:space="6" w:color="2F80ED"/>
        </w:pBdr>
        <w:spacing w:before="320" w:after="200"/>
        <w:outlineLvl w:val="0"/>
      </w:pPr>
      <w:r>
        <w:rPr>
          <w:rFonts w:ascii="Tajawal" w:hAnsi="Tajawal" w:cs="Tajawal" w:eastAsia="Tajawal"/>
          <w:b/>
          <w:bCs/>
          <w:color w:val="173F7A"/>
          <w:sz w:val="36"/>
          <w:szCs w:val="36"/>
        </w:rPr>
        <w:t>Abstract</w:t>
      </w:r>
    </w:p>
    <w:p>
      <w:pPr>
        <w:widowControl/>
        <w:spacing w:before="0" w:after="160" w:line="276" w:lineRule="auto"/>
        <w:jc w:val="both"/>
      </w:pPr>
      <w:r>
        <w:rPr>
          <w:rFonts w:ascii="Amiri" w:hAnsi="Amiri" w:cs="Amiri" w:eastAsia="Amiri"/>
          <w:color w:val="1F2328"/>
          <w:sz w:val="24"/>
          <w:szCs w:val="24"/>
        </w:rPr>
        <w:t>Antibiotics turned once-fatal infections into routine prescriptions, yet the bacteria they target keep adapting. This report reviews how antimicrobial resistance (AMR) emerges and spreads, what the best current estimates say about its global burden, and why low- and middle-income countries, including Iraq, face a disproportionate share of that burden. Drawing on the Global Research on Antimicrobial Resistance (GRAM) studies published in The Lancet, it shows that bacterial AMR was directly responsible for about 1.27 million deaths in 2019 and is forecast to cause close to 40 million deaths between 2025 and 2050 if trends continue. The report then turns to what can realistically change: stewardship in hospitals and community pharmacies, infection prevention, surveillance, and the stalled pipeline of new antibiotics. It argues that pharmacists, who often hand out antibiotics without a prescription in practice, sit at one of the most decisive points in the chain.</w:t>
      </w:r>
    </w:p>
    <w:p>
      <w:pPr>
        <w:widowControl/>
        <w:spacing w:before="0" w:after="200"/>
        <w:jc w:val="both"/>
      </w:pPr>
      <w:r>
        <w:rPr>
          <w:rFonts w:ascii="Amiri" w:hAnsi="Amiri" w:cs="Amiri" w:eastAsia="Amiri"/>
          <w:b/>
          <w:bCs/>
          <w:color w:val="1F2328"/>
          <w:sz w:val="23"/>
          <w:szCs w:val="23"/>
        </w:rPr>
        <w:t>Keywords:</w:t>
      </w:r>
      <w:r>
        <w:rPr>
          <w:rFonts w:ascii="Amiri" w:hAnsi="Amiri" w:cs="Amiri" w:eastAsia="Amiri"/>
          <w:color w:val="1F2328"/>
          <w:sz w:val="23"/>
          <w:szCs w:val="23"/>
        </w:rPr>
        <w:t xml:space="preserve"> antimicrobial resistance, antibiotic stewardship, global burden, pharmacy practice, Iraq</w:t>
      </w:r>
    </w:p>
    <w:p>
      <w:pPr>
        <w:pStyle w:val="Heading1"/>
        <w:keepNext/>
        <w:keepLines/>
        <w:widowControl/>
        <w:pBdr>
          <w:bottom w:val="single" w:sz="12" w:space="6" w:color="2F80ED"/>
        </w:pBdr>
        <w:spacing w:before="320" w:after="200"/>
        <w:outlineLvl w:val="0"/>
      </w:pPr>
      <w:r>
        <w:rPr>
          <w:rFonts w:ascii="Tajawal" w:hAnsi="Tajawal" w:cs="Tajawal" w:eastAsia="Tajawal"/>
          <w:b/>
          <w:bCs/>
          <w:color w:val="173F7A"/>
          <w:sz w:val="36"/>
          <w:szCs w:val="36"/>
        </w:rPr>
        <w:t>1. Introduction</w:t>
      </w:r>
    </w:p>
    <w:p>
      <w:pPr>
        <w:widowControl/>
        <w:spacing w:before="0" w:after="160" w:line="276" w:lineRule="auto"/>
        <w:jc w:val="both"/>
      </w:pPr>
      <w:r>
        <w:rPr>
          <w:rFonts w:ascii="Amiri" w:hAnsi="Amiri" w:cs="Amiri" w:eastAsia="Amiri"/>
          <w:color w:val="1F2328"/>
          <w:sz w:val="24"/>
          <w:szCs w:val="24"/>
        </w:rPr>
        <w:t>When Alexander Fleming accepted the Nobel Prize in 1945, he used part of his lecture to warn that underdosing penicillin could teach microbes to resist it [4]. Eighty years later his warning reads less like a prediction and more like a description. Infections that responded to first-line drugs a generation ago, from urinary tract infections to neonatal sepsis, increasingly need second- and third-line agents, and sometimes nothing works at all.</w:t>
      </w:r>
    </w:p>
    <w:p>
      <w:pPr>
        <w:widowControl/>
        <w:spacing w:before="0" w:after="160" w:line="276" w:lineRule="auto"/>
        <w:jc w:val="both"/>
      </w:pPr>
      <w:r>
        <w:rPr>
          <w:rFonts w:ascii="Amiri" w:hAnsi="Amiri" w:cs="Amiri" w:eastAsia="Amiri"/>
          <w:color w:val="1F2328"/>
          <w:sz w:val="24"/>
          <w:szCs w:val="24"/>
        </w:rPr>
        <w:t>Unlike an outbreak, AMR rarely makes headlines. Deaths are recorded as pneumonia, sepsis or post-operative complications, and the resistant organism behind them is often never identified. That is why it is sometimes called a slow pandemic. This report asks three questions: how resistance develops and spreads, how large the problem is, and which interventions have evidence behind them.</w:t>
      </w:r>
    </w:p>
    <w:p>
      <w:pPr>
        <w:pStyle w:val="Heading1"/>
        <w:keepNext/>
        <w:keepLines/>
        <w:widowControl/>
        <w:pBdr>
          <w:bottom w:val="single" w:sz="12" w:space="6" w:color="2F80ED"/>
        </w:pBdr>
        <w:spacing w:before="320" w:after="200"/>
        <w:outlineLvl w:val="0"/>
      </w:pPr>
      <w:r>
        <w:rPr>
          <w:rFonts w:ascii="Tajawal" w:hAnsi="Tajawal" w:cs="Tajawal" w:eastAsia="Tajawal"/>
          <w:b/>
          <w:bCs/>
          <w:color w:val="173F7A"/>
          <w:sz w:val="36"/>
          <w:szCs w:val="36"/>
        </w:rPr>
        <w:t>2. How Resistance Emerges and Spreads</w:t>
      </w:r>
    </w:p>
    <w:p>
      <w:pPr>
        <w:widowControl/>
        <w:spacing w:before="0" w:after="160" w:line="276" w:lineRule="auto"/>
        <w:jc w:val="both"/>
      </w:pPr>
      <w:r>
        <w:rPr>
          <w:rFonts w:ascii="Amiri" w:hAnsi="Amiri" w:cs="Amiri" w:eastAsia="Amiri"/>
          <w:color w:val="1F2328"/>
          <w:sz w:val="24"/>
          <w:szCs w:val="24"/>
        </w:rPr>
        <w:t>Resistance is evolution under selection pressure. In any large bacterial population a few cells carry mutations or acquired genes that let them survive a drug. Each course of antibiotics, and especially an unnecessary or incomplete one, removes their susceptible competitors and leaves the resistant cells to multiply [5].</w:t>
      </w:r>
    </w:p>
    <w:p>
      <w:pPr>
        <w:widowControl/>
        <w:spacing w:before="0" w:after="80" w:line="312" w:lineRule="auto"/>
        <w:ind w:start="540" w:hanging="360"/>
        <w:jc w:val="both"/>
      </w:pPr>
      <w:r>
        <w:rPr>
          <w:rFonts w:ascii="Tajawal" w:hAnsi="Tajawal" w:cs="Tajawal" w:eastAsia="Tajawal"/>
          <w:b/>
          <w:bCs/>
          <w:color w:val="2F80ED"/>
          <w:sz w:val="22"/>
          <w:szCs w:val="22"/>
        </w:rPr>
        <w:t xml:space="preserve">▸ </w:t>
      </w:r>
      <w:r>
        <w:rPr>
          <w:rFonts w:ascii="Amiri" w:hAnsi="Amiri" w:cs="Amiri" w:eastAsia="Amiri"/>
          <w:b/>
          <w:bCs/>
          <w:color w:val="1F2328"/>
          <w:sz w:val="24"/>
          <w:szCs w:val="24"/>
        </w:rPr>
        <w:t>Enzymatic inactivation</w:t>
      </w:r>
      <w:r>
        <w:rPr>
          <w:rFonts w:ascii="Amiri" w:hAnsi="Amiri" w:cs="Amiri" w:eastAsia="Amiri"/>
          <w:color w:val="1F2328"/>
          <w:sz w:val="24"/>
          <w:szCs w:val="24"/>
        </w:rPr>
        <w:t>: beta-lactamases, including extended-spectrum beta-lactamases and carbapenemases, break the drug down before it acts.</w:t>
      </w:r>
    </w:p>
    <w:p>
      <w:pPr>
        <w:widowControl/>
        <w:spacing w:before="0" w:after="80" w:line="312" w:lineRule="auto"/>
        <w:ind w:start="540" w:hanging="360"/>
        <w:jc w:val="both"/>
      </w:pPr>
      <w:r>
        <w:rPr>
          <w:rFonts w:ascii="Tajawal" w:hAnsi="Tajawal" w:cs="Tajawal" w:eastAsia="Tajawal"/>
          <w:b/>
          <w:bCs/>
          <w:color w:val="2F80ED"/>
          <w:sz w:val="22"/>
          <w:szCs w:val="22"/>
        </w:rPr>
        <w:t xml:space="preserve">▸ </w:t>
      </w:r>
      <w:r>
        <w:rPr>
          <w:rFonts w:ascii="Amiri" w:hAnsi="Amiri" w:cs="Amiri" w:eastAsia="Amiri"/>
          <w:b/>
          <w:bCs/>
          <w:color w:val="1F2328"/>
          <w:sz w:val="24"/>
          <w:szCs w:val="24"/>
        </w:rPr>
        <w:t>Target modification</w:t>
      </w:r>
      <w:r>
        <w:rPr>
          <w:rFonts w:ascii="Amiri" w:hAnsi="Amiri" w:cs="Amiri" w:eastAsia="Amiri"/>
          <w:color w:val="1F2328"/>
          <w:sz w:val="24"/>
          <w:szCs w:val="24"/>
        </w:rPr>
        <w:t>: altered penicillin-binding proteins in MRSA no longer bind beta-lactams effectively.</w:t>
      </w:r>
    </w:p>
    <w:p>
      <w:pPr>
        <w:widowControl/>
        <w:spacing w:before="0" w:after="80" w:line="312" w:lineRule="auto"/>
        <w:ind w:start="540" w:hanging="360"/>
        <w:jc w:val="both"/>
      </w:pPr>
      <w:r>
        <w:rPr>
          <w:rFonts w:ascii="Tajawal" w:hAnsi="Tajawal" w:cs="Tajawal" w:eastAsia="Tajawal"/>
          <w:b/>
          <w:bCs/>
          <w:color w:val="2F80ED"/>
          <w:sz w:val="22"/>
          <w:szCs w:val="22"/>
        </w:rPr>
        <w:t xml:space="preserve">▸ </w:t>
      </w:r>
      <w:r>
        <w:rPr>
          <w:rFonts w:ascii="Amiri" w:hAnsi="Amiri" w:cs="Amiri" w:eastAsia="Amiri"/>
          <w:b/>
          <w:bCs/>
          <w:color w:val="1F2328"/>
          <w:sz w:val="24"/>
          <w:szCs w:val="24"/>
        </w:rPr>
        <w:t>Efflux pumps</w:t>
      </w:r>
      <w:r>
        <w:rPr>
          <w:rFonts w:ascii="Amiri" w:hAnsi="Amiri" w:cs="Amiri" w:eastAsia="Amiri"/>
          <w:color w:val="1F2328"/>
          <w:sz w:val="24"/>
          <w:szCs w:val="24"/>
        </w:rPr>
        <w:t>: membrane proteins expel the drug from the cell.</w:t>
      </w:r>
    </w:p>
    <w:p>
      <w:pPr>
        <w:widowControl/>
        <w:spacing w:before="0" w:after="200" w:line="312" w:lineRule="auto"/>
        <w:ind w:start="540" w:hanging="360"/>
        <w:jc w:val="both"/>
      </w:pPr>
      <w:r>
        <w:rPr>
          <w:rFonts w:ascii="Tajawal" w:hAnsi="Tajawal" w:cs="Tajawal" w:eastAsia="Tajawal"/>
          <w:b/>
          <w:bCs/>
          <w:color w:val="2F80ED"/>
          <w:sz w:val="22"/>
          <w:szCs w:val="22"/>
        </w:rPr>
        <w:t xml:space="preserve">▸ </w:t>
      </w:r>
      <w:r>
        <w:rPr>
          <w:rFonts w:ascii="Amiri" w:hAnsi="Amiri" w:cs="Amiri" w:eastAsia="Amiri"/>
          <w:b/>
          <w:bCs/>
          <w:color w:val="1F2328"/>
          <w:sz w:val="24"/>
          <w:szCs w:val="24"/>
        </w:rPr>
        <w:t>Reduced permeability</w:t>
      </w:r>
      <w:r>
        <w:rPr>
          <w:rFonts w:ascii="Amiri" w:hAnsi="Amiri" w:cs="Amiri" w:eastAsia="Amiri"/>
          <w:color w:val="1F2328"/>
          <w:sz w:val="24"/>
          <w:szCs w:val="24"/>
        </w:rPr>
        <w:t>: changes in porins keep the drug out, particularly in Gram-negative bacteria.</w:t>
      </w:r>
    </w:p>
    <w:p>
      <w:pPr>
        <w:widowControl/>
        <w:spacing w:before="0" w:after="160" w:line="276" w:lineRule="auto"/>
        <w:jc w:val="both"/>
      </w:pPr>
      <w:r>
        <w:rPr>
          <w:rFonts w:ascii="Amiri" w:hAnsi="Amiri" w:cs="Amiri" w:eastAsia="Amiri"/>
          <w:color w:val="1F2328"/>
          <w:sz w:val="24"/>
          <w:szCs w:val="24"/>
        </w:rPr>
        <w:t xml:space="preserve">What turns a local problem into a global one is </w:t>
      </w:r>
      <w:r>
        <w:rPr>
          <w:rFonts w:ascii="Amiri" w:hAnsi="Amiri" w:cs="Amiri" w:eastAsia="Amiri"/>
          <w:b/>
          <w:bCs/>
          <w:color w:val="1F2328"/>
          <w:sz w:val="24"/>
          <w:szCs w:val="24"/>
        </w:rPr>
        <w:t>horizontal gene transfer</w:t>
      </w:r>
      <w:r>
        <w:rPr>
          <w:rFonts w:ascii="Amiri" w:hAnsi="Amiri" w:cs="Amiri" w:eastAsia="Amiri"/>
          <w:color w:val="1F2328"/>
          <w:sz w:val="24"/>
          <w:szCs w:val="24"/>
        </w:rPr>
        <w:t>. Resistance genes carried on plasmids can move between different bacterial species, so a gene selected in one patient, farm or sewage system can surface elsewhere. Hospitals concentrate vulnerable patients and heavy antibiotic use, and international travel carries resistant strains across borders within days.</w:t>
      </w:r>
    </w:p>
    <w:tbl>
      <w:tblPr>
        <w:tblW w:w="9184" w:type="dxa"/>
        <w:jc w:val="center"/>
        <w:tblBorders>
          <w:top w:val="single" w:sz="24" w:space="0" w:color="2F80ED"/>
          <w:left w:val="nil"/>
          <w:bottom w:val="nil"/>
          <w:right w:val="nil"/>
          <w:insideH w:val="nil"/>
          <w:insideV w:val="nil"/>
        </w:tblBorders>
        <w:tblLayout w:type="fixed"/>
        <w:tblCellMar>
          <w:top w:w="60" w:type="dxa"/>
          <w:left w:w="110" w:type="dxa"/>
          <w:bottom w:w="60" w:type="dxa"/>
          <w:right w:w="110" w:type="dxa"/>
        </w:tblCellMar>
        <w:tblLook w:firstColumn="1" w:firstRow="1" w:lastColumn="0" w:lastRow="0" w:noHBand="0" w:noVBand="1" w:val="04A0"/>
      </w:tblPr>
      <w:tblGrid>
        <w:gridCol w:w="9184"/>
      </w:tblGrid>
      <w:tr>
        <w:tc>
          <w:tcPr>
            <w:tcW w:type="dxa" w:w="9184"/>
            <w:shd w:val="clear" w:color="auto" w:fill="EAF1FC"/>
            <w:tcMar>
              <w:top w:w="140" w:type="dxa"/>
              <w:left w:w="220" w:type="dxa"/>
              <w:bottom w:w="140" w:type="dxa"/>
              <w:right w:w="220" w:type="dxa"/>
            </w:tcMar>
            <w:vAlign w:val="center"/>
          </w:tcPr>
          <w:p>
            <w:pPr>
              <w:widowControl/>
              <w:spacing w:before="0" w:after="60"/>
            </w:pPr>
            <w:r>
              <w:rPr>
                <w:rFonts w:ascii="Tajawal" w:hAnsi="Tajawal" w:cs="Tajawal" w:eastAsia="Tajawal"/>
                <w:b/>
                <w:bCs/>
                <w:color w:val="173F7A"/>
                <w:sz w:val="23"/>
                <w:szCs w:val="23"/>
              </w:rPr>
              <w:t>The One Health view</w:t>
            </w:r>
          </w:p>
          <w:p>
            <w:pPr>
              <w:widowControl/>
              <w:spacing w:before="0" w:after="0" w:line="312" w:lineRule="auto"/>
              <w:jc w:val="both"/>
            </w:pPr>
            <w:r>
              <w:rPr>
                <w:rFonts w:ascii="Amiri" w:hAnsi="Amiri" w:cs="Amiri" w:eastAsia="Amiri"/>
                <w:color w:val="1F2328"/>
                <w:sz w:val="23"/>
                <w:szCs w:val="23"/>
              </w:rPr>
              <w:t>Human medicine is only part of the picture. Antibiotics used to promote growth in livestock, residues in wastewater from pharmaceutical plants, and poor sanitation all add selection pressure. This is why WHO, FAO and the World Organisation for Animal Health treat AMR as a single problem across people, animals and the environment [2].</w:t>
            </w:r>
          </w:p>
        </w:tc>
      </w:tr>
    </w:tbl>
    <w:p>
      <w:pPr>
        <w:widowControl/>
        <w:spacing w:before="0" w:after="120"/>
      </w:pPr>
    </w:p>
    <w:p>
      <w:pPr>
        <w:pStyle w:val="Heading1"/>
        <w:keepNext/>
        <w:keepLines/>
        <w:widowControl/>
        <w:pBdr>
          <w:bottom w:val="single" w:sz="12" w:space="6" w:color="2F80ED"/>
        </w:pBdr>
        <w:spacing w:before="320" w:after="200"/>
        <w:outlineLvl w:val="0"/>
      </w:pPr>
      <w:r>
        <w:rPr>
          <w:rFonts w:ascii="Tajawal" w:hAnsi="Tajawal" w:cs="Tajawal" w:eastAsia="Tajawal"/>
          <w:b/>
          <w:bCs/>
          <w:color w:val="173F7A"/>
          <w:sz w:val="36"/>
          <w:szCs w:val="36"/>
        </w:rPr>
        <w:t>3. The Global Burden</w:t>
      </w:r>
    </w:p>
    <w:p>
      <w:pPr>
        <w:widowControl/>
        <w:spacing w:before="0" w:after="160" w:line="276" w:lineRule="auto"/>
        <w:jc w:val="both"/>
      </w:pPr>
      <w:r>
        <w:rPr>
          <w:rFonts w:ascii="Amiri" w:hAnsi="Amiri" w:cs="Amiri" w:eastAsia="Amiri"/>
          <w:color w:val="1F2328"/>
          <w:sz w:val="24"/>
          <w:szCs w:val="24"/>
        </w:rPr>
        <w:t>For years the most-quoted figure was the projection from the 2016 O'Neill review: 10 million deaths a year by 2050 [3]. It was a scenario rather than a measurement, and it drew criticism for that. The GRAM study published in 2022 changed the evidence base by estimating deaths directly across 204 countries. It found that bacterial AMR was directly responsible for about 1.27 million deaths in 2019 and associated with about 4.95 million [1]. A follow-up analysis in 2024 forecast roughly 39 million deaths attributable to AMR between 2025 and 2050 [6].</w:t>
      </w:r>
    </w:p>
    <w:p>
      <w:pPr>
        <w:keepNext/>
        <w:keepLines/>
        <w:widowControl/>
        <w:spacing w:before="120" w:after="80"/>
        <w:jc w:val="center"/>
      </w:pPr>
      <w:r>
        <w:rPr>
          <w:rFonts w:ascii="Tajawal" w:hAnsi="Tajawal" w:cs="Tajawal" w:eastAsia="Tajawal"/>
          <w:b/>
          <w:bCs/>
          <w:color w:val="173F7A"/>
          <w:sz w:val="22"/>
          <w:szCs w:val="22"/>
        </w:rPr>
        <w:t>Table (1): Key estimates of the AMR burden</w:t>
      </w:r>
    </w:p>
    <w:tbl>
      <w:tblPr>
        <w:tblW w:w="9184" w:type="dxa"/>
        <w:jc w:val="center"/>
        <w:tblBorders>
          <w:top w:val="single" w:sz="12" w:space="0" w:color="173F7A"/>
          <w:left w:val="nil"/>
          <w:bottom w:val="single" w:sz="12" w:space="0" w:color="173F7A"/>
          <w:right w:val="nil"/>
          <w:insideH w:val="single" w:sz="4" w:space="0" w:color="C9CED6"/>
          <w:insideV w:val="single" w:sz="4" w:space="0" w:color="C9CED6"/>
        </w:tblBorders>
        <w:tblLayout w:type="fixed"/>
        <w:tblCellMar>
          <w:top w:w="60" w:type="dxa"/>
          <w:left w:w="110" w:type="dxa"/>
          <w:bottom w:w="60" w:type="dxa"/>
          <w:right w:w="110" w:type="dxa"/>
        </w:tblCellMar>
        <w:tblLook w:firstColumn="1" w:firstRow="1" w:lastColumn="0" w:lastRow="0" w:noHBand="0" w:noVBand="1" w:val="04A0"/>
      </w:tblPr>
      <w:tblGrid>
        <w:gridCol w:w="3061"/>
        <w:gridCol w:w="3061"/>
        <w:gridCol w:w="3061"/>
      </w:tblGrid>
      <w:tr>
        <w:trPr>
          <w:tblHeader/>
        </w:trPr>
        <w:tc>
          <w:tcPr>
            <w:tcW w:type="dxa" w:w="3061"/>
            <w:shd w:val="clear" w:color="auto" w:fill="173F7A"/>
            <w:vAlign w:val="center"/>
          </w:tcPr>
          <w:p>
            <w:pPr>
              <w:widowControl/>
              <w:spacing w:before="0" w:after="0"/>
              <w:jc w:val="center"/>
            </w:pPr>
            <w:r>
              <w:rPr>
                <w:rFonts w:ascii="Tajawal" w:hAnsi="Tajawal" w:cs="Tajawal" w:eastAsia="Tajawal"/>
                <w:b/>
                <w:bCs/>
                <w:color w:val="FFFFFF"/>
                <w:sz w:val="21"/>
                <w:szCs w:val="21"/>
              </w:rPr>
              <w:t>Source</w:t>
            </w:r>
          </w:p>
        </w:tc>
        <w:tc>
          <w:tcPr>
            <w:tcW w:type="dxa" w:w="3061"/>
            <w:shd w:val="clear" w:color="auto" w:fill="173F7A"/>
            <w:vAlign w:val="center"/>
          </w:tcPr>
          <w:p>
            <w:pPr>
              <w:widowControl/>
              <w:spacing w:before="0" w:after="0"/>
              <w:jc w:val="center"/>
            </w:pPr>
            <w:r>
              <w:rPr>
                <w:rFonts w:ascii="Tajawal" w:hAnsi="Tajawal" w:cs="Tajawal" w:eastAsia="Tajawal"/>
                <w:b/>
                <w:bCs/>
                <w:color w:val="FFFFFF"/>
                <w:sz w:val="21"/>
                <w:szCs w:val="21"/>
              </w:rPr>
              <w:t>Year</w:t>
            </w:r>
          </w:p>
        </w:tc>
        <w:tc>
          <w:tcPr>
            <w:tcW w:type="dxa" w:w="3061"/>
            <w:shd w:val="clear" w:color="auto" w:fill="173F7A"/>
            <w:vAlign w:val="center"/>
          </w:tcPr>
          <w:p>
            <w:pPr>
              <w:widowControl/>
              <w:spacing w:before="0" w:after="0"/>
              <w:jc w:val="center"/>
            </w:pPr>
            <w:r>
              <w:rPr>
                <w:rFonts w:ascii="Tajawal" w:hAnsi="Tajawal" w:cs="Tajawal" w:eastAsia="Tajawal"/>
                <w:b/>
                <w:bCs/>
                <w:color w:val="FFFFFF"/>
                <w:sz w:val="21"/>
                <w:szCs w:val="21"/>
              </w:rPr>
              <w:t>Estimate</w:t>
            </w:r>
          </w:p>
        </w:tc>
      </w:tr>
      <w:tr>
        <w:trPr>
          <w:cantSplit/>
        </w:trPr>
        <w:tc>
          <w:tcPr>
            <w:tcW w:type="dxa" w:w="3061"/>
            <w:vAlign w:val="center"/>
          </w:tcPr>
          <w:p>
            <w:pPr>
              <w:widowControl/>
              <w:spacing w:before="0" w:after="0"/>
              <w:jc w:val="center"/>
            </w:pPr>
            <w:r>
              <w:rPr>
                <w:rFonts w:ascii="Amiri" w:hAnsi="Amiri" w:cs="Amiri" w:eastAsia="Amiri"/>
                <w:color w:val="1F2328"/>
                <w:sz w:val="21"/>
                <w:szCs w:val="21"/>
              </w:rPr>
              <w:t>O'Neill Review [3]</w:t>
            </w:r>
          </w:p>
        </w:tc>
        <w:tc>
          <w:tcPr>
            <w:tcW w:type="dxa" w:w="3061"/>
            <w:vAlign w:val="center"/>
          </w:tcPr>
          <w:p>
            <w:pPr>
              <w:widowControl/>
              <w:spacing w:before="0" w:after="0"/>
              <w:jc w:val="center"/>
            </w:pPr>
            <w:r>
              <w:rPr>
                <w:rFonts w:ascii="Amiri" w:hAnsi="Amiri" w:cs="Amiri" w:eastAsia="Amiri"/>
                <w:color w:val="1F2328"/>
                <w:sz w:val="21"/>
                <w:szCs w:val="21"/>
              </w:rPr>
              <w:t>2016</w:t>
            </w:r>
          </w:p>
        </w:tc>
        <w:tc>
          <w:tcPr>
            <w:tcW w:type="dxa" w:w="3061"/>
            <w:vAlign w:val="center"/>
          </w:tcPr>
          <w:p>
            <w:pPr>
              <w:widowControl/>
              <w:spacing w:before="0" w:after="0"/>
              <w:jc w:val="center"/>
            </w:pPr>
            <w:r>
              <w:rPr>
                <w:rFonts w:ascii="Amiri" w:hAnsi="Amiri" w:cs="Amiri" w:eastAsia="Amiri"/>
                <w:color w:val="1F2328"/>
                <w:sz w:val="21"/>
                <w:szCs w:val="21"/>
              </w:rPr>
              <w:t>Up to 10 million deaths/year by 2050 (projection)</w:t>
            </w:r>
          </w:p>
        </w:tc>
      </w:tr>
      <w:tr>
        <w:trPr>
          <w:cantSplit/>
        </w:trPr>
        <w:tc>
          <w:tcPr>
            <w:tcW w:type="dxa" w:w="3061"/>
            <w:shd w:val="clear" w:color="auto" w:fill="EAF1FC"/>
            <w:vAlign w:val="center"/>
          </w:tcPr>
          <w:p>
            <w:pPr>
              <w:widowControl/>
              <w:spacing w:before="0" w:after="0"/>
              <w:jc w:val="center"/>
            </w:pPr>
            <w:r>
              <w:rPr>
                <w:rFonts w:ascii="Amiri" w:hAnsi="Amiri" w:cs="Amiri" w:eastAsia="Amiri"/>
                <w:color w:val="1F2328"/>
                <w:sz w:val="21"/>
                <w:szCs w:val="21"/>
              </w:rPr>
              <w:t>GRAM, Murray et al. [1]</w:t>
            </w:r>
          </w:p>
        </w:tc>
        <w:tc>
          <w:tcPr>
            <w:tcW w:type="dxa" w:w="3061"/>
            <w:shd w:val="clear" w:color="auto" w:fill="EAF1FC"/>
            <w:vAlign w:val="center"/>
          </w:tcPr>
          <w:p>
            <w:pPr>
              <w:widowControl/>
              <w:spacing w:before="0" w:after="0"/>
              <w:jc w:val="center"/>
            </w:pPr>
            <w:r>
              <w:rPr>
                <w:rFonts w:ascii="Amiri" w:hAnsi="Amiri" w:cs="Amiri" w:eastAsia="Amiri"/>
                <w:color w:val="1F2328"/>
                <w:sz w:val="21"/>
                <w:szCs w:val="21"/>
              </w:rPr>
              <w:t>2022</w:t>
            </w:r>
          </w:p>
        </w:tc>
        <w:tc>
          <w:tcPr>
            <w:tcW w:type="dxa" w:w="3061"/>
            <w:shd w:val="clear" w:color="auto" w:fill="EAF1FC"/>
            <w:vAlign w:val="center"/>
          </w:tcPr>
          <w:p>
            <w:pPr>
              <w:widowControl/>
              <w:spacing w:before="0" w:after="0"/>
              <w:jc w:val="center"/>
            </w:pPr>
            <w:r>
              <w:rPr>
                <w:rFonts w:ascii="Amiri" w:hAnsi="Amiri" w:cs="Amiri" w:eastAsia="Amiri"/>
                <w:color w:val="1F2328"/>
                <w:sz w:val="21"/>
                <w:szCs w:val="21"/>
              </w:rPr>
              <w:t>1.27 million deaths directly attributable (2019)</w:t>
            </w:r>
          </w:p>
        </w:tc>
      </w:tr>
      <w:tr>
        <w:trPr>
          <w:cantSplit/>
        </w:trPr>
        <w:tc>
          <w:tcPr>
            <w:tcW w:type="dxa" w:w="3061"/>
            <w:vAlign w:val="center"/>
          </w:tcPr>
          <w:p>
            <w:pPr>
              <w:widowControl/>
              <w:spacing w:before="0" w:after="0"/>
              <w:jc w:val="center"/>
            </w:pPr>
            <w:r>
              <w:rPr>
                <w:rFonts w:ascii="Amiri" w:hAnsi="Amiri" w:cs="Amiri" w:eastAsia="Amiri"/>
                <w:color w:val="1F2328"/>
                <w:sz w:val="21"/>
                <w:szCs w:val="21"/>
              </w:rPr>
              <w:t>GRAM, Murray et al. [1]</w:t>
            </w:r>
          </w:p>
        </w:tc>
        <w:tc>
          <w:tcPr>
            <w:tcW w:type="dxa" w:w="3061"/>
            <w:vAlign w:val="center"/>
          </w:tcPr>
          <w:p>
            <w:pPr>
              <w:widowControl/>
              <w:spacing w:before="0" w:after="0"/>
              <w:jc w:val="center"/>
            </w:pPr>
            <w:r>
              <w:rPr>
                <w:rFonts w:ascii="Amiri" w:hAnsi="Amiri" w:cs="Amiri" w:eastAsia="Amiri"/>
                <w:color w:val="1F2328"/>
                <w:sz w:val="21"/>
                <w:szCs w:val="21"/>
              </w:rPr>
              <w:t>2022</w:t>
            </w:r>
          </w:p>
        </w:tc>
        <w:tc>
          <w:tcPr>
            <w:tcW w:type="dxa" w:w="3061"/>
            <w:vAlign w:val="center"/>
          </w:tcPr>
          <w:p>
            <w:pPr>
              <w:widowControl/>
              <w:spacing w:before="0" w:after="0"/>
              <w:jc w:val="center"/>
            </w:pPr>
            <w:r>
              <w:rPr>
                <w:rFonts w:ascii="Amiri" w:hAnsi="Amiri" w:cs="Amiri" w:eastAsia="Amiri"/>
                <w:color w:val="1F2328"/>
                <w:sz w:val="21"/>
                <w:szCs w:val="21"/>
              </w:rPr>
              <w:t>4.95 million deaths associated with AMR (2019)</w:t>
            </w:r>
          </w:p>
        </w:tc>
      </w:tr>
      <w:tr>
        <w:trPr>
          <w:cantSplit/>
        </w:trPr>
        <w:tc>
          <w:tcPr>
            <w:tcW w:type="dxa" w:w="3061"/>
            <w:shd w:val="clear" w:color="auto" w:fill="EAF1FC"/>
            <w:vAlign w:val="center"/>
          </w:tcPr>
          <w:p>
            <w:pPr>
              <w:widowControl/>
              <w:spacing w:before="0" w:after="0"/>
              <w:jc w:val="center"/>
            </w:pPr>
            <w:r>
              <w:rPr>
                <w:rFonts w:ascii="Amiri" w:hAnsi="Amiri" w:cs="Amiri" w:eastAsia="Amiri"/>
                <w:color w:val="1F2328"/>
                <w:sz w:val="21"/>
                <w:szCs w:val="21"/>
              </w:rPr>
              <w:t>GRAM, Naghavi et al. [6]</w:t>
            </w:r>
          </w:p>
        </w:tc>
        <w:tc>
          <w:tcPr>
            <w:tcW w:type="dxa" w:w="3061"/>
            <w:shd w:val="clear" w:color="auto" w:fill="EAF1FC"/>
            <w:vAlign w:val="center"/>
          </w:tcPr>
          <w:p>
            <w:pPr>
              <w:widowControl/>
              <w:spacing w:before="0" w:after="0"/>
              <w:jc w:val="center"/>
            </w:pPr>
            <w:r>
              <w:rPr>
                <w:rFonts w:ascii="Amiri" w:hAnsi="Amiri" w:cs="Amiri" w:eastAsia="Amiri"/>
                <w:color w:val="1F2328"/>
                <w:sz w:val="21"/>
                <w:szCs w:val="21"/>
              </w:rPr>
              <w:t>2024</w:t>
            </w:r>
          </w:p>
        </w:tc>
        <w:tc>
          <w:tcPr>
            <w:tcW w:type="dxa" w:w="3061"/>
            <w:shd w:val="clear" w:color="auto" w:fill="EAF1FC"/>
            <w:vAlign w:val="center"/>
          </w:tcPr>
          <w:p>
            <w:pPr>
              <w:widowControl/>
              <w:spacing w:before="0" w:after="0"/>
              <w:jc w:val="center"/>
            </w:pPr>
            <w:r>
              <w:rPr>
                <w:rFonts w:ascii="Amiri" w:hAnsi="Amiri" w:cs="Amiri" w:eastAsia="Amiri"/>
                <w:color w:val="1F2328"/>
                <w:sz w:val="21"/>
                <w:szCs w:val="21"/>
              </w:rPr>
              <w:t>About 39 million attributable deaths, 2025–2050 (forecast)</w:t>
            </w:r>
          </w:p>
        </w:tc>
      </w:tr>
    </w:tbl>
    <w:p>
      <w:pPr>
        <w:widowControl/>
        <w:spacing w:before="0" w:after="120"/>
      </w:pPr>
    </w:p>
    <w:p>
      <w:pPr>
        <w:widowControl/>
        <w:spacing w:before="0" w:after="160" w:line="276" w:lineRule="auto"/>
        <w:jc w:val="both"/>
      </w:pPr>
      <w:r>
        <w:rPr>
          <w:rFonts w:ascii="Amiri" w:hAnsi="Amiri" w:cs="Amiri" w:eastAsia="Amiri"/>
          <w:color w:val="1F2328"/>
          <w:sz w:val="24"/>
          <w:szCs w:val="24"/>
        </w:rPr>
        <w:t>The burden is uneven. The highest death rates were estimated in western sub-Saharan Africa and South Asia, where weak laboratory capacity, crowded health facilities and unregulated antibiotic sales combine [1]. Six pathogens, led by Escherichia coli and Staphylococcus aureus, accounted for most of the deaths.</w:t>
      </w:r>
    </w:p>
    <w:p>
      <w:pPr>
        <w:pStyle w:val="Heading1"/>
        <w:keepNext/>
        <w:keepLines/>
        <w:widowControl/>
        <w:pBdr>
          <w:bottom w:val="single" w:sz="12" w:space="6" w:color="2F80ED"/>
        </w:pBdr>
        <w:spacing w:before="320" w:after="200"/>
        <w:outlineLvl w:val="0"/>
      </w:pPr>
      <w:r>
        <w:rPr>
          <w:rFonts w:ascii="Tajawal" w:hAnsi="Tajawal" w:cs="Tajawal" w:eastAsia="Tajawal"/>
          <w:b/>
          <w:bCs/>
          <w:color w:val="173F7A"/>
          <w:sz w:val="36"/>
          <w:szCs w:val="36"/>
        </w:rPr>
        <w:t>4. Critical Discussion: Why Progress Is Slow</w:t>
      </w:r>
    </w:p>
    <w:p>
      <w:pPr>
        <w:widowControl/>
        <w:spacing w:before="0" w:after="160" w:line="276" w:lineRule="auto"/>
        <w:jc w:val="both"/>
      </w:pPr>
      <w:r>
        <w:rPr>
          <w:rFonts w:ascii="Amiri" w:hAnsi="Amiri" w:cs="Amiri" w:eastAsia="Amiri"/>
          <w:color w:val="1F2328"/>
          <w:sz w:val="24"/>
          <w:szCs w:val="24"/>
        </w:rPr>
        <w:t>The science of AMR is well understood; the difficulty is economic and behavioural. A new antibiotic that works against resistant bacteria should, by good stewardship, be held in reserve and used as little as possible. That is sound medicine and poor business, which is why several major pharmaceutical companies have left antibiotic research and why few genuinely new classes have reached the market in recent decades [5].</w:t>
      </w:r>
    </w:p>
    <w:p>
      <w:pPr>
        <w:widowControl/>
        <w:spacing w:before="0" w:after="160" w:line="276" w:lineRule="auto"/>
        <w:jc w:val="both"/>
      </w:pPr>
      <w:r>
        <w:rPr>
          <w:rFonts w:ascii="Amiri" w:hAnsi="Amiri" w:cs="Amiri" w:eastAsia="Amiri"/>
          <w:color w:val="1F2328"/>
          <w:sz w:val="24"/>
          <w:szCs w:val="24"/>
        </w:rPr>
        <w:t>Behaviour is the second barrier. In many countries, Iraq included, antibiotics are widely available from community pharmacies without a prescription, and patients often expect them for viral infections such as colds and sore throats. Surveillance is also patchy: without reliable laboratory data, clinicians prescribe empirically and resistance goes unmeasured. The picture is not hopeless, though. National action plans modelled on the WHO Global Action Plan now exist in most countries [2]; the gap lies in funding and enforcing them.</w:t>
      </w:r>
    </w:p>
    <w:p>
      <w:pPr>
        <w:pStyle w:val="Heading1"/>
        <w:keepNext/>
        <w:keepLines/>
        <w:widowControl/>
        <w:pBdr>
          <w:bottom w:val="single" w:sz="12" w:space="6" w:color="2F80ED"/>
        </w:pBdr>
        <w:spacing w:before="320" w:after="200"/>
        <w:outlineLvl w:val="0"/>
      </w:pPr>
      <w:r>
        <w:rPr>
          <w:rFonts w:ascii="Tajawal" w:hAnsi="Tajawal" w:cs="Tajawal" w:eastAsia="Tajawal"/>
          <w:b/>
          <w:bCs/>
          <w:color w:val="173F7A"/>
          <w:sz w:val="36"/>
          <w:szCs w:val="36"/>
        </w:rPr>
        <w:t>5. What Pharmacists Can Change</w:t>
      </w:r>
    </w:p>
    <w:p>
      <w:pPr>
        <w:widowControl/>
        <w:spacing w:before="0" w:after="160" w:line="276" w:lineRule="auto"/>
        <w:jc w:val="both"/>
      </w:pPr>
      <w:r>
        <w:rPr>
          <w:rFonts w:ascii="Amiri" w:hAnsi="Amiri" w:cs="Amiri" w:eastAsia="Amiri"/>
          <w:color w:val="1F2328"/>
          <w:sz w:val="24"/>
          <w:szCs w:val="24"/>
        </w:rPr>
        <w:t>Pharmacists are the last professional check before an antibiotic reaches a patient, and in community settings they are often the first and only one. That position gives them real leverage:</w:t>
      </w:r>
    </w:p>
    <w:p>
      <w:pPr>
        <w:widowControl/>
        <w:spacing w:before="0" w:after="80" w:line="312" w:lineRule="auto"/>
        <w:ind w:start="540" w:hanging="360"/>
        <w:jc w:val="both"/>
      </w:pPr>
      <w:r>
        <w:rPr>
          <w:rFonts w:ascii="Tajawal" w:hAnsi="Tajawal" w:cs="Tajawal" w:eastAsia="Tajawal"/>
          <w:b/>
          <w:bCs/>
          <w:color w:val="2F80ED"/>
          <w:sz w:val="22"/>
          <w:szCs w:val="22"/>
        </w:rPr>
        <w:t xml:space="preserve">1. </w:t>
      </w:r>
      <w:r>
        <w:rPr>
          <w:rFonts w:ascii="Amiri" w:hAnsi="Amiri" w:cs="Amiri" w:eastAsia="Amiri"/>
          <w:color w:val="1F2328"/>
          <w:sz w:val="24"/>
          <w:szCs w:val="24"/>
        </w:rPr>
        <w:t>Refuse to dispense antibiotics without a prescription, and explain why in terms the patient can accept.</w:t>
      </w:r>
    </w:p>
    <w:p>
      <w:pPr>
        <w:widowControl/>
        <w:spacing w:before="0" w:after="80" w:line="312" w:lineRule="auto"/>
        <w:ind w:start="540" w:hanging="360"/>
        <w:jc w:val="both"/>
      </w:pPr>
      <w:r>
        <w:rPr>
          <w:rFonts w:ascii="Tajawal" w:hAnsi="Tajawal" w:cs="Tajawal" w:eastAsia="Tajawal"/>
          <w:b/>
          <w:bCs/>
          <w:color w:val="2F80ED"/>
          <w:sz w:val="22"/>
          <w:szCs w:val="22"/>
        </w:rPr>
        <w:t xml:space="preserve">2. </w:t>
      </w:r>
      <w:r>
        <w:rPr>
          <w:rFonts w:ascii="Amiri" w:hAnsi="Amiri" w:cs="Amiri" w:eastAsia="Amiri"/>
          <w:color w:val="1F2328"/>
          <w:sz w:val="24"/>
          <w:szCs w:val="24"/>
        </w:rPr>
        <w:t>Take part in hospital stewardship teams: review indications, doses and durations, and support switching from intravenous to oral therapy.</w:t>
      </w:r>
    </w:p>
    <w:p>
      <w:pPr>
        <w:widowControl/>
        <w:spacing w:before="0" w:after="80" w:line="312" w:lineRule="auto"/>
        <w:ind w:start="540" w:hanging="360"/>
        <w:jc w:val="both"/>
      </w:pPr>
      <w:r>
        <w:rPr>
          <w:rFonts w:ascii="Tajawal" w:hAnsi="Tajawal" w:cs="Tajawal" w:eastAsia="Tajawal"/>
          <w:b/>
          <w:bCs/>
          <w:color w:val="2F80ED"/>
          <w:sz w:val="22"/>
          <w:szCs w:val="22"/>
        </w:rPr>
        <w:t xml:space="preserve">3. </w:t>
      </w:r>
      <w:r>
        <w:rPr>
          <w:rFonts w:ascii="Amiri" w:hAnsi="Amiri" w:cs="Amiri" w:eastAsia="Amiri"/>
          <w:color w:val="1F2328"/>
          <w:sz w:val="24"/>
          <w:szCs w:val="24"/>
        </w:rPr>
        <w:t>Counsel patients on completing the prescribed course correctly and never sharing or saving leftover antibiotics.</w:t>
      </w:r>
    </w:p>
    <w:p>
      <w:pPr>
        <w:widowControl/>
        <w:spacing w:before="0" w:after="200" w:line="312" w:lineRule="auto"/>
        <w:ind w:start="540" w:hanging="360"/>
        <w:jc w:val="both"/>
      </w:pPr>
      <w:r>
        <w:rPr>
          <w:rFonts w:ascii="Tajawal" w:hAnsi="Tajawal" w:cs="Tajawal" w:eastAsia="Tajawal"/>
          <w:b/>
          <w:bCs/>
          <w:color w:val="2F80ED"/>
          <w:sz w:val="22"/>
          <w:szCs w:val="22"/>
        </w:rPr>
        <w:t xml:space="preserve">4. </w:t>
      </w:r>
      <w:r>
        <w:rPr>
          <w:rFonts w:ascii="Amiri" w:hAnsi="Amiri" w:cs="Amiri" w:eastAsia="Amiri"/>
          <w:color w:val="1F2328"/>
          <w:sz w:val="24"/>
          <w:szCs w:val="24"/>
        </w:rPr>
        <w:t>Report suspected treatment failures and support local antibiogram development with microbiology laboratories.</w:t>
      </w:r>
    </w:p>
    <w:p>
      <w:pPr>
        <w:widowControl/>
        <w:pBdr>
          <w:bottom w:val="single" w:sz="8" w:space="1" w:color="2F80ED"/>
        </w:pBdr>
        <w:spacing w:before="80" w:after="0"/>
        <w:ind w:start="2600" w:end="2600"/>
        <w:jc w:val="center"/>
      </w:pPr>
    </w:p>
    <w:p>
      <w:pPr>
        <w:widowControl/>
        <w:spacing w:before="120" w:after="40" w:line="324" w:lineRule="auto"/>
        <w:ind w:start="700" w:end="700"/>
        <w:jc w:val="center"/>
      </w:pPr>
      <w:r>
        <w:rPr>
          <w:rFonts w:ascii="Amiri" w:hAnsi="Amiri" w:cs="Amiri" w:eastAsia="Amiri"/>
          <w:i/>
          <w:iCs/>
          <w:color w:val="173F7A"/>
          <w:sz w:val="26"/>
          <w:szCs w:val="26"/>
        </w:rPr>
        <w:t>The microbes are educated to resist penicillin and a host of penicillin-fast organisms is bred out.</w:t>
      </w:r>
    </w:p>
    <w:p>
      <w:pPr>
        <w:widowControl/>
        <w:spacing w:before="0" w:after="200"/>
        <w:jc w:val="center"/>
      </w:pPr>
      <w:r>
        <w:rPr>
          <w:rFonts w:ascii="Amiri" w:hAnsi="Amiri" w:cs="Amiri" w:eastAsia="Amiri"/>
          <w:color w:val="5B6470"/>
          <w:sz w:val="20"/>
          <w:szCs w:val="20"/>
        </w:rPr>
        <w:t>— Alexander Fleming, Nobel Lecture, 1945</w:t>
      </w:r>
    </w:p>
    <w:p>
      <w:pPr>
        <w:pStyle w:val="Heading1"/>
        <w:keepNext/>
        <w:keepLines/>
        <w:widowControl/>
        <w:pBdr>
          <w:bottom w:val="single" w:sz="12" w:space="6" w:color="2F80ED"/>
        </w:pBdr>
        <w:spacing w:before="320" w:after="200"/>
        <w:outlineLvl w:val="0"/>
      </w:pPr>
      <w:r>
        <w:rPr>
          <w:rFonts w:ascii="Tajawal" w:hAnsi="Tajawal" w:cs="Tajawal" w:eastAsia="Tajawal"/>
          <w:b/>
          <w:bCs/>
          <w:color w:val="173F7A"/>
          <w:sz w:val="36"/>
          <w:szCs w:val="36"/>
        </w:rPr>
        <w:t>6. Conclusion</w:t>
      </w:r>
    </w:p>
    <w:p>
      <w:pPr>
        <w:widowControl/>
        <w:spacing w:before="0" w:after="160" w:line="276" w:lineRule="auto"/>
        <w:jc w:val="both"/>
      </w:pPr>
      <w:r>
        <w:rPr>
          <w:rFonts w:ascii="Amiri" w:hAnsi="Amiri" w:cs="Amiri" w:eastAsia="Amiri"/>
          <w:color w:val="1F2328"/>
          <w:sz w:val="24"/>
          <w:szCs w:val="24"/>
        </w:rPr>
        <w:t>AMR is already killing more people each year than many diseases that receive far more attention, and the best available forecasts point upward. Its causes are known, and so are most of the remedies: fewer unnecessary prescriptions, better infection control, reliable surveillance and a sustainable model for developing new drugs. For a pharmacy student, the lesson is practical rather than abstract. Every dispensing decision is a small contribution to how long our current antibiotics will keep working.</w:t>
      </w:r>
    </w:p>
    <w:p>
      <w:pPr>
        <w:pStyle w:val="Heading1"/>
        <w:keepNext/>
        <w:keepLines/>
        <w:pageBreakBefore/>
        <w:widowControl/>
        <w:pBdr>
          <w:bottom w:val="single" w:sz="12" w:space="6" w:color="2F80ED"/>
        </w:pBdr>
        <w:spacing w:before="120" w:after="200"/>
        <w:outlineLvl w:val="0"/>
      </w:pPr>
      <w:r>
        <w:rPr>
          <w:rFonts w:ascii="Tajawal" w:hAnsi="Tajawal" w:cs="Tajawal" w:eastAsia="Tajawal"/>
          <w:b/>
          <w:bCs/>
          <w:color w:val="173F7A"/>
          <w:sz w:val="36"/>
          <w:szCs w:val="36"/>
        </w:rPr>
        <w:t>References</w:t>
      </w:r>
    </w:p>
    <w:p>
      <w:pPr>
        <w:widowControl/>
        <w:spacing w:before="0" w:after="120" w:line="288" w:lineRule="auto"/>
        <w:ind w:start="480" w:hanging="480"/>
      </w:pPr>
      <w:r>
        <w:rPr>
          <w:rFonts w:ascii="Tajawal" w:hAnsi="Tajawal" w:cs="Tajawal" w:eastAsia="Tajawal"/>
          <w:b/>
          <w:bCs/>
          <w:color w:val="2F80ED"/>
          <w:sz w:val="23"/>
          <w:szCs w:val="23"/>
        </w:rPr>
        <w:t xml:space="preserve">[1] </w:t>
      </w:r>
      <w:r>
        <w:rPr>
          <w:rFonts w:ascii="Amiri" w:hAnsi="Amiri" w:cs="Amiri" w:eastAsia="Amiri"/>
          <w:color w:val="1F2328"/>
          <w:sz w:val="22"/>
          <w:szCs w:val="22"/>
        </w:rPr>
        <w:t>Antimicrobial Resistance Collaborators. (2022). Global burden of bacterial antimicrobial resistance in 2019: A systematic analysis. The Lancet, 399(10325), 629–655.</w:t>
      </w:r>
    </w:p>
    <w:p>
      <w:pPr>
        <w:widowControl/>
        <w:spacing w:before="0" w:after="120" w:line="288" w:lineRule="auto"/>
        <w:ind w:start="480" w:hanging="480"/>
      </w:pPr>
      <w:r>
        <w:rPr>
          <w:rFonts w:ascii="Tajawal" w:hAnsi="Tajawal" w:cs="Tajawal" w:eastAsia="Tajawal"/>
          <w:b/>
          <w:bCs/>
          <w:color w:val="2F80ED"/>
          <w:sz w:val="23"/>
          <w:szCs w:val="23"/>
        </w:rPr>
        <w:t xml:space="preserve">[2] </w:t>
      </w:r>
      <w:r>
        <w:rPr>
          <w:rFonts w:ascii="Amiri" w:hAnsi="Amiri" w:cs="Amiri" w:eastAsia="Amiri"/>
          <w:color w:val="1F2328"/>
          <w:sz w:val="22"/>
          <w:szCs w:val="22"/>
        </w:rPr>
        <w:t>World Health Organization. (2015). Global action plan on antimicrobial resistance. Geneva: WHO.</w:t>
      </w:r>
    </w:p>
    <w:p>
      <w:pPr>
        <w:widowControl/>
        <w:spacing w:before="0" w:after="120" w:line="288" w:lineRule="auto"/>
        <w:ind w:start="480" w:hanging="480"/>
      </w:pPr>
      <w:r>
        <w:rPr>
          <w:rFonts w:ascii="Tajawal" w:hAnsi="Tajawal" w:cs="Tajawal" w:eastAsia="Tajawal"/>
          <w:b/>
          <w:bCs/>
          <w:color w:val="2F80ED"/>
          <w:sz w:val="23"/>
          <w:szCs w:val="23"/>
        </w:rPr>
        <w:t xml:space="preserve">[3] </w:t>
      </w:r>
      <w:r>
        <w:rPr>
          <w:rFonts w:ascii="Amiri" w:hAnsi="Amiri" w:cs="Amiri" w:eastAsia="Amiri"/>
          <w:color w:val="1F2328"/>
          <w:sz w:val="22"/>
          <w:szCs w:val="22"/>
        </w:rPr>
        <w:t>O'Neill, J. (2016). Tackling drug-resistant infections globally: Final report and recommendations. London: Review on Antimicrobial Resistance.</w:t>
      </w:r>
    </w:p>
    <w:p>
      <w:pPr>
        <w:widowControl/>
        <w:spacing w:before="0" w:after="120" w:line="288" w:lineRule="auto"/>
        <w:ind w:start="480" w:hanging="480"/>
      </w:pPr>
      <w:r>
        <w:rPr>
          <w:rFonts w:ascii="Tajawal" w:hAnsi="Tajawal" w:cs="Tajawal" w:eastAsia="Tajawal"/>
          <w:b/>
          <w:bCs/>
          <w:color w:val="2F80ED"/>
          <w:sz w:val="23"/>
          <w:szCs w:val="23"/>
        </w:rPr>
        <w:t xml:space="preserve">[4] </w:t>
      </w:r>
      <w:r>
        <w:rPr>
          <w:rFonts w:ascii="Amiri" w:hAnsi="Amiri" w:cs="Amiri" w:eastAsia="Amiri"/>
          <w:color w:val="1F2328"/>
          <w:sz w:val="22"/>
          <w:szCs w:val="22"/>
        </w:rPr>
        <w:t>Fleming, A. (1945). Penicillin [Nobel Lecture, 11 December 1945]. Stockholm: The Nobel Foundation.</w:t>
      </w:r>
    </w:p>
    <w:p>
      <w:pPr>
        <w:widowControl/>
        <w:spacing w:before="0" w:after="120" w:line="288" w:lineRule="auto"/>
        <w:ind w:start="480" w:hanging="480"/>
      </w:pPr>
      <w:r>
        <w:rPr>
          <w:rFonts w:ascii="Tajawal" w:hAnsi="Tajawal" w:cs="Tajawal" w:eastAsia="Tajawal"/>
          <w:b/>
          <w:bCs/>
          <w:color w:val="2F80ED"/>
          <w:sz w:val="23"/>
          <w:szCs w:val="23"/>
        </w:rPr>
        <w:t xml:space="preserve">[5] </w:t>
      </w:r>
      <w:r>
        <w:rPr>
          <w:rFonts w:ascii="Amiri" w:hAnsi="Amiri" w:cs="Amiri" w:eastAsia="Amiri"/>
          <w:color w:val="1F2328"/>
          <w:sz w:val="22"/>
          <w:szCs w:val="22"/>
        </w:rPr>
        <w:t>Ventola, C. L. (2015). The antibiotic resistance crisis: Part 1: Causes and threats. Pharmacy and Therapeutics, 40(4), 277–283.</w:t>
      </w:r>
    </w:p>
    <w:p>
      <w:pPr>
        <w:widowControl/>
        <w:spacing w:before="0" w:after="120" w:line="288" w:lineRule="auto"/>
        <w:ind w:start="480" w:hanging="480"/>
      </w:pPr>
      <w:r>
        <w:rPr>
          <w:rFonts w:ascii="Tajawal" w:hAnsi="Tajawal" w:cs="Tajawal" w:eastAsia="Tajawal"/>
          <w:b/>
          <w:bCs/>
          <w:color w:val="2F80ED"/>
          <w:sz w:val="23"/>
          <w:szCs w:val="23"/>
        </w:rPr>
        <w:t xml:space="preserve">[6] </w:t>
      </w:r>
      <w:r>
        <w:rPr>
          <w:rFonts w:ascii="Amiri" w:hAnsi="Amiri" w:cs="Amiri" w:eastAsia="Amiri"/>
          <w:color w:val="1F2328"/>
          <w:sz w:val="22"/>
          <w:szCs w:val="22"/>
        </w:rPr>
        <w:t>GBD 2021 Antimicrobial Resistance Collaborators. (2024). Global burden of bacterial antimicrobial resistance 1990–2021: A systematic analysis with forecasts to 2050. The Lancet, 404(10459), 1199–1226.</w:t>
      </w:r>
    </w:p>
    <w:sectPr w:rsidR="00FC693F" w:rsidRPr="0006063C" w:rsidSect="00034616">
      <w:headerReference w:type="default" r:id="rId9"/>
      <w:footerReference w:type="default" r:id="rId10"/>
      <w:pgSz w:w="11906" w:h="16838"/>
      <w:pgMar w:top="1361" w:right="1361" w:bottom="1361" w:left="1361" w:header="624" w:footer="62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Amiri">
    <w:charset w:val="00"/>
    <w:family w:val="auto"/>
    <w:pitch w:val="variable"/>
    <w:embedRegular r:id="rId1" w:fontKey="{B2745EAD-CFAE-47C5-B6D6-137285FDF53E}"/>
    <w:embedBold r:id="rId2" w:fontKey="{F519408C-CB8E-49D9-A2CB-F08461BAF8AB}"/>
  </w:font>
  <w:font w:name="Tajawal">
    <w:charset w:val="00"/>
    <w:family w:val="auto"/>
    <w:pitch w:val="variable"/>
    <w:embedRegular r:id="rId3" w:fontKey="{9582D6CF-BD49-4C86-B209-379AC8344C7B}"/>
    <w:embedBold r:id="rId4" w:fontKey="{A53CCFCA-852B-45FD-A7CC-10C1870DE76C}"/>
  </w:font>
  <w:font w:name="Tajawal ExtraBold">
    <w:charset w:val="00"/>
    <w:family w:val="auto"/>
    <w:pitch w:val="variable"/>
    <w:embedRegular r:id="rId5" w:fontKey="{5923D660-FE33-4FD5-8E9A-D0BF2554071F}"/>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spacing w:before="0" w:after="0"/>
      <w:jc w:val="center"/>
    </w:pPr>
    <w:r>
      <w:rPr>
        <w:rFonts w:ascii="Tajawal" w:hAnsi="Tajawal" w:cs="Tajawal" w:eastAsia="Tajawal"/>
        <w:color w:val="2F80ED"/>
        <w:sz w:val="22"/>
        <w:szCs w:val="22"/>
      </w:rPr>
      <w:t xml:space="preserve">— </w:t>
    </w:r>
    <w:r>
      <w:rPr>
        <w:rFonts w:ascii="Amiri" w:hAnsi="Amiri" w:cs="Amiri" w:eastAsia="Amiri"/>
        <w:b/>
        <w:bCs/>
        <w:color w:val="173F7A"/>
        <w:sz w:val="22"/>
        <w:szCs w:val="22"/>
      </w:rPr>
      <w:fldChar w:fldCharType="begin"/>
    </w:r>
    <w:r>
      <w:rPr>
        <w:rFonts w:ascii="Amiri" w:hAnsi="Amiri" w:cs="Amiri" w:eastAsia="Amiri"/>
        <w:b/>
        <w:bCs/>
        <w:color w:val="173F7A"/>
        <w:sz w:val="22"/>
        <w:szCs w:val="22"/>
      </w:rPr>
      <w:instrText xml:space="preserve"> PAGE </w:instrText>
    </w:r>
    <w:r>
      <w:rPr>
        <w:rFonts w:ascii="Amiri" w:hAnsi="Amiri" w:cs="Amiri" w:eastAsia="Amiri"/>
        <w:b/>
        <w:bCs/>
        <w:color w:val="173F7A"/>
        <w:sz w:val="22"/>
        <w:szCs w:val="22"/>
      </w:rPr>
      <w:fldChar w:fldCharType="separate"/>
    </w:r>
    <w:r>
      <w:rPr>
        <w:rFonts w:ascii="Amiri" w:hAnsi="Amiri" w:cs="Amiri" w:eastAsia="Amiri"/>
        <w:b/>
        <w:bCs/>
        <w:color w:val="173F7A"/>
        <w:sz w:val="22"/>
        <w:szCs w:val="22"/>
      </w:rPr>
      <w:t>1</w:t>
    </w:r>
    <w:r>
      <w:rPr>
        <w:rFonts w:ascii="Amiri" w:hAnsi="Amiri" w:cs="Amiri" w:eastAsia="Amiri"/>
        <w:b/>
        <w:bCs/>
        <w:color w:val="173F7A"/>
        <w:sz w:val="22"/>
        <w:szCs w:val="22"/>
      </w:rPr>
      <w:fldChar w:fldCharType="end"/>
    </w:r>
    <w:r>
      <w:rPr>
        <w:rFonts w:ascii="Tajawal" w:hAnsi="Tajawal" w:cs="Tajawal" w:eastAsia="Tajawal"/>
        <w:color w:val="2F80ED"/>
        <w:sz w:val="22"/>
        <w:szCs w:val="22"/>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pBdr>
        <w:bottom w:val="single" w:sz="6" w:space="4" w:color="2F80ED"/>
      </w:pBdr>
      <w:spacing w:before="0" w:after="0"/>
      <w:jc w:val="center"/>
    </w:pPr>
    <w:r>
      <w:rPr>
        <w:rFonts w:ascii="Tajawal" w:hAnsi="Tajawal" w:cs="Tajawal" w:eastAsia="Tajawal"/>
        <w:color w:val="5B6470"/>
        <w:sz w:val="19"/>
        <w:szCs w:val="19"/>
      </w:rPr>
      <w:t>Antimicrobial Resistance: The Slow Pandemic | Pharmacology &amp; Therapeutics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embedTrueTypeFonts/>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miri" w:hAnsi="Amiri" w:cs="Amiri" w:eastAsia="Amiri"/>
      <w:sz w:val="28"/>
      <w:szCs w:val="28"/>
      <w:lang w:val="en-US" w:bidi="ar-IQ"/>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Antimicrobial Resistance: The Slow Pandemic</dc:title>
  <dc:subject>Pharmacology &amp; Therapeutics</dc:subject>
  <dc:creator>Ali Kareem Al-Maliki</dc:creator>
  <cp:keywords>antimicrobial resistance، antibiotic stewardship، global burden، pharmacy practice، Iraq</cp:keywords>
  <dc:description/>
  <cp:lastModifiedBy>Ali Kareem Al-Maliki</cp:lastModifiedBy>
  <cp:revision>1</cp:revision>
  <dcterms:created xsi:type="dcterms:W3CDTF">2026-09-30T19:10:41Z</dcterms:created>
  <dcterms:modified xsi:type="dcterms:W3CDTF">2026-09-30T19:10:41Z</dcterms:modified>
  <cp:category/>
</cp:coreProperties>
</file>