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ElectroTech Egypt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Sales Performance Analysis Report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2023 vs 2024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1. Executive Summary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تم تحليل أداء المبيعات لشركة</w:t>
      </w:r>
      <w:r>
        <w:t xml:space="preserve"> ElectroTech Egypt </w:t>
      </w:r>
      <w:r>
        <w:rPr>
          <w:rFonts w:cs="Arial"/>
          <w:rtl/>
        </w:rPr>
        <w:t>خلال عامي 2023 و2024 بهدف تقييم تطور المبيعات والتكلفة والربحية، وتحليل أداء المنتجات وقنوات البيع والمناطق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أظهر التحليل أن إجمالي المبيعات انخفض في 2024 مقارنة بـ2023، كما انخفض إجمالي الربح، بينما ظل هامش الربح قريبًا من مستواه في العام السابق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وفي المقابل، حافظت قناة</w:t>
      </w:r>
      <w:r>
        <w:t xml:space="preserve"> Online </w:t>
      </w:r>
      <w:r>
        <w:rPr>
          <w:rFonts w:cs="Arial"/>
          <w:rtl/>
        </w:rPr>
        <w:t>على موقعها كأكبر قناة مبيعات، حيث ارتفعت مساهمتها من 60% في 2023 إلى 61% في 2024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2. Financial Performance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KPI</w:t>
      </w:r>
      <w:r>
        <w:tab/>
        <w:t>2023</w:t>
      </w:r>
      <w:r>
        <w:tab/>
        <w:t>2024</w:t>
      </w:r>
      <w:r>
        <w:tab/>
      </w:r>
      <w:r>
        <w:rPr>
          <w:rFonts w:cs="Arial"/>
          <w:rtl/>
        </w:rPr>
        <w:t>التغير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Total Sales</w:t>
      </w:r>
      <w:r>
        <w:tab/>
        <w:t>371.50M</w:t>
      </w:r>
      <w:r>
        <w:tab/>
        <w:t>334.94M</w:t>
      </w:r>
      <w:r>
        <w:tab/>
        <w:t>-9.84%</w:t>
      </w:r>
    </w:p>
    <w:p w:rsidR="00192C7C" w:rsidRDefault="00192C7C" w:rsidP="008D484F">
      <w:pPr>
        <w:bidi/>
      </w:pPr>
      <w:r>
        <w:t>Total Cost</w:t>
      </w:r>
      <w:r>
        <w:tab/>
        <w:t>325.25M</w:t>
      </w:r>
      <w:r>
        <w:tab/>
        <w:t>293.33M</w:t>
      </w:r>
      <w:r>
        <w:tab/>
        <w:t>-9.81%</w:t>
      </w:r>
    </w:p>
    <w:p w:rsidR="00192C7C" w:rsidRDefault="00192C7C" w:rsidP="008D484F">
      <w:pPr>
        <w:bidi/>
      </w:pPr>
      <w:r>
        <w:t>Total Profit</w:t>
      </w:r>
      <w:r>
        <w:tab/>
        <w:t>46.26M</w:t>
      </w:r>
      <w:r>
        <w:tab/>
        <w:t>41.61M</w:t>
      </w:r>
      <w:r>
        <w:tab/>
        <w:t>-10.05%</w:t>
      </w:r>
    </w:p>
    <w:p w:rsidR="00192C7C" w:rsidRDefault="00192C7C" w:rsidP="008D484F">
      <w:pPr>
        <w:bidi/>
      </w:pPr>
      <w:r>
        <w:t>Profit Margin</w:t>
      </w:r>
      <w:r>
        <w:tab/>
        <w:t>12.45%</w:t>
      </w:r>
      <w:r>
        <w:tab/>
        <w:t>12.42%</w:t>
      </w:r>
      <w:r>
        <w:tab/>
        <w:t xml:space="preserve">-0.03 </w:t>
      </w:r>
      <w:r>
        <w:rPr>
          <w:rFonts w:cs="Arial"/>
          <w:rtl/>
        </w:rPr>
        <w:t>نقطة مئوية</w:t>
      </w:r>
    </w:p>
    <w:p w:rsidR="00192C7C" w:rsidRDefault="00192C7C" w:rsidP="008D484F">
      <w:pPr>
        <w:bidi/>
      </w:pPr>
      <w:r>
        <w:t>Sales Before Discount</w:t>
      </w:r>
      <w:r>
        <w:tab/>
        <w:t>386.65M</w:t>
      </w:r>
      <w:r>
        <w:tab/>
        <w:t>348.63M</w:t>
      </w:r>
      <w:r>
        <w:tab/>
        <w:t>-9.83%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Insight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انخفضت المبيعات في 2024 بحوالي 9.84%، وانخفض الربح بحوالي 10.05</w:t>
      </w:r>
      <w:r>
        <w:t>%.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لكن في المقابل انخفضت التكلفة بنسبة قريبة جدًا من انخفاض المبيعات (9.81%)، ولذلك ظل هامش الربح مستقرًا تقريبًا عند حوالي 12.4</w:t>
      </w:r>
      <w:r>
        <w:t>%.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Business Interpretation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هذا يعني أن المشكلة الرئيسية في 2024 ليست انهيارًا في هامش الربح، وإنما انخفاض حجم النشاط والمبيعات نفسها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/>
    <w:p w:rsidR="00192C7C" w:rsidRDefault="00192C7C" w:rsidP="008D484F">
      <w:r>
        <w:t>3. Sales Channel Analysis</w:t>
      </w:r>
    </w:p>
    <w:p w:rsidR="00192C7C" w:rsidRDefault="00192C7C" w:rsidP="008D484F"/>
    <w:p w:rsidR="00192C7C" w:rsidRDefault="00192C7C" w:rsidP="008D484F">
      <w:r>
        <w:t>2023</w:t>
      </w:r>
    </w:p>
    <w:p w:rsidR="00192C7C" w:rsidRDefault="00192C7C" w:rsidP="008D484F"/>
    <w:p w:rsidR="00192C7C" w:rsidRDefault="00192C7C" w:rsidP="008D484F">
      <w:r>
        <w:t>Online: 60%</w:t>
      </w:r>
    </w:p>
    <w:p w:rsidR="00192C7C" w:rsidRDefault="00192C7C" w:rsidP="008D484F"/>
    <w:p w:rsidR="00192C7C" w:rsidRDefault="00192C7C" w:rsidP="008D484F">
      <w:r>
        <w:t>Store: 40%</w:t>
      </w:r>
    </w:p>
    <w:p w:rsidR="00192C7C" w:rsidRDefault="00192C7C" w:rsidP="008D484F"/>
    <w:p w:rsidR="00192C7C" w:rsidRDefault="00192C7C" w:rsidP="008D484F"/>
    <w:p w:rsidR="00192C7C" w:rsidRDefault="00192C7C" w:rsidP="008D484F">
      <w:r>
        <w:t>2024</w:t>
      </w:r>
    </w:p>
    <w:p w:rsidR="00192C7C" w:rsidRDefault="00192C7C" w:rsidP="008D484F"/>
    <w:p w:rsidR="00192C7C" w:rsidRDefault="00192C7C" w:rsidP="008D484F">
      <w:r>
        <w:t>Online: 61%</w:t>
      </w:r>
    </w:p>
    <w:p w:rsidR="00192C7C" w:rsidRDefault="00192C7C" w:rsidP="008D484F">
      <w:bookmarkStart w:id="0" w:name="_GoBack"/>
      <w:bookmarkEnd w:id="0"/>
    </w:p>
    <w:p w:rsidR="00192C7C" w:rsidRDefault="00192C7C" w:rsidP="008D484F">
      <w:r>
        <w:t>Store: 39%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Insight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زادت مساهمة</w:t>
      </w:r>
      <w:r>
        <w:t xml:space="preserve"> Online </w:t>
      </w:r>
      <w:r>
        <w:rPr>
          <w:rFonts w:cs="Arial"/>
          <w:rtl/>
        </w:rPr>
        <w:t>بمقدار 1 نقطة مئوية في 2024، بينما انخفضت مساهمة</w:t>
      </w:r>
      <w:r>
        <w:t xml:space="preserve"> Store </w:t>
      </w:r>
      <w:r>
        <w:rPr>
          <w:rFonts w:cs="Arial"/>
          <w:rtl/>
        </w:rPr>
        <w:t>بنفس النسبة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وهذا يشير إلى استمرار تحول جزء أكبر من المبيعات نحو القناة الرقمية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lastRenderedPageBreak/>
        <w:t>Business Decision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 xml:space="preserve">- </w:t>
      </w:r>
      <w:r>
        <w:rPr>
          <w:rFonts w:cs="Arial"/>
          <w:rtl/>
        </w:rPr>
        <w:t>زيادة التركيز على قناة</w:t>
      </w:r>
      <w:r>
        <w:t xml:space="preserve"> Online </w:t>
      </w:r>
      <w:r>
        <w:rPr>
          <w:rFonts w:cs="Arial"/>
          <w:rtl/>
        </w:rPr>
        <w:t>باعتبارها القناة الرئيسية للمبيعات، مع تحسين تجربة الشراء والتسويق الرقمي، مع متابعة ربحية القناة وليس حجم المبيعات فقط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4. Product Analysis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2023 — Top Products by Sales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1. Samsung 24" — 75,048.40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2. iPhone 15 Pro Max — 73,405.80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3. LG 65" OLED — 57,478.80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4. Toshiba 16 ft — 38,034.10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 xml:space="preserve">5. </w:t>
      </w:r>
      <w:proofErr w:type="spellStart"/>
      <w:r>
        <w:t>Kett</w:t>
      </w:r>
      <w:proofErr w:type="spellEnd"/>
      <w:r>
        <w:t xml:space="preserve">… 1.5 </w:t>
      </w:r>
      <w:r>
        <w:rPr>
          <w:rFonts w:cs="Arial"/>
          <w:rtl/>
        </w:rPr>
        <w:t>حصان — 33,553.12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2024 — Top Products by Sales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1. iPhone 15 Pro Max — 70,012.80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2. Samsung 24" — 68,283.95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3. LG 65" OLED — 47,661.50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4. Toshiba 16 ft — 33,429.50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 xml:space="preserve">5. </w:t>
      </w:r>
      <w:proofErr w:type="spellStart"/>
      <w:r>
        <w:t>Kett</w:t>
      </w:r>
      <w:proofErr w:type="spellEnd"/>
      <w:r>
        <w:t xml:space="preserve">… 1.5 </w:t>
      </w:r>
      <w:r>
        <w:rPr>
          <w:rFonts w:cs="Arial"/>
          <w:rtl/>
        </w:rPr>
        <w:t>حصان — 30,274.87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Insight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هناك استقرار واضح في قائمة المنتجات الأقوى؛ معظم المنتجات الرئيسية استمرت في الظهور ضمن</w:t>
      </w:r>
      <w:r>
        <w:t xml:space="preserve"> Top 5 </w:t>
      </w:r>
      <w:r>
        <w:rPr>
          <w:rFonts w:cs="Arial"/>
          <w:rtl/>
        </w:rPr>
        <w:t>في العامين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لكن حدث تغير مهم</w:t>
      </w:r>
      <w:r>
        <w:t>: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 xml:space="preserve">- iPhone 15 Pro Max </w:t>
      </w:r>
      <w:r>
        <w:rPr>
          <w:rFonts w:cs="Arial"/>
          <w:rtl/>
        </w:rPr>
        <w:t>انتقل إلى المركز الأول في المبيعات خلال 2024، بينما تراجع</w:t>
      </w:r>
      <w:r>
        <w:t xml:space="preserve"> Samsung 24" </w:t>
      </w:r>
      <w:r>
        <w:rPr>
          <w:rFonts w:cs="Arial"/>
          <w:rtl/>
        </w:rPr>
        <w:t>إلى المركز الثاني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وفي الوقت نفسه، انخفضت مبيعات المنتجات الرئيسية في 2024 مقارنة بـ2023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Business Decision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 xml:space="preserve">- </w:t>
      </w:r>
      <w:r>
        <w:rPr>
          <w:rFonts w:cs="Arial"/>
          <w:rtl/>
        </w:rPr>
        <w:t>الحفاظ على توافر المنتجات الرئيسية، مع التركيز بشكل خاص على المنتجات التي تحافظ على الطلب المرتفع والربحية الجيدة، ومراجعة أسباب انخفاض مبيعات المنتجات في 2024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5. Product Profitability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أظهر تحليل الربحية أن المنتجات الرئيسية تحقق مساهمات مختلفة في إجمالي الأرباح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والنقطة المهمة هنا</w:t>
      </w:r>
      <w:r>
        <w:t>: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 xml:space="preserve">- </w:t>
      </w:r>
      <w:r>
        <w:rPr>
          <w:rFonts w:cs="Arial"/>
          <w:rtl/>
        </w:rPr>
        <w:t>المنتج الأعلى مبيعًا ليس بالضرورة المنتج الأعلى ربحية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لذلك يجب ألا يتم اتخاذ قرارات المخزون أو التسويق اعتمادًا على</w:t>
      </w:r>
      <w:r>
        <w:t xml:space="preserve"> Sales </w:t>
      </w:r>
      <w:r>
        <w:rPr>
          <w:rFonts w:cs="Arial"/>
          <w:rtl/>
        </w:rPr>
        <w:t>فقط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Business Decision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 xml:space="preserve">- </w:t>
      </w:r>
      <w:r>
        <w:rPr>
          <w:rFonts w:cs="Arial"/>
          <w:rtl/>
        </w:rPr>
        <w:t>التركيز على المنتجات التي تجمع بين</w:t>
      </w:r>
      <w:r>
        <w:t xml:space="preserve"> High Sales + High Profit</w:t>
      </w:r>
      <w:r>
        <w:rPr>
          <w:rFonts w:cs="Arial"/>
          <w:rtl/>
        </w:rPr>
        <w:t>، ومراجعة المنتجات التي تحقق مبيعات مرتفعة ولكن بهامش ربح منخفض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6. Regional Analysis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2023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مساهمة المناطق من إجمالي المبيعات</w:t>
      </w:r>
      <w:r>
        <w:t>: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القاهرة الكبرى: 35</w:t>
      </w:r>
      <w:r>
        <w:t>%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الدلتا: 25</w:t>
      </w:r>
      <w:r>
        <w:t>%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القناة: 24</w:t>
      </w:r>
      <w:r>
        <w:t>%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الإسكندرية: 16</w:t>
      </w:r>
      <w:r>
        <w:t>%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lastRenderedPageBreak/>
        <w:t>2024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القاهرة الكبرى: 34</w:t>
      </w:r>
      <w:r>
        <w:t>%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القناة: 26</w:t>
      </w:r>
      <w:r>
        <w:t>%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الدلتا: 24</w:t>
      </w:r>
      <w:r>
        <w:t>%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الإسكندرية: 16</w:t>
      </w:r>
      <w:r>
        <w:t>%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Insight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القاهرة الكبرى ظلت أكبر منطقة من حيث المساهمة، لكنها انخفضت من 35% إلى 34</w:t>
      </w:r>
      <w:r>
        <w:t>%.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في المقابل، ارتفعت مساهمة منطقة القناة من 24% إلى 26</w:t>
      </w:r>
      <w:r>
        <w:t>%.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أما الإسكندرية فحافظت على 16% في العامين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Business Decision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 xml:space="preserve">- </w:t>
      </w:r>
      <w:r>
        <w:rPr>
          <w:rFonts w:cs="Arial"/>
          <w:rtl/>
        </w:rPr>
        <w:t>دراسة أسباب نمو منطقة القناة والاستفادة من عوامل نجاحها، مع الحفاظ على قوة القاهرة الكبرى ومراجعة فرص النمو في المناطق الأقل مساهمة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7. City Profitability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في 2023 كان أعلى ربح حسب المدن من</w:t>
      </w:r>
      <w:r>
        <w:t>: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بورسعيد: 8.06</w:t>
      </w:r>
      <w:r>
        <w:t>M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طنطا: 7.80</w:t>
      </w:r>
      <w:r>
        <w:t>M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المنصورة: 7.74</w:t>
      </w:r>
      <w:r>
        <w:t>M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الإسكندرية: 7.49</w:t>
      </w:r>
      <w:r>
        <w:t>M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القاهرة: 7.37</w:t>
      </w:r>
      <w:r>
        <w:t>M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وفي 2024</w:t>
      </w:r>
      <w:r>
        <w:t>: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طنطا: 7.48</w:t>
      </w:r>
      <w:r>
        <w:t>M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بورسعيد: 7.12</w:t>
      </w:r>
      <w:r>
        <w:t>M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المنصورة: 6.98</w:t>
      </w:r>
      <w:r>
        <w:t>M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الإسكندرية: 6.98</w:t>
      </w:r>
      <w:r>
        <w:t>M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السويس: 6.73</w:t>
      </w:r>
      <w:r>
        <w:t>M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القاهرة: 6.33</w:t>
      </w:r>
      <w:r>
        <w:t>M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Insight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يوجد انخفاض في أرباح معظم المدن في 2024 مقارنة بـ2023، مع استمرار طنطا ضمن المدن الأعلى ربحية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Business Decision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 xml:space="preserve">- </w:t>
      </w:r>
      <w:r>
        <w:rPr>
          <w:rFonts w:cs="Arial"/>
          <w:rtl/>
        </w:rPr>
        <w:t>تحليل أسباب انخفاض الربحية في المدن الرئيسية، مع توجيه الموارد بناءً على الربحية وليس المبيعات فقط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8. Overall Business Insights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من خلال مقارنة العامين، يمكن تلخيص أهم النتائج في 4 نقاط</w:t>
      </w:r>
      <w:r>
        <w:t>: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 xml:space="preserve">1. </w:t>
      </w:r>
      <w:r>
        <w:rPr>
          <w:rFonts w:cs="Arial"/>
          <w:rtl/>
        </w:rPr>
        <w:t>انخفاض المبيعات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المبيعات انخفضت حوالي 9.84% في 2024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 xml:space="preserve">2. </w:t>
      </w:r>
      <w:r>
        <w:rPr>
          <w:rFonts w:cs="Arial"/>
          <w:rtl/>
        </w:rPr>
        <w:t>انخفاض الأرباح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الأرباح انخفضت حوالي 10.05</w:t>
      </w:r>
      <w:r>
        <w:t>%.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 xml:space="preserve">3. </w:t>
      </w:r>
      <w:r>
        <w:rPr>
          <w:rFonts w:cs="Arial"/>
          <w:rtl/>
        </w:rPr>
        <w:t>استقرار هامش الربح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هامش الربح الحقيقي ظل قريبًا من 12.4% في العامين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 xml:space="preserve">4. </w:t>
      </w:r>
      <w:r>
        <w:rPr>
          <w:rFonts w:cs="Arial"/>
          <w:rtl/>
        </w:rPr>
        <w:t>استمرار قوة</w:t>
      </w:r>
      <w:r>
        <w:t xml:space="preserve"> Online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ارتفعت مساهمة</w:t>
      </w:r>
      <w:r>
        <w:t xml:space="preserve"> Online </w:t>
      </w:r>
      <w:r>
        <w:rPr>
          <w:rFonts w:cs="Arial"/>
          <w:rtl/>
        </w:rPr>
        <w:t>من 60% إلى 61</w:t>
      </w:r>
      <w:r>
        <w:t>%.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9. Recommendations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بناءً على التحليل، أوصي بـ</w:t>
      </w:r>
      <w:r>
        <w:t>: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 xml:space="preserve">1. </w:t>
      </w:r>
      <w:r>
        <w:rPr>
          <w:rFonts w:cs="Arial"/>
          <w:rtl/>
        </w:rPr>
        <w:t>التركيز على استعادة نمو المبيعات</w:t>
      </w:r>
    </w:p>
    <w:p w:rsidR="00192C7C" w:rsidRDefault="00192C7C" w:rsidP="008D484F">
      <w:pPr>
        <w:bidi/>
      </w:pPr>
      <w:r>
        <w:rPr>
          <w:rFonts w:cs="Arial"/>
          <w:rtl/>
        </w:rPr>
        <w:t>لأن الانخفاض في المبيعات هو المشكلة الرئيسية في 2024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 xml:space="preserve">2. </w:t>
      </w:r>
      <w:r>
        <w:rPr>
          <w:rFonts w:cs="Arial"/>
          <w:rtl/>
        </w:rPr>
        <w:t>دعم قناة</w:t>
      </w:r>
      <w:r>
        <w:t xml:space="preserve"> Online</w:t>
      </w:r>
    </w:p>
    <w:p w:rsidR="00192C7C" w:rsidRDefault="00192C7C" w:rsidP="008D484F">
      <w:pPr>
        <w:bidi/>
      </w:pPr>
      <w:r>
        <w:rPr>
          <w:rFonts w:cs="Arial"/>
          <w:rtl/>
        </w:rPr>
        <w:t>لأنها أصبحت تمثل 61% من المبيعات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 xml:space="preserve">3. </w:t>
      </w:r>
      <w:r>
        <w:rPr>
          <w:rFonts w:cs="Arial"/>
          <w:rtl/>
        </w:rPr>
        <w:t>التركيز على المنتجات القوية</w:t>
      </w:r>
    </w:p>
    <w:p w:rsidR="00192C7C" w:rsidRDefault="00192C7C" w:rsidP="008D484F">
      <w:pPr>
        <w:bidi/>
      </w:pPr>
      <w:r>
        <w:rPr>
          <w:rFonts w:cs="Arial"/>
          <w:rtl/>
        </w:rPr>
        <w:t>خصوصًا المنتجات التي تجمع بين حجم مبيعات مرتفع وربحية جيدة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 xml:space="preserve">4. </w:t>
      </w:r>
      <w:r>
        <w:rPr>
          <w:rFonts w:cs="Arial"/>
          <w:rtl/>
        </w:rPr>
        <w:t>تحليل أسباب انخفاض المبيعات</w:t>
      </w:r>
    </w:p>
    <w:p w:rsidR="00192C7C" w:rsidRDefault="00192C7C" w:rsidP="008D484F">
      <w:pPr>
        <w:bidi/>
      </w:pPr>
      <w:r>
        <w:rPr>
          <w:rFonts w:cs="Arial"/>
          <w:rtl/>
        </w:rPr>
        <w:t>خصوصًا في المنتجات والمدن التي تراجعت في 2024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 xml:space="preserve">5. </w:t>
      </w:r>
      <w:r>
        <w:rPr>
          <w:rFonts w:cs="Arial"/>
          <w:rtl/>
        </w:rPr>
        <w:t>استغلال منطقة القناة</w:t>
      </w:r>
    </w:p>
    <w:p w:rsidR="00192C7C" w:rsidRDefault="00192C7C" w:rsidP="008D484F">
      <w:pPr>
        <w:bidi/>
      </w:pPr>
      <w:r>
        <w:rPr>
          <w:rFonts w:cs="Arial"/>
          <w:rtl/>
        </w:rPr>
        <w:t>لأن مساهمتها ارتفعت من 24% إلى 26</w:t>
      </w:r>
      <w:r>
        <w:t>%.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10. Final Business Decision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 xml:space="preserve">- </w:t>
      </w:r>
      <w:r>
        <w:rPr>
          <w:rFonts w:cs="Arial"/>
          <w:rtl/>
        </w:rPr>
        <w:t>القرار المقترح</w:t>
      </w:r>
      <w:r>
        <w:t>: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التركيز خلال الفترة القادمة على استعادة نمو المبيعات مع الحفاظ على مستوى الربحية الحالي، وذلك من خلال دعم قناة</w:t>
      </w:r>
      <w:r>
        <w:t xml:space="preserve"> Online</w:t>
      </w:r>
      <w:r>
        <w:rPr>
          <w:rFonts w:cs="Arial"/>
          <w:rtl/>
        </w:rPr>
        <w:t>، والتركيز على المنتجات الأكثر طلبًا وربحية، والاستفادة من نمو منطقة القناة، مع تحليل أسباب انخفاض أداء المنتجات والمدن خلال 2024</w:t>
      </w:r>
      <w:r>
        <w:t>.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Success KPIs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يتم قياس نجاح القرار من خلال</w:t>
      </w:r>
      <w:r>
        <w:t>: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>Sales Growth → Profit Growth → Profit Margin → Online Sales → Product Profitability → Regional Sales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rPr>
          <w:rFonts w:cs="Arial"/>
          <w:rtl/>
        </w:rPr>
        <w:t>الخلاصة في جملة واحدة</w:t>
      </w:r>
    </w:p>
    <w:p w:rsidR="00192C7C" w:rsidRDefault="00192C7C" w:rsidP="008D484F">
      <w:pPr>
        <w:bidi/>
      </w:pPr>
    </w:p>
    <w:p w:rsidR="00192C7C" w:rsidRDefault="00192C7C" w:rsidP="008D484F">
      <w:pPr>
        <w:bidi/>
      </w:pPr>
      <w:r>
        <w:t xml:space="preserve">- 2024 </w:t>
      </w:r>
      <w:r>
        <w:rPr>
          <w:rFonts w:cs="Arial"/>
          <w:rtl/>
        </w:rPr>
        <w:t>شهد انخفاضًا في المبيعات والأرباح بحوالي 10%، لكن هامش الربح ظل مستقرًا تقريبًا؛ لذلك يجب أن يكون التركيز الأساسي على استعادة حجم المبيعات، مع الاستفادة من قوة</w:t>
      </w:r>
      <w:r>
        <w:t xml:space="preserve"> Online </w:t>
      </w:r>
      <w:r>
        <w:rPr>
          <w:rFonts w:cs="Arial"/>
          <w:rtl/>
        </w:rPr>
        <w:t>والمنتجات والمناطق الأعلى أداءً دون التضحية بالربحية</w:t>
      </w:r>
      <w:r>
        <w:t>.</w:t>
      </w:r>
    </w:p>
    <w:p w:rsidR="00A91353" w:rsidRDefault="00A91353" w:rsidP="008D484F">
      <w:pPr>
        <w:bidi/>
      </w:pPr>
    </w:p>
    <w:sectPr w:rsidR="00A91353" w:rsidSect="00920AD3">
      <w:pgSz w:w="12240" w:h="15840"/>
      <w:pgMar w:top="360" w:right="27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7C"/>
    <w:rsid w:val="00192C7C"/>
    <w:rsid w:val="008D484F"/>
    <w:rsid w:val="00920AD3"/>
    <w:rsid w:val="00A9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2F23B"/>
  <w15:chartTrackingRefBased/>
  <w15:docId w15:val="{0141436E-4803-4346-A263-DC2CBE378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E24E4-6C6C-495A-9799-11A345931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790</Words>
  <Characters>4508</Characters>
  <Application>Microsoft Office Word</Application>
  <DocSecurity>0</DocSecurity>
  <Lines>37</Lines>
  <Paragraphs>10</Paragraphs>
  <ScaleCrop>false</ScaleCrop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RAI-ZEN</dc:creator>
  <cp:keywords/>
  <dc:description/>
  <cp:lastModifiedBy>RAI-ZEN</cp:lastModifiedBy>
  <cp:revision>3</cp:revision>
  <dcterms:created xsi:type="dcterms:W3CDTF">2026-08-11T18:22:00Z</dcterms:created>
  <dcterms:modified xsi:type="dcterms:W3CDTF">2026-08-11T18:27:00Z</dcterms:modified>
</cp:coreProperties>
</file>