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Gabriel Zamora </w:t>
        <w:tab/>
        <w:tab/>
        <w:tab/>
        <w:tab/>
        <w:tab/>
        <w:tab/>
        <w:tab/>
        <w:tab/>
        <w:tab/>
        <w:tab/>
        <w:t xml:space="preserve">11-9</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u w:val="single"/>
        </w:rPr>
      </w:pPr>
      <w:r w:rsidDel="00000000" w:rsidR="00000000" w:rsidRPr="00000000">
        <w:rPr>
          <w:u w:val="single"/>
          <w:rtl w:val="0"/>
        </w:rPr>
        <w:t xml:space="preserve">Fully Qualified Domain (FQD)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A domain is a named, reusable data type that can include rules about what values are allowed.</w:t>
      </w:r>
    </w:p>
    <w:p w:rsidR="00000000" w:rsidDel="00000000" w:rsidP="00000000" w:rsidRDefault="00000000" w:rsidRPr="00000000" w14:paraId="00000007">
      <w:pPr>
        <w:numPr>
          <w:ilvl w:val="1"/>
          <w:numId w:val="1"/>
        </w:numPr>
        <w:ind w:left="1440" w:hanging="360"/>
        <w:rPr>
          <w:u w:val="none"/>
        </w:rPr>
      </w:pPr>
      <w:r w:rsidDel="00000000" w:rsidR="00000000" w:rsidRPr="00000000">
        <w:rPr>
          <w:rtl w:val="0"/>
        </w:rPr>
        <w:t xml:space="preserve">It explains the type of data something should be, kind of like a class in java.</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Theyre created using ‘CREATE DOMAIN’ statement inside of ANSI SQL, whereas in T-SQL, its made using ‘CREATE TYPE’. </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You define it once, then you can reuse it anywhere inside your database.</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It being fully qualified, means that it includes the full name with its schema, like dbo.CountryName, or Sales.CustomerName, or something along those lines.</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To Use a fully qualified domain, you start by creating a reusable domain, </w:t>
      </w:r>
    </w:p>
    <w:p w:rsidR="00000000" w:rsidDel="00000000" w:rsidP="00000000" w:rsidRDefault="00000000" w:rsidRPr="00000000" w14:paraId="0000000C">
      <w:pPr>
        <w:numPr>
          <w:ilvl w:val="1"/>
          <w:numId w:val="1"/>
        </w:numPr>
        <w:ind w:left="1440" w:hanging="360"/>
        <w:rPr>
          <w:u w:val="none"/>
        </w:rPr>
      </w:pPr>
      <w:r w:rsidDel="00000000" w:rsidR="00000000" w:rsidRPr="00000000">
        <w:rPr>
          <w:rtl w:val="0"/>
        </w:rPr>
        <w:t xml:space="preserve">CREATE TYPE dbo.CountryCodeType FROM CHAR(2);</w:t>
      </w:r>
    </w:p>
    <w:p w:rsidR="00000000" w:rsidDel="00000000" w:rsidP="00000000" w:rsidRDefault="00000000" w:rsidRPr="00000000" w14:paraId="0000000D">
      <w:pPr>
        <w:numPr>
          <w:ilvl w:val="2"/>
          <w:numId w:val="1"/>
        </w:numPr>
        <w:ind w:left="2160" w:hanging="360"/>
        <w:rPr>
          <w:u w:val="none"/>
        </w:rPr>
      </w:pPr>
      <w:r w:rsidDel="00000000" w:rsidR="00000000" w:rsidRPr="00000000">
        <w:rPr>
          <w:rtl w:val="0"/>
        </w:rPr>
        <w:t xml:space="preserve">This creates a fully qualified domain in dbo, so its both a schema and fully qualified.</w:t>
      </w:r>
    </w:p>
    <w:p w:rsidR="00000000" w:rsidDel="00000000" w:rsidP="00000000" w:rsidRDefault="00000000" w:rsidRPr="00000000" w14:paraId="0000000E">
      <w:pPr>
        <w:numPr>
          <w:ilvl w:val="1"/>
          <w:numId w:val="1"/>
        </w:numPr>
        <w:ind w:left="1440" w:hanging="360"/>
        <w:rPr>
          <w:u w:val="none"/>
        </w:rPr>
      </w:pPr>
      <w:r w:rsidDel="00000000" w:rsidR="00000000" w:rsidRPr="00000000">
        <w:rPr>
          <w:rtl w:val="0"/>
        </w:rPr>
        <w:t xml:space="preserve">Then, you can use it to define the own table.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ind w:left="0" w:firstLine="0"/>
        <w:rPr>
          <w:u w:val="single"/>
        </w:rPr>
      </w:pPr>
      <w:r w:rsidDel="00000000" w:rsidR="00000000" w:rsidRPr="00000000">
        <w:rPr>
          <w:u w:val="single"/>
          <w:rtl w:val="0"/>
        </w:rPr>
        <w:t xml:space="preserve">Fully Qualified Table Names (FQTN)</w:t>
      </w:r>
    </w:p>
    <w:p w:rsidR="00000000" w:rsidDel="00000000" w:rsidP="00000000" w:rsidRDefault="00000000" w:rsidRPr="00000000" w14:paraId="00000011">
      <w:pPr>
        <w:numPr>
          <w:ilvl w:val="0"/>
          <w:numId w:val="3"/>
        </w:numPr>
        <w:ind w:left="720" w:hanging="360"/>
        <w:rPr/>
      </w:pPr>
      <w:r w:rsidDel="00000000" w:rsidR="00000000" w:rsidRPr="00000000">
        <w:rPr>
          <w:rtl w:val="0"/>
        </w:rPr>
        <w:t xml:space="preserve">A fully qualified table name includes a database, schema, and object name.</w:t>
      </w:r>
    </w:p>
    <w:p w:rsidR="00000000" w:rsidDel="00000000" w:rsidP="00000000" w:rsidRDefault="00000000" w:rsidRPr="00000000" w14:paraId="00000012">
      <w:pPr>
        <w:numPr>
          <w:ilvl w:val="1"/>
          <w:numId w:val="3"/>
        </w:numPr>
        <w:ind w:left="1440" w:hanging="360"/>
        <w:rPr>
          <w:u w:val="none"/>
        </w:rPr>
      </w:pPr>
      <w:r w:rsidDel="00000000" w:rsidR="00000000" w:rsidRPr="00000000">
        <w:rPr>
          <w:rtl w:val="0"/>
        </w:rPr>
        <w:t xml:space="preserve">In our previous databases, in example northwinds, one could be </w:t>
      </w:r>
    </w:p>
    <w:p w:rsidR="00000000" w:rsidDel="00000000" w:rsidP="00000000" w:rsidRDefault="00000000" w:rsidRPr="00000000" w14:paraId="00000013">
      <w:pPr>
        <w:numPr>
          <w:ilvl w:val="2"/>
          <w:numId w:val="3"/>
        </w:numPr>
        <w:ind w:left="2160" w:hanging="360"/>
        <w:rPr>
          <w:u w:val="none"/>
        </w:rPr>
      </w:pPr>
      <w:r w:rsidDel="00000000" w:rsidR="00000000" w:rsidRPr="00000000">
        <w:rPr>
          <w:rtl w:val="0"/>
        </w:rPr>
        <w:t xml:space="preserve">Northwinds.Sales.Customer, it has the [database].[schema].[table]</w:t>
      </w:r>
    </w:p>
    <w:p w:rsidR="00000000" w:rsidDel="00000000" w:rsidP="00000000" w:rsidRDefault="00000000" w:rsidRPr="00000000" w14:paraId="00000014">
      <w:pPr>
        <w:numPr>
          <w:ilvl w:val="1"/>
          <w:numId w:val="3"/>
        </w:numPr>
        <w:ind w:left="1440" w:hanging="360"/>
        <w:rPr/>
      </w:pPr>
      <w:r w:rsidDel="00000000" w:rsidR="00000000" w:rsidRPr="00000000">
        <w:rPr>
          <w:u w:val="single"/>
          <w:rtl w:val="0"/>
        </w:rPr>
        <w:t xml:space="preserve">Importance of Fully Qualified Table Names</w:t>
      </w:r>
      <w:r w:rsidDel="00000000" w:rsidR="00000000" w:rsidRPr="00000000">
        <w:rPr>
          <w:rtl w:val="0"/>
        </w:rPr>
      </w:r>
    </w:p>
    <w:p w:rsidR="00000000" w:rsidDel="00000000" w:rsidP="00000000" w:rsidRDefault="00000000" w:rsidRPr="00000000" w14:paraId="00000015">
      <w:pPr>
        <w:numPr>
          <w:ilvl w:val="2"/>
          <w:numId w:val="3"/>
        </w:numPr>
        <w:ind w:left="2160" w:hanging="360"/>
        <w:rPr>
          <w:b w:val="1"/>
          <w:bCs w:val="1"/>
          <w:u w:val="none"/>
        </w:rPr>
      </w:pPr>
      <w:r w:rsidDel="00000000" w:rsidR="00000000" w:rsidRPr="00000000">
        <w:rPr>
          <w:b w:val="1"/>
          <w:bCs w:val="1"/>
          <w:u w:val="single"/>
          <w:rtl w:val="0"/>
        </w:rPr>
        <w:t xml:space="preserve">Clarity:</w:t>
      </w:r>
      <w:r w:rsidDel="00000000" w:rsidR="00000000" w:rsidRPr="00000000">
        <w:rPr>
          <w:rtl w:val="0"/>
        </w:rPr>
        <w:t xml:space="preserve">using something like SELECT FROM Customer, the query wont know what customer it means, so you use Sales.Customer so it knows where to choose, or better yet, northwinds.Sales.Customer</w:t>
      </w:r>
    </w:p>
    <w:p w:rsidR="00000000" w:rsidDel="00000000" w:rsidP="00000000" w:rsidRDefault="00000000" w:rsidRPr="00000000" w14:paraId="00000016">
      <w:pPr>
        <w:numPr>
          <w:ilvl w:val="2"/>
          <w:numId w:val="3"/>
        </w:numPr>
        <w:ind w:left="2160" w:hanging="360"/>
        <w:rPr>
          <w:b w:val="1"/>
          <w:bCs w:val="1"/>
        </w:rPr>
      </w:pPr>
      <w:r w:rsidDel="00000000" w:rsidR="00000000" w:rsidRPr="00000000">
        <w:rPr>
          <w:b w:val="1"/>
          <w:bCs w:val="1"/>
          <w:u w:val="single"/>
          <w:rtl w:val="0"/>
        </w:rPr>
        <w:t xml:space="preserve">Referential Integrity:</w:t>
      </w:r>
      <w:r w:rsidDel="00000000" w:rsidR="00000000" w:rsidRPr="00000000">
        <w:rPr>
          <w:rtl w:val="0"/>
        </w:rPr>
        <w:t xml:space="preserve"> It means that the relationships between tables remain valid, it makes sure that it connects the correct tables and not tables that are named after other tables or share the same name.</w:t>
      </w:r>
    </w:p>
    <w:p w:rsidR="00000000" w:rsidDel="00000000" w:rsidP="00000000" w:rsidRDefault="00000000" w:rsidRPr="00000000" w14:paraId="00000017">
      <w:pPr>
        <w:numPr>
          <w:ilvl w:val="2"/>
          <w:numId w:val="3"/>
        </w:numPr>
        <w:ind w:left="2160" w:hanging="360"/>
        <w:rPr>
          <w:b w:val="1"/>
          <w:bCs w:val="1"/>
        </w:rPr>
      </w:pPr>
      <w:r w:rsidDel="00000000" w:rsidR="00000000" w:rsidRPr="00000000">
        <w:rPr>
          <w:b w:val="1"/>
          <w:bCs w:val="1"/>
          <w:u w:val="single"/>
          <w:rtl w:val="0"/>
        </w:rPr>
        <w:t xml:space="preserve">Scalability:</w:t>
      </w:r>
      <w:r w:rsidDel="00000000" w:rsidR="00000000" w:rsidRPr="00000000">
        <w:rPr>
          <w:rtl w:val="0"/>
        </w:rPr>
        <w:t xml:space="preserve"> As the database grows or you use more databases, when you consistently use FQTN’s, your SQL becomes readable and know where everything is from. You can point to any source, and any server, using the same [database].[schema].[table]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u w:val="single"/>
          <w:rtl w:val="0"/>
        </w:rPr>
        <w:t xml:space="preserve">Taxonomies</w:t>
      </w:r>
      <w:r w:rsidDel="00000000" w:rsidR="00000000" w:rsidRPr="00000000">
        <w:rPr>
          <w:rtl w:val="0"/>
        </w:rPr>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Taxonomy in SQL is basically the same in english, which is the classification system used, but in relational databases, its the organized structure of Schemas, tables, columns, keys, and the such. </w:t>
      </w:r>
    </w:p>
    <w:p w:rsidR="00000000" w:rsidDel="00000000" w:rsidP="00000000" w:rsidRDefault="00000000" w:rsidRPr="00000000" w14:paraId="0000001C">
      <w:pPr>
        <w:numPr>
          <w:ilvl w:val="1"/>
          <w:numId w:val="2"/>
        </w:numPr>
        <w:ind w:left="1440" w:hanging="360"/>
        <w:rPr>
          <w:u w:val="none"/>
        </w:rPr>
      </w:pPr>
      <w:r w:rsidDel="00000000" w:rsidR="00000000" w:rsidRPr="00000000">
        <w:rPr>
          <w:rtl w:val="0"/>
        </w:rPr>
        <w:t xml:space="preserve">For example, northwinds has a taxonomy of the highest, schemas, to tables, to columns, then domains</w:t>
      </w:r>
    </w:p>
    <w:p w:rsidR="00000000" w:rsidDel="00000000" w:rsidP="00000000" w:rsidRDefault="00000000" w:rsidRPr="00000000" w14:paraId="0000001D">
      <w:pPr>
        <w:numPr>
          <w:ilvl w:val="0"/>
          <w:numId w:val="2"/>
        </w:numPr>
        <w:ind w:left="720" w:hanging="360"/>
        <w:rPr/>
      </w:pPr>
      <w:r w:rsidDel="00000000" w:rsidR="00000000" w:rsidRPr="00000000">
        <w:rPr>
          <w:u w:val="single"/>
          <w:rtl w:val="0"/>
        </w:rPr>
        <w:t xml:space="preserve">Benefits of implementing fully qualified domains within a taxonomy</w:t>
      </w:r>
    </w:p>
    <w:p w:rsidR="00000000" w:rsidDel="00000000" w:rsidP="00000000" w:rsidRDefault="00000000" w:rsidRPr="00000000" w14:paraId="0000001E">
      <w:pPr>
        <w:numPr>
          <w:ilvl w:val="1"/>
          <w:numId w:val="2"/>
        </w:numPr>
        <w:ind w:left="1440" w:hanging="360"/>
        <w:rPr>
          <w:b w:val="1"/>
          <w:bCs w:val="1"/>
        </w:rPr>
      </w:pPr>
      <w:r w:rsidDel="00000000" w:rsidR="00000000" w:rsidRPr="00000000">
        <w:rPr>
          <w:b w:val="1"/>
          <w:bCs w:val="1"/>
          <w:u w:val="single"/>
          <w:rtl w:val="0"/>
        </w:rPr>
        <w:t xml:space="preserve">Data Consistency</w:t>
      </w:r>
      <w:r w:rsidDel="00000000" w:rsidR="00000000" w:rsidRPr="00000000">
        <w:rPr>
          <w:rtl w:val="0"/>
        </w:rPr>
        <w:t xml:space="preserve">: when database has multiple schema, each one might have a similar column, like customerID, so when using a FQD, it makes sure each schema uses the same exact format.</w:t>
      </w:r>
    </w:p>
    <w:p w:rsidR="00000000" w:rsidDel="00000000" w:rsidP="00000000" w:rsidRDefault="00000000" w:rsidRPr="00000000" w14:paraId="0000001F">
      <w:pPr>
        <w:numPr>
          <w:ilvl w:val="1"/>
          <w:numId w:val="2"/>
        </w:numPr>
        <w:ind w:left="1440" w:hanging="360"/>
        <w:rPr>
          <w:b w:val="1"/>
          <w:bCs w:val="1"/>
        </w:rPr>
      </w:pPr>
      <w:r w:rsidDel="00000000" w:rsidR="00000000" w:rsidRPr="00000000">
        <w:rPr>
          <w:b w:val="1"/>
          <w:bCs w:val="1"/>
          <w:u w:val="single"/>
          <w:rtl w:val="0"/>
        </w:rPr>
        <w:t xml:space="preserve">Reusability:</w:t>
      </w:r>
      <w:r w:rsidDel="00000000" w:rsidR="00000000" w:rsidRPr="00000000">
        <w:rPr>
          <w:rtl w:val="0"/>
        </w:rPr>
        <w:t xml:space="preserve"> You can reuse it anywhere, even within different schemas, like sales or human resources.</w:t>
      </w:r>
    </w:p>
    <w:p w:rsidR="00000000" w:rsidDel="00000000" w:rsidP="00000000" w:rsidRDefault="00000000" w:rsidRPr="00000000" w14:paraId="00000020">
      <w:pPr>
        <w:numPr>
          <w:ilvl w:val="1"/>
          <w:numId w:val="2"/>
        </w:numPr>
        <w:ind w:left="1440" w:hanging="360"/>
        <w:rPr>
          <w:b w:val="1"/>
          <w:bCs w:val="1"/>
        </w:rPr>
      </w:pPr>
      <w:r w:rsidDel="00000000" w:rsidR="00000000" w:rsidRPr="00000000">
        <w:rPr>
          <w:b w:val="1"/>
          <w:bCs w:val="1"/>
          <w:u w:val="single"/>
          <w:rtl w:val="0"/>
        </w:rPr>
        <w:t xml:space="preserve">Governance</w:t>
      </w:r>
      <w:r w:rsidDel="00000000" w:rsidR="00000000" w:rsidRPr="00000000">
        <w:rPr>
          <w:rtl w:val="0"/>
        </w:rPr>
        <w:t xml:space="preserve">: By the rules of FQD’s,  you can attach rules and constraints to it that apply everywhere its being used.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