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Poll Shows Wide Open Race in proposed VA-6; Rasoul in Strong Position to Win Progressive District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recent survey of likely Democratic primary voters shows a wide open race for the newly proposed and drawn VA-6. The survey, conducted February 18-22 by Community Pulse, a division of Molitico, surveyed 1,031 likely Democratic primary voters with a margin of error of 3%. While former Congressman Tom Perriello holds an early lead, the plurality of voters are undecided, and progressive Delegate Sam Rasoul is in a strong position to win.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Rasoul begins with strong name ID: nearly 60% of voters in the district are familiar with him and he has an impressive +47% net favorability. 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62275" cy="283861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448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838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plurality of voters on the initial, uninformed ballot are undecided, indicating a wide open race. As voters learn more about Rasoul, he gains the most among the three candidates tested, putting him within striking distance of Perriello with 20% of voters remaining undecided. Given the percentage of undecided voters and the fact that the test included no negative communication against Perriello, Rasoul is in a strong position to win the race. 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025"/>
        <w:gridCol w:w="2025"/>
        <w:gridCol w:w="2145"/>
        <w:tblGridChange w:id="0">
          <w:tblGrid>
            <w:gridCol w:w="3150"/>
            <w:gridCol w:w="2025"/>
            <w:gridCol w:w="2025"/>
            <w:gridCol w:w="21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Candidate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Initial Ballot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Post-Info Ballot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Shift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Tom Perriello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34.38%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37.40%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color w:val="1a7a1a"/>
                <w:sz w:val="20"/>
                <w:szCs w:val="20"/>
              </w:rPr>
            </w:pPr>
            <w:r w:rsidDel="00000000" w:rsidR="00000000" w:rsidRPr="00000000">
              <w:rPr>
                <w:color w:val="1a7a1a"/>
                <w:sz w:val="20"/>
                <w:szCs w:val="20"/>
                <w:rtl w:val="0"/>
              </w:rPr>
              <w:t xml:space="preserve">+3.02 pts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Sam Rasoul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15.47%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27.77%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color w:val="1a7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+12.30 pts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Beth Macy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12.59%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12.89%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color w:val="1a7a1a"/>
                <w:sz w:val="20"/>
                <w:szCs w:val="20"/>
              </w:rPr>
            </w:pPr>
            <w:r w:rsidDel="00000000" w:rsidR="00000000" w:rsidRPr="00000000">
              <w:rPr>
                <w:color w:val="1a7a1a"/>
                <w:sz w:val="20"/>
                <w:szCs w:val="20"/>
                <w:rtl w:val="0"/>
              </w:rPr>
              <w:t xml:space="preserve">+0.30 pts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Undecided/Don't Know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35.38%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19.98%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0000"/>
                <w:sz w:val="20"/>
                <w:szCs w:val="20"/>
                <w:rtl w:val="0"/>
              </w:rPr>
              <w:t xml:space="preserve">−15.40 pts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Rasoul’s growth makes sense given his progressive bio and track record. Nearly 50% of Democratic primary voters prefer a progressive candidate. 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55"/>
        <w:gridCol w:w="2490"/>
        <w:tblGridChange w:id="0">
          <w:tblGrid>
            <w:gridCol w:w="6855"/>
            <w:gridCol w:w="24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Candidate Type Preference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Weighted %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dc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 proud progressive with a proven track record, who will hold big corporations and special interests accountable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color w:val="1a7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48.38%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An experienced leader with an understanding of how to get things done in Washington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39.29%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political outsider with a fresh perspective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12.33%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Similarly, voters hold overwhelmingly positive views of prominent national progressives such as Sen. Bernie Sanders, Sen. Elizabeth Warren, and Rep. Alexandria Ocasio-Cortez. </w:t>
      </w:r>
    </w:p>
    <w:tbl>
      <w:tblPr>
        <w:tblStyle w:val="Table3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1935"/>
        <w:gridCol w:w="1935"/>
        <w:gridCol w:w="1620"/>
        <w:tblGridChange w:id="0">
          <w:tblGrid>
            <w:gridCol w:w="2940"/>
            <w:gridCol w:w="1935"/>
            <w:gridCol w:w="1935"/>
            <w:gridCol w:w="16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Individual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Very Favorable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Smwt. Favorable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Fav.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Elizabeth Warren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54.74%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29.33%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color w:val="1a7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84.07%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Bernie Sanders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52.76%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29.99%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color w:val="1a7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82.75%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Alexandria Ocasio-Cortez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52.30%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26.58%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color w:val="1a7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7a1a"/>
                <w:sz w:val="20"/>
                <w:szCs w:val="20"/>
                <w:rtl w:val="0"/>
              </w:rPr>
              <w:t xml:space="preserve">78.88%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METHODOLOGY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poll was conducted from February 18–22, 2026, among 1,031 likely Democratic primary voters in Virginia's newly proposed 6th Congressional District. The margin of error is ±3 %. Results were weighted to reflect the demographic composition of the VA-6 Democratic primary electorate using the following targets: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Gender: Female 60% | Male 40%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Race/Ethnicity: White 80% | Black 8.5% | Hispanic 2.5% | Asian 2% | Other 7%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Age: 18–19: 0.7% 20–24: 3.1% 25–29: 3.9% 30–34: 4.9% 35–39: 5.9% 40–44: 5.9% 45–49: 5.4% 50–54: 5.1% 55–64: 14.6% 65 and over: 50.7%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Geographic weighting was applied based on county/city share of the VA-6 electorate, with Albemarle County (24.9%), Charlottesville City (15.4%), and Roanoke City (12.2%) representing the three largest jurisdictions in the district.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</w:rPr>
      <w:drawing>
        <wp:inline distB="114300" distT="114300" distL="114300" distR="114300">
          <wp:extent cx="1689801" cy="678749"/>
          <wp:effectExtent b="0" l="0" r="0" t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9801" cy="67874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1"/>
        <w:bCs w:val="1"/>
      </w:rPr>
      <w:drawing>
        <wp:inline distB="114300" distT="114300" distL="114300" distR="114300">
          <wp:extent cx="1375476" cy="570676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5476" cy="57067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