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4A2" w:rsidRDefault="003F34A2"/>
    <w:p w:rsidR="004B4C97" w:rsidRDefault="004B4C97">
      <w:r>
        <w:rPr>
          <w:rFonts w:hint="eastAsia"/>
        </w:rPr>
        <w:t>Term</w:t>
      </w:r>
      <w:r>
        <w:t xml:space="preserve"> Definition </w:t>
      </w:r>
    </w:p>
    <w:p w:rsidR="00277C79" w:rsidRDefault="004B4C97">
      <w:r w:rsidRPr="006D3335">
        <w:rPr>
          <w:b/>
        </w:rPr>
        <w:t>Strict Evaluation</w:t>
      </w:r>
      <w:r>
        <w:t xml:space="preserve"> means the confusion matrix is defined by Root Cause Node and Target Node only in the group truth. </w:t>
      </w:r>
      <w:r w:rsidR="009164E3">
        <w:t xml:space="preserve"> </w:t>
      </w:r>
    </w:p>
    <w:p w:rsidR="004B4C97" w:rsidRDefault="00B35566">
      <w:pPr>
        <w:rPr>
          <w:vertAlign w:val="subscript"/>
        </w:rPr>
      </w:pPr>
      <w:r>
        <w:t>W is the whole set of all the nodes appearing in the group truth. Omega = W – {</w:t>
      </w:r>
      <w:proofErr w:type="spellStart"/>
      <w:r>
        <w:t>N</w:t>
      </w:r>
      <w:r>
        <w:rPr>
          <w:vertAlign w:val="subscript"/>
        </w:rPr>
        <w:t>r</w:t>
      </w:r>
      <w:r>
        <w:rPr>
          <w:rFonts w:hint="eastAsia"/>
          <w:vertAlign w:val="superscript"/>
        </w:rPr>
        <w:t>G</w:t>
      </w:r>
      <w:proofErr w:type="spellEnd"/>
      <w:r>
        <w:t>} – {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t</w:t>
      </w:r>
      <w:proofErr w:type="spellEnd"/>
      <w:proofErr w:type="gramStart"/>
      <w:r>
        <w:t>}</w:t>
      </w:r>
      <w:r>
        <w:t xml:space="preserve"> .</w:t>
      </w:r>
      <w:proofErr w:type="gramEnd"/>
      <w:r>
        <w:t xml:space="preserve"> </w:t>
      </w:r>
      <w:r w:rsidR="009164E3">
        <w:t xml:space="preserve">For each issue, the group truth contains the Root Cause Node </w:t>
      </w:r>
      <w:proofErr w:type="spellStart"/>
      <w:proofErr w:type="gramStart"/>
      <w:r>
        <w:t>N</w:t>
      </w:r>
      <w:r>
        <w:rPr>
          <w:vertAlign w:val="subscript"/>
        </w:rPr>
        <w:t>r</w:t>
      </w:r>
      <w:r>
        <w:rPr>
          <w:rFonts w:hint="eastAsia"/>
          <w:vertAlign w:val="superscript"/>
        </w:rPr>
        <w:t>G</w:t>
      </w:r>
      <w:proofErr w:type="spellEnd"/>
      <w:r w:rsidR="009164E3">
        <w:t xml:space="preserve">  and</w:t>
      </w:r>
      <w:proofErr w:type="gramEnd"/>
      <w:r w:rsidR="009164E3">
        <w:t xml:space="preserve">  </w:t>
      </w:r>
      <w:r w:rsidR="009164E3">
        <w:rPr>
          <w:rFonts w:hint="eastAsia"/>
        </w:rPr>
        <w:t>Target</w:t>
      </w:r>
      <w:r w:rsidR="009164E3">
        <w:t xml:space="preserve"> </w:t>
      </w:r>
      <w:r w:rsidR="009164E3">
        <w:rPr>
          <w:rFonts w:hint="eastAsia"/>
        </w:rPr>
        <w:t>Node</w:t>
      </w:r>
      <w:r w:rsidR="009164E3"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t</w:t>
      </w:r>
      <w:r>
        <w:rPr>
          <w:rFonts w:hint="eastAsia"/>
          <w:vertAlign w:val="superscript"/>
        </w:rPr>
        <w:t>G</w:t>
      </w:r>
      <w:proofErr w:type="spellEnd"/>
    </w:p>
    <w:p w:rsidR="009164E3" w:rsidRPr="00B35566" w:rsidRDefault="00B35566">
      <w:pPr>
        <w:rPr>
          <w:rFonts w:hint="eastAsia"/>
        </w:rPr>
      </w:pPr>
      <w:r>
        <w:rPr>
          <w:rFonts w:hint="eastAsia"/>
        </w:rPr>
        <w:t>if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</w:t>
      </w:r>
      <w:proofErr w:type="spellStart"/>
      <w:r>
        <w:t>N</w:t>
      </w:r>
      <w:r>
        <w:rPr>
          <w:vertAlign w:val="subscript"/>
        </w:rPr>
        <w:t>r</w:t>
      </w:r>
      <w:r>
        <w:rPr>
          <w:rFonts w:hint="eastAsia"/>
          <w:vertAlign w:val="superscript"/>
        </w:rPr>
        <w:t>G</w:t>
      </w:r>
      <w:proofErr w:type="spellEnd"/>
      <w:proofErr w:type="gramEnd"/>
      <w:r>
        <w:t xml:space="preserve"> ==</w:t>
      </w:r>
      <w:r w:rsidRPr="00B35566">
        <w:t xml:space="preserve"> </w:t>
      </w:r>
      <w:proofErr w:type="spellStart"/>
      <w:r>
        <w:t>N</w:t>
      </w:r>
      <w:r>
        <w:rPr>
          <w:vertAlign w:val="subscript"/>
        </w:rPr>
        <w:t>r</w:t>
      </w:r>
      <w:r>
        <w:rPr>
          <w:rFonts w:hint="eastAsia"/>
          <w:vertAlign w:val="superscript"/>
        </w:rPr>
        <w:t>P</w:t>
      </w:r>
      <w:proofErr w:type="spellEnd"/>
      <w:r>
        <w:rPr>
          <w:vertAlign w:val="superscript"/>
        </w:rPr>
        <w:t xml:space="preserve"> </w:t>
      </w:r>
      <w:r>
        <w:t xml:space="preserve">AND 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t</w:t>
      </w:r>
      <w:r>
        <w:rPr>
          <w:rFonts w:hint="eastAsia"/>
          <w:vertAlign w:val="superscript"/>
        </w:rPr>
        <w:t>G</w:t>
      </w:r>
      <w:proofErr w:type="spellEnd"/>
      <w:r>
        <w:t xml:space="preserve"> == 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t</w:t>
      </w:r>
      <w:r>
        <w:rPr>
          <w:rFonts w:hint="eastAsia"/>
          <w:vertAlign w:val="superscript"/>
        </w:rPr>
        <w:t>P</w:t>
      </w:r>
      <w:proofErr w:type="spellEnd"/>
      <w:r>
        <w:rPr>
          <w:vertAlign w:val="superscript"/>
        </w:rPr>
        <w:t xml:space="preserve">  </w:t>
      </w:r>
      <w:r>
        <w:t>)</w:t>
      </w:r>
    </w:p>
    <w:p w:rsidR="009164E3" w:rsidRDefault="00B35566">
      <w:r>
        <w:rPr>
          <w:vertAlign w:val="subscript"/>
        </w:rPr>
        <w:tab/>
      </w:r>
      <w:r>
        <w:t xml:space="preserve">the case is counted as TP; </w:t>
      </w:r>
    </w:p>
    <w:p w:rsidR="00B35566" w:rsidRDefault="00B35566">
      <w:r>
        <w:t>else if (</w:t>
      </w:r>
      <w:proofErr w:type="spellStart"/>
      <w:r w:rsidR="006D3335">
        <w:t>N</w:t>
      </w:r>
      <w:r w:rsidR="006D3335">
        <w:rPr>
          <w:vertAlign w:val="subscript"/>
        </w:rPr>
        <w:t>r</w:t>
      </w:r>
      <w:r w:rsidR="006D3335">
        <w:rPr>
          <w:rFonts w:hint="eastAsia"/>
          <w:vertAlign w:val="superscript"/>
        </w:rPr>
        <w:t>G</w:t>
      </w:r>
      <w:proofErr w:type="spellEnd"/>
      <w:r w:rsidR="006D3335">
        <w:t xml:space="preserve"> ==</w:t>
      </w:r>
      <w:r w:rsidR="006D3335" w:rsidRPr="00B35566">
        <w:t xml:space="preserve"> </w:t>
      </w:r>
      <w:proofErr w:type="spellStart"/>
      <w:r w:rsidR="006D3335">
        <w:t>N</w:t>
      </w:r>
      <w:r w:rsidR="006D3335">
        <w:rPr>
          <w:vertAlign w:val="subscript"/>
        </w:rPr>
        <w:t>r</w:t>
      </w:r>
      <w:r w:rsidR="006D3335">
        <w:rPr>
          <w:rFonts w:hint="eastAsia"/>
          <w:vertAlign w:val="superscript"/>
        </w:rPr>
        <w:t>P</w:t>
      </w:r>
      <w:proofErr w:type="spellEnd"/>
      <w:r w:rsidR="006D3335">
        <w:rPr>
          <w:vertAlign w:val="superscript"/>
        </w:rPr>
        <w:t xml:space="preserve"> </w:t>
      </w:r>
      <w:proofErr w:type="gramStart"/>
      <w:r w:rsidR="006D3335">
        <w:t xml:space="preserve">OR </w:t>
      </w:r>
      <w:r w:rsidR="006D3335">
        <w:rPr>
          <w:vertAlign w:val="superscript"/>
        </w:rPr>
        <w:t xml:space="preserve"> </w:t>
      </w:r>
      <w:proofErr w:type="spellStart"/>
      <w:r w:rsidR="006D3335">
        <w:rPr>
          <w:rFonts w:hint="eastAsia"/>
        </w:rPr>
        <w:t>N</w:t>
      </w:r>
      <w:r w:rsidR="006D3335">
        <w:rPr>
          <w:rFonts w:hint="eastAsia"/>
          <w:vertAlign w:val="subscript"/>
        </w:rPr>
        <w:t>t</w:t>
      </w:r>
      <w:r w:rsidR="006D3335">
        <w:rPr>
          <w:rFonts w:hint="eastAsia"/>
          <w:vertAlign w:val="superscript"/>
        </w:rPr>
        <w:t>G</w:t>
      </w:r>
      <w:proofErr w:type="spellEnd"/>
      <w:proofErr w:type="gramEnd"/>
      <w:r w:rsidR="006D3335">
        <w:t xml:space="preserve"> == </w:t>
      </w:r>
      <w:proofErr w:type="spellStart"/>
      <w:r w:rsidR="006D3335">
        <w:rPr>
          <w:rFonts w:hint="eastAsia"/>
        </w:rPr>
        <w:t>N</w:t>
      </w:r>
      <w:r w:rsidR="006D3335">
        <w:rPr>
          <w:rFonts w:hint="eastAsia"/>
          <w:vertAlign w:val="subscript"/>
        </w:rPr>
        <w:t>t</w:t>
      </w:r>
      <w:r w:rsidR="006D3335">
        <w:rPr>
          <w:rFonts w:hint="eastAsia"/>
          <w:vertAlign w:val="superscript"/>
        </w:rPr>
        <w:t>P</w:t>
      </w:r>
      <w:proofErr w:type="spellEnd"/>
      <w:r w:rsidR="006D3335">
        <w:rPr>
          <w:vertAlign w:val="superscript"/>
        </w:rPr>
        <w:t xml:space="preserve">  </w:t>
      </w:r>
      <w:r>
        <w:t>)</w:t>
      </w:r>
    </w:p>
    <w:p w:rsidR="006D3335" w:rsidRDefault="006D3335">
      <w:r>
        <w:tab/>
        <w:t xml:space="preserve">the case is counted as FP; </w:t>
      </w:r>
    </w:p>
    <w:p w:rsidR="006D3335" w:rsidRDefault="006D3335">
      <w:r>
        <w:t>else if (</w:t>
      </w:r>
      <w:proofErr w:type="spellStart"/>
      <w:r>
        <w:t>N</w:t>
      </w:r>
      <w:r>
        <w:rPr>
          <w:vertAlign w:val="subscript"/>
        </w:rPr>
        <w:t>r</w:t>
      </w:r>
      <w:r>
        <w:rPr>
          <w:rFonts w:hint="eastAsia"/>
          <w:vertAlign w:val="superscript"/>
        </w:rPr>
        <w:t>P</w:t>
      </w:r>
      <w:proofErr w:type="spellEnd"/>
      <w:r>
        <w:rPr>
          <w:vertAlign w:val="superscript"/>
        </w:rPr>
        <w:t xml:space="preserve"> </w:t>
      </w:r>
      <w:r w:rsidRPr="006D3335">
        <w:rPr>
          <w:rFonts w:cstheme="minorHAnsi"/>
        </w:rPr>
        <w:t>ϵ</w:t>
      </w:r>
      <w:r>
        <w:rPr>
          <w:rFonts w:cstheme="minorHAnsi"/>
        </w:rPr>
        <w:t xml:space="preserve"> </w:t>
      </w:r>
      <w:r>
        <w:rPr>
          <w:rFonts w:cstheme="minorHAnsi" w:hint="eastAsia"/>
        </w:rPr>
        <w:t>Omega</w:t>
      </w:r>
      <w:r>
        <w:rPr>
          <w:rFonts w:cstheme="minorHAnsi"/>
        </w:rPr>
        <w:t xml:space="preserve"> </w:t>
      </w:r>
      <w:r>
        <w:t>OR</w:t>
      </w:r>
      <w: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t</w:t>
      </w:r>
      <w:r>
        <w:rPr>
          <w:rFonts w:hint="eastAsia"/>
          <w:vertAlign w:val="superscript"/>
        </w:rPr>
        <w:t>P</w:t>
      </w:r>
      <w:proofErr w:type="spellEnd"/>
      <w:r>
        <w:rPr>
          <w:vertAlign w:val="superscript"/>
        </w:rPr>
        <w:t xml:space="preserve"> </w:t>
      </w:r>
      <w:r w:rsidRPr="006D3335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gramStart"/>
      <w:r>
        <w:rPr>
          <w:rFonts w:cstheme="minorHAnsi" w:hint="eastAsia"/>
        </w:rPr>
        <w:t>Omega</w:t>
      </w:r>
      <w:r>
        <w:t xml:space="preserve"> )</w:t>
      </w:r>
      <w:proofErr w:type="gramEnd"/>
    </w:p>
    <w:p w:rsidR="006D3335" w:rsidRDefault="006D3335">
      <w:r>
        <w:tab/>
        <w:t xml:space="preserve">the case is counted as FN; </w:t>
      </w:r>
    </w:p>
    <w:p w:rsidR="006D3335" w:rsidRDefault="006D3335">
      <w:r>
        <w:t xml:space="preserve">else </w:t>
      </w:r>
    </w:p>
    <w:p w:rsidR="006D3335" w:rsidRDefault="006D3335">
      <w:r>
        <w:tab/>
        <w:t xml:space="preserve">the case is counted as failures/hallucinations of LLMs, not counted as a case of confusion matrix.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3335" w:rsidTr="008A4E59">
        <w:tc>
          <w:tcPr>
            <w:tcW w:w="3116" w:type="dxa"/>
          </w:tcPr>
          <w:p w:rsidR="006D3335" w:rsidRDefault="006D3335" w:rsidP="008A4E59"/>
        </w:tc>
        <w:tc>
          <w:tcPr>
            <w:tcW w:w="3117" w:type="dxa"/>
          </w:tcPr>
          <w:p w:rsidR="006D3335" w:rsidRDefault="006D3335" w:rsidP="008A4E59">
            <w:r>
              <w:t xml:space="preserve"> Ground Truth </w:t>
            </w:r>
            <w:proofErr w:type="gramStart"/>
            <w:r>
              <w:t>( Root</w:t>
            </w:r>
            <w:proofErr w:type="gramEnd"/>
            <w:r>
              <w:t xml:space="preserve"> Cause Node 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G</w:t>
            </w:r>
            <w:proofErr w:type="spellEnd"/>
            <w:r>
              <w:t xml:space="preserve">, Target Node 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G</w:t>
            </w:r>
            <w:proofErr w:type="spellEnd"/>
            <w:r>
              <w:t xml:space="preserve">) </w:t>
            </w:r>
          </w:p>
          <w:p w:rsidR="006D3335" w:rsidRDefault="006D3335" w:rsidP="008A4E59"/>
        </w:tc>
        <w:tc>
          <w:tcPr>
            <w:tcW w:w="3117" w:type="dxa"/>
          </w:tcPr>
          <w:p w:rsidR="006D3335" w:rsidRDefault="006D3335" w:rsidP="008A4E59">
            <w:r>
              <w:t xml:space="preserve">Other </w:t>
            </w:r>
            <w:proofErr w:type="gramStart"/>
            <w:r>
              <w:t>Nodes  Omega</w:t>
            </w:r>
            <w:proofErr w:type="gramEnd"/>
            <w:r>
              <w:t xml:space="preserve"> = W – {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G</w:t>
            </w:r>
            <w:proofErr w:type="spellEnd"/>
            <w:r>
              <w:t>} – {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proofErr w:type="spellEnd"/>
            <w:r>
              <w:t>}</w:t>
            </w:r>
          </w:p>
        </w:tc>
      </w:tr>
      <w:tr w:rsidR="006D3335" w:rsidTr="008A4E59">
        <w:trPr>
          <w:trHeight w:val="773"/>
        </w:trPr>
        <w:tc>
          <w:tcPr>
            <w:tcW w:w="3116" w:type="dxa"/>
          </w:tcPr>
          <w:p w:rsidR="006D3335" w:rsidRDefault="006D3335" w:rsidP="008A4E59">
            <w:r>
              <w:rPr>
                <w:rFonts w:hint="eastAsia"/>
              </w:rPr>
              <w:t>Prediction</w:t>
            </w:r>
            <w:r>
              <w:t xml:space="preserve"> </w:t>
            </w:r>
          </w:p>
          <w:p w:rsidR="006D3335" w:rsidRDefault="00277C79" w:rsidP="008A4E59">
            <w:r>
              <w:t xml:space="preserve">(Root Cause Node 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t xml:space="preserve">, Target Node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277C79" w:rsidRDefault="006D3335" w:rsidP="008A4E59">
            <w:r>
              <w:t xml:space="preserve">  </w:t>
            </w:r>
            <w:r>
              <w:rPr>
                <w:rFonts w:hint="eastAsia"/>
              </w:rPr>
              <w:t>TP</w:t>
            </w:r>
            <w:r>
              <w:t xml:space="preserve"> </w:t>
            </w:r>
          </w:p>
          <w:p w:rsidR="006D3335" w:rsidRDefault="00277C79" w:rsidP="008A4E59">
            <w:proofErr w:type="gramStart"/>
            <w:r>
              <w:rPr>
                <w:rFonts w:hint="eastAsia"/>
              </w:rPr>
              <w:t>(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G</w:t>
            </w:r>
            <w:proofErr w:type="spellEnd"/>
            <w:proofErr w:type="gramEnd"/>
            <w:r>
              <w:t xml:space="preserve"> ==</w:t>
            </w:r>
            <w:r w:rsidRPr="00B35566">
              <w:t xml:space="preserve"> 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rPr>
                <w:vertAlign w:val="superscript"/>
              </w:rPr>
              <w:t xml:space="preserve"> </w:t>
            </w:r>
            <w:r>
              <w:t xml:space="preserve">AND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G</w:t>
            </w:r>
            <w:proofErr w:type="spellEnd"/>
            <w:r>
              <w:t xml:space="preserve"> ==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rPr>
                <w:vertAlign w:val="superscript"/>
              </w:rPr>
              <w:t xml:space="preserve">  </w:t>
            </w:r>
            <w:r>
              <w:t>)</w:t>
            </w:r>
          </w:p>
        </w:tc>
        <w:tc>
          <w:tcPr>
            <w:tcW w:w="3117" w:type="dxa"/>
          </w:tcPr>
          <w:p w:rsidR="00277C79" w:rsidRDefault="006D3335" w:rsidP="008A4E59">
            <w:r>
              <w:t>FP</w:t>
            </w:r>
            <w:r w:rsidR="00277C79">
              <w:t xml:space="preserve">  </w:t>
            </w:r>
          </w:p>
          <w:p w:rsidR="006D3335" w:rsidRDefault="00277C79" w:rsidP="008A4E59">
            <w:r>
              <w:t>(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G</w:t>
            </w:r>
            <w:proofErr w:type="spellEnd"/>
            <w:r>
              <w:t xml:space="preserve"> ==</w:t>
            </w:r>
            <w:r w:rsidRPr="00B35566">
              <w:t xml:space="preserve"> 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rPr>
                <w:vertAlign w:val="superscript"/>
              </w:rPr>
              <w:t xml:space="preserve"> </w:t>
            </w:r>
            <w:proofErr w:type="gramStart"/>
            <w:r>
              <w:t xml:space="preserve">OR </w:t>
            </w:r>
            <w:r>
              <w:rPr>
                <w:vertAlign w:val="superscript"/>
              </w:rP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G</w:t>
            </w:r>
            <w:proofErr w:type="spellEnd"/>
            <w:proofErr w:type="gramEnd"/>
            <w:r>
              <w:t xml:space="preserve"> ==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rPr>
                <w:vertAlign w:val="superscript"/>
              </w:rPr>
              <w:t xml:space="preserve">  </w:t>
            </w:r>
            <w:r>
              <w:t>)</w:t>
            </w:r>
          </w:p>
        </w:tc>
      </w:tr>
      <w:tr w:rsidR="006D3335" w:rsidTr="00277C79">
        <w:trPr>
          <w:trHeight w:val="1012"/>
        </w:trPr>
        <w:tc>
          <w:tcPr>
            <w:tcW w:w="3116" w:type="dxa"/>
          </w:tcPr>
          <w:p w:rsidR="006D3335" w:rsidRDefault="006D3335" w:rsidP="008A4E59"/>
          <w:p w:rsidR="00277C79" w:rsidRDefault="00277C79" w:rsidP="00277C79">
            <w:r>
              <w:rPr>
                <w:rFonts w:hint="eastAsia"/>
              </w:rPr>
              <w:t>Prediction</w:t>
            </w:r>
            <w:r>
              <w:t xml:space="preserve"> </w:t>
            </w:r>
          </w:p>
          <w:p w:rsidR="006D3335" w:rsidRDefault="00277C79" w:rsidP="00277C79">
            <w:r>
              <w:t xml:space="preserve">(Root Cause Node 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t xml:space="preserve">, Target Node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277C79" w:rsidRDefault="006D3335" w:rsidP="008A4E59">
            <w:r>
              <w:t>FN</w:t>
            </w:r>
            <w:r w:rsidR="00277C79">
              <w:t xml:space="preserve"> </w:t>
            </w:r>
          </w:p>
          <w:p w:rsidR="006D3335" w:rsidRDefault="00277C79" w:rsidP="008A4E59">
            <w:r>
              <w:t>(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rPr>
                <w:vertAlign w:val="superscript"/>
              </w:rPr>
              <w:t xml:space="preserve"> </w:t>
            </w:r>
            <w:r w:rsidRPr="006D3335">
              <w:rPr>
                <w:rFonts w:cstheme="minorHAnsi"/>
              </w:rPr>
              <w:t>ϵ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Omega</w:t>
            </w:r>
            <w:r>
              <w:rPr>
                <w:rFonts w:cstheme="minorHAnsi"/>
              </w:rPr>
              <w:t xml:space="preserve"> </w:t>
            </w:r>
            <w:r>
              <w:t xml:space="preserve">OR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rPr>
                <w:vertAlign w:val="superscript"/>
              </w:rPr>
              <w:t xml:space="preserve"> </w:t>
            </w:r>
            <w:r w:rsidRPr="006D3335">
              <w:rPr>
                <w:rFonts w:cstheme="minorHAnsi"/>
              </w:rPr>
              <w:t>ϵ</w:t>
            </w:r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 w:hint="eastAsia"/>
              </w:rPr>
              <w:t>Omega</w:t>
            </w:r>
            <w:r>
              <w:t xml:space="preserve"> )</w:t>
            </w:r>
            <w:proofErr w:type="gramEnd"/>
          </w:p>
        </w:tc>
        <w:tc>
          <w:tcPr>
            <w:tcW w:w="3117" w:type="dxa"/>
          </w:tcPr>
          <w:p w:rsidR="006D3335" w:rsidRDefault="006D3335" w:rsidP="008A4E59">
            <w:r>
              <w:t xml:space="preserve">TN = 0 </w:t>
            </w:r>
          </w:p>
        </w:tc>
      </w:tr>
    </w:tbl>
    <w:p w:rsidR="006D3335" w:rsidRDefault="006D3335"/>
    <w:p w:rsidR="006D3335" w:rsidRDefault="006D3335" w:rsidP="006D3335">
      <w:r w:rsidRPr="006D3335">
        <w:rPr>
          <w:b/>
        </w:rPr>
        <w:t>Focused Evaluation</w:t>
      </w:r>
      <w:r>
        <w:t xml:space="preserve"> means the confusion matrix is defined by Root Cause Node and Target Node in the path of dependencies. </w:t>
      </w:r>
    </w:p>
    <w:p w:rsidR="00277C79" w:rsidRDefault="00277C79" w:rsidP="00277C79">
      <w:pPr>
        <w:rPr>
          <w:vertAlign w:val="subscript"/>
        </w:rPr>
      </w:pPr>
      <w:r>
        <w:t xml:space="preserve">W is the whole set of all the nodes appearing in the group truth. </w:t>
      </w:r>
      <w:proofErr w:type="spellStart"/>
      <w:r>
        <w:t>Path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is the set of nodes along the path of issue </w:t>
      </w:r>
      <w:proofErr w:type="spellStart"/>
      <w:r>
        <w:t>i</w:t>
      </w:r>
      <w:proofErr w:type="spellEnd"/>
      <w:r>
        <w:t xml:space="preserve">. </w:t>
      </w:r>
      <w:r>
        <w:t xml:space="preserve">For each issue, the group truth contains the Root Cause Node </w:t>
      </w:r>
      <w:proofErr w:type="spellStart"/>
      <w:proofErr w:type="gramStart"/>
      <w:r>
        <w:t>N</w:t>
      </w:r>
      <w:r>
        <w:rPr>
          <w:vertAlign w:val="subscript"/>
        </w:rPr>
        <w:t>r</w:t>
      </w:r>
      <w:r>
        <w:rPr>
          <w:rFonts w:hint="eastAsia"/>
          <w:vertAlign w:val="superscript"/>
        </w:rPr>
        <w:t>G</w:t>
      </w:r>
      <w:proofErr w:type="spellEnd"/>
      <w:r>
        <w:t xml:space="preserve">  and</w:t>
      </w:r>
      <w:proofErr w:type="gramEnd"/>
      <w:r>
        <w:t xml:space="preserve">  </w:t>
      </w:r>
      <w:r>
        <w:rPr>
          <w:rFonts w:hint="eastAsia"/>
        </w:rPr>
        <w:t>Target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t</w:t>
      </w:r>
      <w:r>
        <w:rPr>
          <w:rFonts w:hint="eastAsia"/>
          <w:vertAlign w:val="superscript"/>
        </w:rPr>
        <w:t>G</w:t>
      </w:r>
      <w:proofErr w:type="spellEnd"/>
      <w:r w:rsidR="00C522F1" w:rsidRPr="00C522F1">
        <w:t xml:space="preserve"> </w:t>
      </w:r>
      <w:r w:rsidR="00C522F1">
        <w:t>Omega = W – {</w:t>
      </w:r>
      <w:proofErr w:type="spellStart"/>
      <w:r w:rsidR="00C522F1">
        <w:t>N</w:t>
      </w:r>
      <w:r w:rsidR="00C522F1">
        <w:rPr>
          <w:vertAlign w:val="subscript"/>
        </w:rPr>
        <w:t>r</w:t>
      </w:r>
      <w:r w:rsidR="00C522F1">
        <w:rPr>
          <w:rFonts w:hint="eastAsia"/>
          <w:vertAlign w:val="superscript"/>
        </w:rPr>
        <w:t>G</w:t>
      </w:r>
      <w:proofErr w:type="spellEnd"/>
      <w:r w:rsidR="00C522F1">
        <w:t>} – {</w:t>
      </w:r>
      <w:proofErr w:type="spellStart"/>
      <w:r w:rsidR="00C522F1">
        <w:rPr>
          <w:rFonts w:hint="eastAsia"/>
        </w:rPr>
        <w:t>N</w:t>
      </w:r>
      <w:r w:rsidR="00C522F1">
        <w:rPr>
          <w:rFonts w:hint="eastAsia"/>
          <w:vertAlign w:val="subscript"/>
        </w:rPr>
        <w:t>t</w:t>
      </w:r>
      <w:proofErr w:type="spellEnd"/>
      <w:r w:rsidR="00C522F1">
        <w:t>}</w:t>
      </w:r>
      <w:r w:rsidR="00C522F1">
        <w:t>.</w:t>
      </w:r>
    </w:p>
    <w:p w:rsidR="00C522F1" w:rsidRDefault="00C522F1" w:rsidP="00C522F1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</w:t>
      </w:r>
      <w:proofErr w:type="spellStart"/>
      <w:r>
        <w:t>N</w:t>
      </w:r>
      <w:r>
        <w:rPr>
          <w:vertAlign w:val="subscript"/>
        </w:rPr>
        <w:t>r</w:t>
      </w:r>
      <w:r>
        <w:rPr>
          <w:rFonts w:hint="eastAsia"/>
          <w:vertAlign w:val="superscript"/>
        </w:rPr>
        <w:t>P</w:t>
      </w:r>
      <w:proofErr w:type="spellEnd"/>
      <w:r w:rsidRPr="006D3335">
        <w:rPr>
          <w:rFonts w:cstheme="minorHAnsi"/>
        </w:rPr>
        <w:t xml:space="preserve"> </w:t>
      </w:r>
      <w:proofErr w:type="gramStart"/>
      <w:r w:rsidRPr="006D3335">
        <w:rPr>
          <w:rFonts w:cstheme="minorHAnsi"/>
        </w:rPr>
        <w:t>ϵ</w:t>
      </w:r>
      <w:r>
        <w:rPr>
          <w:rFonts w:cstheme="minorHAnsi"/>
        </w:rPr>
        <w:t xml:space="preserve"> </w:t>
      </w:r>
      <w:r>
        <w:t xml:space="preserve"> </w:t>
      </w:r>
      <w:proofErr w:type="spellStart"/>
      <w:r>
        <w:t>Path</w:t>
      </w:r>
      <w:r>
        <w:rPr>
          <w:vertAlign w:val="subscript"/>
        </w:rPr>
        <w:t>i</w:t>
      </w:r>
      <w:proofErr w:type="spellEnd"/>
      <w:proofErr w:type="gramEnd"/>
      <w:r>
        <w:t xml:space="preserve">  AND 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t</w:t>
      </w:r>
      <w:r>
        <w:rPr>
          <w:rFonts w:hint="eastAsia"/>
          <w:vertAlign w:val="superscript"/>
        </w:rPr>
        <w:t>P</w:t>
      </w:r>
      <w:proofErr w:type="spellEnd"/>
      <w:r>
        <w:rPr>
          <w:vertAlign w:val="superscript"/>
        </w:rPr>
        <w:t xml:space="preserve">  </w:t>
      </w:r>
      <w:r w:rsidRPr="006D3335">
        <w:rPr>
          <w:rFonts w:cstheme="minorHAnsi"/>
        </w:rPr>
        <w:t>ϵ</w:t>
      </w:r>
      <w:r>
        <w:rPr>
          <w:rFonts w:cstheme="minorHAnsi"/>
        </w:rPr>
        <w:t xml:space="preserve"> </w:t>
      </w:r>
      <w:r>
        <w:t xml:space="preserve"> </w:t>
      </w:r>
      <w:proofErr w:type="spellStart"/>
      <w:r>
        <w:t>Path</w:t>
      </w:r>
      <w:r>
        <w:rPr>
          <w:vertAlign w:val="subscript"/>
        </w:rPr>
        <w:t>i</w:t>
      </w:r>
      <w:proofErr w:type="spellEnd"/>
      <w:r>
        <w:t xml:space="preserve">  )</w:t>
      </w:r>
    </w:p>
    <w:p w:rsidR="00C522F1" w:rsidRDefault="00C522F1" w:rsidP="00C522F1">
      <w:r>
        <w:rPr>
          <w:vertAlign w:val="subscript"/>
        </w:rPr>
        <w:tab/>
      </w:r>
      <w:r>
        <w:t xml:space="preserve">the case is counted as </w:t>
      </w:r>
      <w:proofErr w:type="gramStart"/>
      <w:r>
        <w:t xml:space="preserve">TP; </w:t>
      </w:r>
      <w:r>
        <w:t xml:space="preserve"> /</w:t>
      </w:r>
      <w:proofErr w:type="gramEnd"/>
      <w:r>
        <w:t xml:space="preserve">/ both nodes are within the path of issue </w:t>
      </w:r>
      <w:proofErr w:type="spellStart"/>
      <w:r>
        <w:t>i</w:t>
      </w:r>
      <w:proofErr w:type="spellEnd"/>
      <w:r>
        <w:t xml:space="preserve">  </w:t>
      </w:r>
    </w:p>
    <w:p w:rsidR="00C522F1" w:rsidRDefault="00C522F1" w:rsidP="00C522F1">
      <w:r>
        <w:t xml:space="preserve">else if </w:t>
      </w:r>
      <w:r>
        <w:rPr>
          <w:rFonts w:hint="eastAsia"/>
        </w:rPr>
        <w:t>(</w:t>
      </w:r>
      <w:proofErr w:type="spellStart"/>
      <w:r>
        <w:t>N</w:t>
      </w:r>
      <w:r>
        <w:rPr>
          <w:vertAlign w:val="subscript"/>
        </w:rPr>
        <w:t>r</w:t>
      </w:r>
      <w:r>
        <w:rPr>
          <w:rFonts w:hint="eastAsia"/>
          <w:vertAlign w:val="superscript"/>
        </w:rPr>
        <w:t>P</w:t>
      </w:r>
      <w:proofErr w:type="spellEnd"/>
      <w:r w:rsidRPr="006D3335">
        <w:rPr>
          <w:rFonts w:cstheme="minorHAnsi"/>
        </w:rPr>
        <w:t xml:space="preserve"> </w:t>
      </w:r>
      <w:proofErr w:type="gramStart"/>
      <w:r w:rsidRPr="006D3335">
        <w:rPr>
          <w:rFonts w:cstheme="minorHAnsi"/>
        </w:rPr>
        <w:t>ϵ</w:t>
      </w:r>
      <w:r>
        <w:rPr>
          <w:rFonts w:cstheme="minorHAnsi"/>
        </w:rPr>
        <w:t xml:space="preserve"> </w:t>
      </w:r>
      <w:r>
        <w:t xml:space="preserve"> </w:t>
      </w:r>
      <w:proofErr w:type="spellStart"/>
      <w:r>
        <w:t>Path</w:t>
      </w:r>
      <w:r>
        <w:rPr>
          <w:vertAlign w:val="subscript"/>
        </w:rPr>
        <w:t>i</w:t>
      </w:r>
      <w:proofErr w:type="spellEnd"/>
      <w:proofErr w:type="gramEnd"/>
      <w:r>
        <w:t xml:space="preserve">  OR 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t</w:t>
      </w:r>
      <w:r>
        <w:rPr>
          <w:rFonts w:hint="eastAsia"/>
          <w:vertAlign w:val="superscript"/>
        </w:rPr>
        <w:t>P</w:t>
      </w:r>
      <w:proofErr w:type="spellEnd"/>
      <w:r>
        <w:rPr>
          <w:vertAlign w:val="superscript"/>
        </w:rPr>
        <w:t xml:space="preserve">  </w:t>
      </w:r>
      <w:r w:rsidRPr="006D3335">
        <w:rPr>
          <w:rFonts w:cstheme="minorHAnsi"/>
        </w:rPr>
        <w:t>ϵ</w:t>
      </w:r>
      <w:r>
        <w:rPr>
          <w:rFonts w:cstheme="minorHAnsi"/>
        </w:rPr>
        <w:t xml:space="preserve"> </w:t>
      </w:r>
      <w:r>
        <w:t xml:space="preserve"> </w:t>
      </w:r>
      <w:proofErr w:type="spellStart"/>
      <w:r>
        <w:t>Path</w:t>
      </w:r>
      <w:r>
        <w:rPr>
          <w:vertAlign w:val="subscript"/>
        </w:rPr>
        <w:t>i</w:t>
      </w:r>
      <w:proofErr w:type="spellEnd"/>
      <w:r>
        <w:t xml:space="preserve">  )</w:t>
      </w:r>
      <w:r>
        <w:t xml:space="preserve"> // one of the node is within the path of issue </w:t>
      </w:r>
      <w:proofErr w:type="spellStart"/>
      <w:r>
        <w:t>i</w:t>
      </w:r>
      <w:proofErr w:type="spellEnd"/>
    </w:p>
    <w:p w:rsidR="00C522F1" w:rsidRDefault="00C522F1" w:rsidP="00C522F1">
      <w:r>
        <w:tab/>
        <w:t xml:space="preserve">the case is counted as FP; </w:t>
      </w:r>
    </w:p>
    <w:p w:rsidR="00C522F1" w:rsidRDefault="00C522F1" w:rsidP="00C522F1">
      <w:r>
        <w:lastRenderedPageBreak/>
        <w:t xml:space="preserve">else if (! </w:t>
      </w:r>
      <w:proofErr w:type="spellStart"/>
      <w:r>
        <w:t>N</w:t>
      </w:r>
      <w:r>
        <w:rPr>
          <w:vertAlign w:val="subscript"/>
        </w:rPr>
        <w:t>r</w:t>
      </w:r>
      <w:r>
        <w:rPr>
          <w:rFonts w:hint="eastAsia"/>
          <w:vertAlign w:val="superscript"/>
        </w:rPr>
        <w:t>P</w:t>
      </w:r>
      <w:proofErr w:type="spellEnd"/>
      <w:r>
        <w:rPr>
          <w:vertAlign w:val="superscript"/>
        </w:rPr>
        <w:t xml:space="preserve"> </w:t>
      </w:r>
      <w:r w:rsidRPr="006D3335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>
        <w:t>Path</w:t>
      </w:r>
      <w:r>
        <w:rPr>
          <w:vertAlign w:val="subscript"/>
        </w:rPr>
        <w:t>i</w:t>
      </w:r>
      <w:proofErr w:type="spellEnd"/>
      <w:r>
        <w:rPr>
          <w:rFonts w:cstheme="minorHAnsi"/>
        </w:rPr>
        <w:t xml:space="preserve"> )</w:t>
      </w:r>
      <w:r>
        <w:t>AND</w:t>
      </w:r>
      <w:proofErr w:type="gramEnd"/>
      <w:r>
        <w:t xml:space="preserve"> (! </w:t>
      </w:r>
      <w:proofErr w:type="spellStart"/>
      <w:r>
        <w:rPr>
          <w:rFonts w:hint="eastAsia"/>
        </w:rPr>
        <w:t>N</w:t>
      </w:r>
      <w:r>
        <w:rPr>
          <w:rFonts w:hint="eastAsia"/>
          <w:vertAlign w:val="subscript"/>
        </w:rPr>
        <w:t>t</w:t>
      </w:r>
      <w:r>
        <w:rPr>
          <w:rFonts w:hint="eastAsia"/>
          <w:vertAlign w:val="superscript"/>
        </w:rPr>
        <w:t>P</w:t>
      </w:r>
      <w:proofErr w:type="spellEnd"/>
      <w:r>
        <w:rPr>
          <w:vertAlign w:val="superscript"/>
        </w:rPr>
        <w:t xml:space="preserve"> </w:t>
      </w:r>
      <w:r w:rsidRPr="006D3335">
        <w:rPr>
          <w:rFonts w:cstheme="minorHAnsi"/>
        </w:rPr>
        <w:t>ϵ</w:t>
      </w:r>
      <w:r>
        <w:rPr>
          <w:rFonts w:cstheme="minorHAnsi"/>
        </w:rPr>
        <w:t xml:space="preserve"> </w:t>
      </w:r>
      <w:proofErr w:type="spellStart"/>
      <w:proofErr w:type="gramStart"/>
      <w:r>
        <w:t>Path</w:t>
      </w:r>
      <w:r>
        <w:rPr>
          <w:vertAlign w:val="subscript"/>
        </w:rPr>
        <w:t>i</w:t>
      </w:r>
      <w:proofErr w:type="spellEnd"/>
      <w:r>
        <w:rPr>
          <w:rFonts w:cstheme="minorHAnsi" w:hint="eastAsia"/>
        </w:rPr>
        <w:t xml:space="preserve"> </w:t>
      </w:r>
      <w:r>
        <w:t>)</w:t>
      </w:r>
      <w:proofErr w:type="gramEnd"/>
      <w:r>
        <w:t xml:space="preserve"> AND (</w:t>
      </w:r>
      <w:proofErr w:type="spellStart"/>
      <w:r>
        <w:t>N</w:t>
      </w:r>
      <w:r>
        <w:rPr>
          <w:vertAlign w:val="subscript"/>
        </w:rPr>
        <w:t>r</w:t>
      </w:r>
      <w:r>
        <w:rPr>
          <w:rFonts w:hint="eastAsia"/>
          <w:vertAlign w:val="superscript"/>
        </w:rPr>
        <w:t>P</w:t>
      </w:r>
      <w:proofErr w:type="spellEnd"/>
      <w:r>
        <w:rPr>
          <w:vertAlign w:val="superscript"/>
        </w:rPr>
        <w:t xml:space="preserve"> </w:t>
      </w:r>
      <w:r w:rsidRPr="006D3335">
        <w:rPr>
          <w:rFonts w:cstheme="minorHAnsi"/>
        </w:rPr>
        <w:t>ϵ</w:t>
      </w:r>
      <w:r>
        <w:rPr>
          <w:rFonts w:cstheme="minorHAnsi"/>
        </w:rPr>
        <w:t xml:space="preserve"> </w:t>
      </w:r>
      <w:r>
        <w:t xml:space="preserve"> </w:t>
      </w:r>
      <w:r>
        <w:t>Omega</w:t>
      </w:r>
      <w:r>
        <w:t xml:space="preserve">) AND </w:t>
      </w:r>
      <w:r>
        <w:t>(</w:t>
      </w:r>
      <w:proofErr w:type="spellStart"/>
      <w:r>
        <w:t>N</w:t>
      </w:r>
      <w:r>
        <w:rPr>
          <w:vertAlign w:val="subscript"/>
        </w:rPr>
        <w:t>t</w:t>
      </w:r>
      <w:r>
        <w:rPr>
          <w:rFonts w:hint="eastAsia"/>
          <w:vertAlign w:val="superscript"/>
        </w:rPr>
        <w:t>P</w:t>
      </w:r>
      <w:proofErr w:type="spellEnd"/>
      <w:r>
        <w:rPr>
          <w:vertAlign w:val="superscript"/>
        </w:rPr>
        <w:t xml:space="preserve"> </w:t>
      </w:r>
      <w:r w:rsidRPr="006D3335">
        <w:rPr>
          <w:rFonts w:cstheme="minorHAnsi"/>
        </w:rPr>
        <w:t>ϵ</w:t>
      </w:r>
      <w:r>
        <w:rPr>
          <w:rFonts w:cstheme="minorHAnsi"/>
        </w:rPr>
        <w:t xml:space="preserve"> </w:t>
      </w:r>
      <w:r>
        <w:t xml:space="preserve"> Omega) </w:t>
      </w:r>
      <w:r>
        <w:t xml:space="preserve">   // both nodes are not within the path of issue </w:t>
      </w:r>
      <w:proofErr w:type="spellStart"/>
      <w:r>
        <w:t>i</w:t>
      </w:r>
      <w:proofErr w:type="spellEnd"/>
      <w:r>
        <w:t xml:space="preserve">  </w:t>
      </w:r>
    </w:p>
    <w:p w:rsidR="00C522F1" w:rsidRDefault="00C522F1" w:rsidP="00C522F1">
      <w:r>
        <w:tab/>
        <w:t xml:space="preserve">the case is counted as FN; </w:t>
      </w:r>
    </w:p>
    <w:p w:rsidR="00C522F1" w:rsidRDefault="00C522F1" w:rsidP="00C522F1">
      <w:r>
        <w:t xml:space="preserve">else </w:t>
      </w:r>
    </w:p>
    <w:p w:rsidR="00C522F1" w:rsidRDefault="00C522F1" w:rsidP="00C522F1">
      <w:r>
        <w:tab/>
        <w:t xml:space="preserve">the case is counted as failures/hallucinations of LLMs, not counted as a case of confusion matrix. </w:t>
      </w:r>
    </w:p>
    <w:p w:rsidR="00277C79" w:rsidRDefault="00277C79" w:rsidP="00277C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77C79" w:rsidTr="008A4E59">
        <w:tc>
          <w:tcPr>
            <w:tcW w:w="3116" w:type="dxa"/>
          </w:tcPr>
          <w:p w:rsidR="00277C79" w:rsidRDefault="00277C79" w:rsidP="008A4E59"/>
        </w:tc>
        <w:tc>
          <w:tcPr>
            <w:tcW w:w="3117" w:type="dxa"/>
          </w:tcPr>
          <w:p w:rsidR="00277C79" w:rsidRDefault="00277C79" w:rsidP="008A4E59">
            <w:r>
              <w:t xml:space="preserve"> Ground Truth </w:t>
            </w:r>
            <w:proofErr w:type="gramStart"/>
            <w:r>
              <w:t>( Root</w:t>
            </w:r>
            <w:proofErr w:type="gramEnd"/>
            <w:r>
              <w:t xml:space="preserve"> Cause Node 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G</w:t>
            </w:r>
            <w:proofErr w:type="spellEnd"/>
            <w:r>
              <w:t xml:space="preserve">, Target Node 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G</w:t>
            </w:r>
            <w:proofErr w:type="spellEnd"/>
            <w:r>
              <w:t xml:space="preserve">) </w:t>
            </w:r>
          </w:p>
          <w:p w:rsidR="00277C79" w:rsidRDefault="00277C79" w:rsidP="008A4E59"/>
        </w:tc>
        <w:tc>
          <w:tcPr>
            <w:tcW w:w="3117" w:type="dxa"/>
          </w:tcPr>
          <w:p w:rsidR="00277C79" w:rsidRDefault="00C522F1" w:rsidP="008A4E59">
            <w:proofErr w:type="spellStart"/>
            <w:r>
              <w:t>Path</w:t>
            </w:r>
            <w:r>
              <w:rPr>
                <w:vertAlign w:val="subscript"/>
              </w:rPr>
              <w:t>i</w:t>
            </w:r>
            <w:proofErr w:type="spellEnd"/>
          </w:p>
        </w:tc>
      </w:tr>
      <w:tr w:rsidR="00277C79" w:rsidTr="008A4E59">
        <w:trPr>
          <w:trHeight w:val="773"/>
        </w:trPr>
        <w:tc>
          <w:tcPr>
            <w:tcW w:w="3116" w:type="dxa"/>
          </w:tcPr>
          <w:p w:rsidR="00277C79" w:rsidRDefault="00277C79" w:rsidP="008A4E59">
            <w:r>
              <w:rPr>
                <w:rFonts w:hint="eastAsia"/>
              </w:rPr>
              <w:t>Prediction</w:t>
            </w:r>
            <w:r>
              <w:t xml:space="preserve"> </w:t>
            </w:r>
          </w:p>
          <w:p w:rsidR="00277C79" w:rsidRDefault="00277C79" w:rsidP="008A4E59">
            <w:r>
              <w:t xml:space="preserve">(Root Cause Node 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t xml:space="preserve">, Target Node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277C79" w:rsidRDefault="00277C79" w:rsidP="008A4E59">
            <w:r>
              <w:t xml:space="preserve">  </w:t>
            </w:r>
            <w:r>
              <w:rPr>
                <w:rFonts w:hint="eastAsia"/>
              </w:rPr>
              <w:t>TP</w:t>
            </w:r>
            <w:r>
              <w:t xml:space="preserve"> </w:t>
            </w:r>
          </w:p>
          <w:p w:rsidR="00277C79" w:rsidRDefault="00277C79" w:rsidP="008A4E59">
            <w:r>
              <w:rPr>
                <w:rFonts w:hint="eastAsia"/>
              </w:rPr>
              <w:t>(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 w:rsidRPr="006D3335">
              <w:rPr>
                <w:rFonts w:cstheme="minorHAnsi"/>
              </w:rPr>
              <w:t xml:space="preserve"> </w:t>
            </w:r>
            <w:proofErr w:type="gramStart"/>
            <w:r w:rsidRPr="006D3335">
              <w:rPr>
                <w:rFonts w:cstheme="minorHAnsi"/>
              </w:rPr>
              <w:t>ϵ</w:t>
            </w:r>
            <w:r>
              <w:rPr>
                <w:rFonts w:cstheme="minorHAnsi"/>
              </w:rPr>
              <w:t xml:space="preserve"> </w:t>
            </w:r>
            <w:r>
              <w:t xml:space="preserve"> </w:t>
            </w:r>
            <w:proofErr w:type="spellStart"/>
            <w:r>
              <w:t>Path</w:t>
            </w:r>
            <w:r>
              <w:rPr>
                <w:vertAlign w:val="subscript"/>
              </w:rPr>
              <w:t>i</w:t>
            </w:r>
            <w:proofErr w:type="spellEnd"/>
            <w:proofErr w:type="gramEnd"/>
            <w:r>
              <w:t xml:space="preserve">  </w:t>
            </w:r>
            <w:r>
              <w:t xml:space="preserve">AND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rPr>
                <w:vertAlign w:val="superscript"/>
              </w:rPr>
              <w:t xml:space="preserve">  </w:t>
            </w:r>
            <w:r w:rsidRPr="006D3335">
              <w:rPr>
                <w:rFonts w:cstheme="minorHAnsi"/>
              </w:rPr>
              <w:t>ϵ</w:t>
            </w:r>
            <w:r>
              <w:rPr>
                <w:rFonts w:cstheme="minorHAnsi"/>
              </w:rPr>
              <w:t xml:space="preserve"> </w:t>
            </w:r>
            <w:r>
              <w:t xml:space="preserve"> </w:t>
            </w:r>
            <w:proofErr w:type="spellStart"/>
            <w:r>
              <w:t>Path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  )</w:t>
            </w:r>
          </w:p>
        </w:tc>
        <w:tc>
          <w:tcPr>
            <w:tcW w:w="3117" w:type="dxa"/>
          </w:tcPr>
          <w:p w:rsidR="00277C79" w:rsidRDefault="00277C79" w:rsidP="008A4E59">
            <w:r>
              <w:t xml:space="preserve">FP  </w:t>
            </w:r>
          </w:p>
          <w:p w:rsidR="00277C79" w:rsidRDefault="00277C79" w:rsidP="008A4E59">
            <w:r>
              <w:rPr>
                <w:rFonts w:hint="eastAsia"/>
              </w:rPr>
              <w:t>(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 w:rsidRPr="006D3335">
              <w:rPr>
                <w:rFonts w:cstheme="minorHAnsi"/>
              </w:rPr>
              <w:t xml:space="preserve"> </w:t>
            </w:r>
            <w:proofErr w:type="gramStart"/>
            <w:r w:rsidRPr="006D3335">
              <w:rPr>
                <w:rFonts w:cstheme="minorHAnsi"/>
              </w:rPr>
              <w:t>ϵ</w:t>
            </w:r>
            <w:r>
              <w:rPr>
                <w:rFonts w:cstheme="minorHAnsi"/>
              </w:rPr>
              <w:t xml:space="preserve"> </w:t>
            </w:r>
            <w:r>
              <w:t xml:space="preserve"> </w:t>
            </w:r>
            <w:proofErr w:type="spellStart"/>
            <w:r>
              <w:t>Path</w:t>
            </w:r>
            <w:r>
              <w:rPr>
                <w:vertAlign w:val="subscript"/>
              </w:rPr>
              <w:t>i</w:t>
            </w:r>
            <w:proofErr w:type="spellEnd"/>
            <w:proofErr w:type="gramEnd"/>
            <w:r>
              <w:t xml:space="preserve">  </w:t>
            </w:r>
            <w:r>
              <w:t>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rPr>
                <w:vertAlign w:val="superscript"/>
              </w:rPr>
              <w:t xml:space="preserve">  </w:t>
            </w:r>
            <w:r w:rsidRPr="006D3335">
              <w:rPr>
                <w:rFonts w:cstheme="minorHAnsi"/>
              </w:rPr>
              <w:t>ϵ</w:t>
            </w:r>
            <w:r>
              <w:rPr>
                <w:rFonts w:cstheme="minorHAnsi"/>
              </w:rPr>
              <w:t xml:space="preserve"> </w:t>
            </w:r>
            <w:r>
              <w:t xml:space="preserve"> </w:t>
            </w:r>
            <w:proofErr w:type="spellStart"/>
            <w:r>
              <w:t>Path</w:t>
            </w:r>
            <w:r>
              <w:rPr>
                <w:vertAlign w:val="subscript"/>
              </w:rPr>
              <w:t>i</w:t>
            </w:r>
            <w:proofErr w:type="spellEnd"/>
            <w:r>
              <w:t xml:space="preserve">  )</w:t>
            </w:r>
          </w:p>
        </w:tc>
      </w:tr>
      <w:tr w:rsidR="00277C79" w:rsidTr="008A4E59">
        <w:trPr>
          <w:trHeight w:val="1012"/>
        </w:trPr>
        <w:tc>
          <w:tcPr>
            <w:tcW w:w="3116" w:type="dxa"/>
          </w:tcPr>
          <w:p w:rsidR="00277C79" w:rsidRDefault="00277C79" w:rsidP="008A4E59"/>
          <w:p w:rsidR="00277C79" w:rsidRDefault="00277C79" w:rsidP="008A4E59">
            <w:r>
              <w:rPr>
                <w:rFonts w:hint="eastAsia"/>
              </w:rPr>
              <w:t>Prediction</w:t>
            </w:r>
            <w:r>
              <w:t xml:space="preserve"> </w:t>
            </w:r>
          </w:p>
          <w:p w:rsidR="00277C79" w:rsidRDefault="00277C79" w:rsidP="008A4E59">
            <w:r>
              <w:t xml:space="preserve">(Root Cause Node 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t xml:space="preserve">, Target Node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:rsidR="00277C79" w:rsidRDefault="00277C79" w:rsidP="008A4E59">
            <w:r>
              <w:t xml:space="preserve">FN </w:t>
            </w:r>
          </w:p>
          <w:p w:rsidR="00277C79" w:rsidRDefault="00277C79" w:rsidP="008A4E59">
            <w:r>
              <w:t>(</w:t>
            </w:r>
            <w:r w:rsidR="00C522F1">
              <w:t xml:space="preserve">! </w:t>
            </w:r>
            <w:proofErr w:type="spellStart"/>
            <w:r>
              <w:t>N</w:t>
            </w:r>
            <w:r>
              <w:rPr>
                <w:vertAlign w:val="subscript"/>
              </w:rPr>
              <w:t>r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rPr>
                <w:vertAlign w:val="superscript"/>
              </w:rPr>
              <w:t xml:space="preserve"> </w:t>
            </w:r>
            <w:r w:rsidRPr="006D3335">
              <w:rPr>
                <w:rFonts w:cstheme="minorHAnsi"/>
              </w:rPr>
              <w:t>ϵ</w:t>
            </w:r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C522F1">
              <w:t>Path</w:t>
            </w:r>
            <w:r w:rsidR="00C522F1">
              <w:rPr>
                <w:vertAlign w:val="subscript"/>
              </w:rPr>
              <w:t>i</w:t>
            </w:r>
            <w:proofErr w:type="spellEnd"/>
            <w:r>
              <w:rPr>
                <w:rFonts w:cstheme="minorHAnsi"/>
              </w:rPr>
              <w:t xml:space="preserve"> </w:t>
            </w:r>
            <w:r w:rsidR="00C522F1">
              <w:rPr>
                <w:rFonts w:cstheme="minorHAnsi"/>
              </w:rPr>
              <w:t>)</w:t>
            </w:r>
            <w:r w:rsidR="00C522F1">
              <w:t>AND</w:t>
            </w:r>
            <w:proofErr w:type="gramEnd"/>
            <w:r w:rsidR="00C522F1">
              <w:t xml:space="preserve"> (!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t</w:t>
            </w:r>
            <w:r>
              <w:rPr>
                <w:rFonts w:hint="eastAsia"/>
                <w:vertAlign w:val="superscript"/>
              </w:rPr>
              <w:t>P</w:t>
            </w:r>
            <w:proofErr w:type="spellEnd"/>
            <w:r>
              <w:rPr>
                <w:vertAlign w:val="superscript"/>
              </w:rPr>
              <w:t xml:space="preserve"> </w:t>
            </w:r>
            <w:r w:rsidRPr="006D3335">
              <w:rPr>
                <w:rFonts w:cstheme="minorHAnsi"/>
              </w:rPr>
              <w:t>ϵ</w:t>
            </w:r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="00C522F1">
              <w:t>Path</w:t>
            </w:r>
            <w:r w:rsidR="00C522F1">
              <w:rPr>
                <w:vertAlign w:val="subscript"/>
              </w:rPr>
              <w:t>i</w:t>
            </w:r>
            <w:proofErr w:type="spellEnd"/>
            <w:r w:rsidR="00C522F1">
              <w:rPr>
                <w:rFonts w:cstheme="minorHAnsi" w:hint="eastAsia"/>
              </w:rPr>
              <w:t xml:space="preserve"> </w:t>
            </w:r>
            <w:r>
              <w:t>)</w:t>
            </w:r>
            <w:proofErr w:type="gramEnd"/>
          </w:p>
        </w:tc>
        <w:tc>
          <w:tcPr>
            <w:tcW w:w="3117" w:type="dxa"/>
          </w:tcPr>
          <w:p w:rsidR="00277C79" w:rsidRDefault="00277C79" w:rsidP="008A4E59">
            <w:r>
              <w:t xml:space="preserve">TN = 0 </w:t>
            </w:r>
          </w:p>
        </w:tc>
      </w:tr>
    </w:tbl>
    <w:p w:rsidR="00277C79" w:rsidRDefault="00277C79" w:rsidP="00277C79">
      <w:pPr>
        <w:rPr>
          <w:vertAlign w:val="subscript"/>
        </w:rPr>
      </w:pPr>
      <w:r>
        <w:t xml:space="preserve"> </w:t>
      </w:r>
    </w:p>
    <w:p w:rsidR="006D3335" w:rsidRPr="00B35566" w:rsidRDefault="006D3335"/>
    <w:p w:rsidR="0090312E" w:rsidRDefault="00C522F1">
      <w:r>
        <w:rPr>
          <w:b/>
        </w:rPr>
        <w:t>Extensive</w:t>
      </w:r>
      <w:r w:rsidRPr="006D3335">
        <w:rPr>
          <w:b/>
        </w:rPr>
        <w:t xml:space="preserve"> Evaluation</w:t>
      </w:r>
      <w:r>
        <w:t xml:space="preserve"> means the confusion matrix is defined </w:t>
      </w:r>
      <w:r w:rsidR="00AA0AD1">
        <w:t xml:space="preserve">five categories. Each category has score of zero or one. The confusion matrix is defined by the threshold or cut-off value alpha. </w:t>
      </w:r>
      <w:r w:rsidR="008E3D83">
        <w:t xml:space="preserve">For each of the case, we calculate sigma. </w:t>
      </w:r>
    </w:p>
    <w:p w:rsidR="00AA0AD1" w:rsidRDefault="00AA0AD1">
      <w:r>
        <w:t xml:space="preserve">Sigma = sum (Q1, Q2, Q4, Q5) </w:t>
      </w:r>
    </w:p>
    <w:p w:rsidR="008E3D83" w:rsidRDefault="008E3D83">
      <w:r>
        <w:t xml:space="preserve">if (sigma &gt;= alpha and Q3==1) </w:t>
      </w:r>
    </w:p>
    <w:p w:rsidR="008E3D83" w:rsidRDefault="008E3D83">
      <w:r>
        <w:tab/>
      </w:r>
      <w:r>
        <w:t xml:space="preserve">the case is counted as TP;  </w:t>
      </w:r>
    </w:p>
    <w:p w:rsidR="008E3D83" w:rsidRDefault="00FE1CC2" w:rsidP="008E3D83">
      <w:r>
        <w:t xml:space="preserve">else </w:t>
      </w:r>
      <w:r w:rsidR="008E3D83">
        <w:t>if (sigma &gt;= alpha and Q3</w:t>
      </w:r>
      <w:r w:rsidR="008E3D83">
        <w:t>==0</w:t>
      </w:r>
      <w:proofErr w:type="gramStart"/>
      <w:r w:rsidR="008E3D83">
        <w:t xml:space="preserve">) </w:t>
      </w:r>
      <w:r>
        <w:t xml:space="preserve"> OR</w:t>
      </w:r>
      <w:proofErr w:type="gramEnd"/>
      <w:r>
        <w:t xml:space="preserve"> (</w:t>
      </w:r>
      <w:r>
        <w:t xml:space="preserve">sigma </w:t>
      </w:r>
      <w:r>
        <w:t>&lt;alpha</w:t>
      </w:r>
      <w:r>
        <w:t xml:space="preserve"> and Q3</w:t>
      </w:r>
      <w:r>
        <w:t>==1)</w:t>
      </w:r>
    </w:p>
    <w:p w:rsidR="008E3D83" w:rsidRDefault="008E3D83" w:rsidP="008E3D83">
      <w:pPr>
        <w:ind w:firstLine="720"/>
      </w:pPr>
      <w:r>
        <w:t xml:space="preserve">the case is counted as </w:t>
      </w:r>
      <w:r>
        <w:t>FP</w:t>
      </w:r>
      <w:r>
        <w:t xml:space="preserve">;  </w:t>
      </w:r>
    </w:p>
    <w:p w:rsidR="00FE1CC2" w:rsidRDefault="00FE1CC2" w:rsidP="00FE1CC2">
      <w:r>
        <w:t xml:space="preserve">else if (sigma </w:t>
      </w:r>
      <w:r>
        <w:t>&lt;</w:t>
      </w:r>
      <w:r>
        <w:t xml:space="preserve"> alpha </w:t>
      </w:r>
      <w:proofErr w:type="gramStart"/>
      <w:r>
        <w:t xml:space="preserve">AND </w:t>
      </w:r>
      <w:r>
        <w:t xml:space="preserve"> Q</w:t>
      </w:r>
      <w:proofErr w:type="gramEnd"/>
      <w:r>
        <w:t xml:space="preserve">3==0) </w:t>
      </w:r>
    </w:p>
    <w:p w:rsidR="00FE1CC2" w:rsidRDefault="00FE1CC2" w:rsidP="00FE1CC2">
      <w:pPr>
        <w:ind w:firstLine="720"/>
      </w:pPr>
      <w:r>
        <w:t xml:space="preserve">the case is counted as </w:t>
      </w:r>
      <w:r>
        <w:t>FN</w:t>
      </w:r>
      <w:r>
        <w:t xml:space="preserve">;  </w:t>
      </w:r>
    </w:p>
    <w:p w:rsidR="00FE1CC2" w:rsidRDefault="00FE1CC2" w:rsidP="008E3D83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1CC2" w:rsidTr="008A4E59">
        <w:tc>
          <w:tcPr>
            <w:tcW w:w="3116" w:type="dxa"/>
          </w:tcPr>
          <w:p w:rsidR="00FE1CC2" w:rsidRDefault="00FE1CC2" w:rsidP="008A4E59"/>
        </w:tc>
        <w:tc>
          <w:tcPr>
            <w:tcW w:w="3117" w:type="dxa"/>
          </w:tcPr>
          <w:p w:rsidR="00FE1CC2" w:rsidRDefault="00FE1CC2" w:rsidP="008A4E59">
            <w:r>
              <w:t xml:space="preserve"> Ground Truth </w:t>
            </w:r>
          </w:p>
          <w:p w:rsidR="00FE1CC2" w:rsidRDefault="00FE1CC2" w:rsidP="008A4E59">
            <w:r>
              <w:t>Threshold alpha = mean</w:t>
            </w:r>
          </w:p>
          <w:p w:rsidR="00FE1CC2" w:rsidRDefault="00FE1CC2" w:rsidP="008A4E59">
            <w:r>
              <w:t>Threshold alpha = median (50</w:t>
            </w:r>
            <w:r w:rsidRPr="00FE1CC2">
              <w:rPr>
                <w:vertAlign w:val="superscript"/>
              </w:rPr>
              <w:t>th</w:t>
            </w:r>
            <w:r>
              <w:t xml:space="preserve"> percentile)</w:t>
            </w:r>
          </w:p>
        </w:tc>
        <w:tc>
          <w:tcPr>
            <w:tcW w:w="3117" w:type="dxa"/>
          </w:tcPr>
          <w:p w:rsidR="00FE1CC2" w:rsidRDefault="00FE1CC2" w:rsidP="00FE1CC2">
            <w:r>
              <w:t>Threshold alpha = mean</w:t>
            </w:r>
          </w:p>
          <w:p w:rsidR="00FE1CC2" w:rsidRDefault="00FE1CC2" w:rsidP="00FE1CC2">
            <w:r>
              <w:t>Threshold alpha = median (50</w:t>
            </w:r>
            <w:r w:rsidRPr="00FE1CC2">
              <w:rPr>
                <w:vertAlign w:val="superscript"/>
              </w:rPr>
              <w:t>th</w:t>
            </w:r>
            <w:r>
              <w:t xml:space="preserve"> percentile)</w:t>
            </w:r>
          </w:p>
        </w:tc>
      </w:tr>
      <w:tr w:rsidR="00FE1CC2" w:rsidTr="008A4E59">
        <w:trPr>
          <w:trHeight w:val="773"/>
        </w:trPr>
        <w:tc>
          <w:tcPr>
            <w:tcW w:w="3116" w:type="dxa"/>
          </w:tcPr>
          <w:p w:rsidR="00FE1CC2" w:rsidRDefault="00FE1CC2" w:rsidP="008A4E59">
            <w:r>
              <w:rPr>
                <w:rFonts w:hint="eastAsia"/>
              </w:rPr>
              <w:t>Prediction</w:t>
            </w:r>
            <w:r>
              <w:t xml:space="preserve"> </w:t>
            </w:r>
          </w:p>
          <w:p w:rsidR="00FE1CC2" w:rsidRDefault="00FE1CC2" w:rsidP="008A4E59">
            <w:r>
              <w:t>Sigma and Q3</w:t>
            </w:r>
          </w:p>
        </w:tc>
        <w:tc>
          <w:tcPr>
            <w:tcW w:w="3117" w:type="dxa"/>
          </w:tcPr>
          <w:p w:rsidR="00FE1CC2" w:rsidRDefault="00FE1CC2" w:rsidP="008A4E59">
            <w:r>
              <w:t xml:space="preserve">  </w:t>
            </w:r>
            <w:r>
              <w:rPr>
                <w:rFonts w:hint="eastAsia"/>
              </w:rPr>
              <w:t>TP</w:t>
            </w:r>
            <w:r>
              <w:t xml:space="preserve"> </w:t>
            </w:r>
          </w:p>
          <w:p w:rsidR="00FE1CC2" w:rsidRDefault="00875EFE" w:rsidP="008A4E59">
            <w:r>
              <w:t>(sigma &gt;= alpha and Q3==1)</w:t>
            </w:r>
          </w:p>
        </w:tc>
        <w:tc>
          <w:tcPr>
            <w:tcW w:w="3117" w:type="dxa"/>
          </w:tcPr>
          <w:p w:rsidR="00FE1CC2" w:rsidRDefault="00FE1CC2" w:rsidP="008A4E59">
            <w:r>
              <w:t xml:space="preserve">FP  </w:t>
            </w:r>
          </w:p>
          <w:p w:rsidR="00FE1CC2" w:rsidRDefault="00875EFE" w:rsidP="008A4E59">
            <w:r>
              <w:t>(sigma &gt;= alpha and Q3==0</w:t>
            </w:r>
            <w:proofErr w:type="gramStart"/>
            <w:r>
              <w:t>)  OR</w:t>
            </w:r>
            <w:proofErr w:type="gramEnd"/>
            <w:r>
              <w:t xml:space="preserve"> (sigma &lt;alpha and Q3==1)</w:t>
            </w:r>
          </w:p>
        </w:tc>
      </w:tr>
      <w:tr w:rsidR="00FE1CC2" w:rsidTr="008A4E59">
        <w:trPr>
          <w:trHeight w:val="773"/>
        </w:trPr>
        <w:tc>
          <w:tcPr>
            <w:tcW w:w="3116" w:type="dxa"/>
          </w:tcPr>
          <w:p w:rsidR="00875EFE" w:rsidRDefault="00875EFE" w:rsidP="00875EFE">
            <w:r>
              <w:rPr>
                <w:rFonts w:hint="eastAsia"/>
              </w:rPr>
              <w:lastRenderedPageBreak/>
              <w:t>Prediction</w:t>
            </w:r>
            <w:r>
              <w:t xml:space="preserve"> </w:t>
            </w:r>
          </w:p>
          <w:p w:rsidR="00FE1CC2" w:rsidRDefault="00875EFE" w:rsidP="00875EFE">
            <w:pPr>
              <w:rPr>
                <w:rFonts w:hint="eastAsia"/>
              </w:rPr>
            </w:pPr>
            <w:r>
              <w:t>Sigma and Q3</w:t>
            </w:r>
          </w:p>
        </w:tc>
        <w:tc>
          <w:tcPr>
            <w:tcW w:w="3117" w:type="dxa"/>
          </w:tcPr>
          <w:p w:rsidR="00875EFE" w:rsidRDefault="00875EFE" w:rsidP="008A4E59">
            <w:r>
              <w:t>FN</w:t>
            </w:r>
          </w:p>
          <w:p w:rsidR="00FE1CC2" w:rsidRDefault="00875EFE" w:rsidP="008A4E59">
            <w:r>
              <w:t xml:space="preserve">(sigma &lt; alpha </w:t>
            </w:r>
            <w:proofErr w:type="gramStart"/>
            <w:r>
              <w:t>AND  Q</w:t>
            </w:r>
            <w:proofErr w:type="gramEnd"/>
            <w:r>
              <w:t>3==0)</w:t>
            </w:r>
          </w:p>
        </w:tc>
        <w:tc>
          <w:tcPr>
            <w:tcW w:w="3117" w:type="dxa"/>
          </w:tcPr>
          <w:p w:rsidR="00FE1CC2" w:rsidRDefault="00875EFE" w:rsidP="008A4E59">
            <w:r>
              <w:t>TN</w:t>
            </w:r>
          </w:p>
          <w:p w:rsidR="00875EFE" w:rsidRDefault="00875EFE" w:rsidP="008A4E59">
            <w:r>
              <w:t>0</w:t>
            </w:r>
          </w:p>
        </w:tc>
      </w:tr>
    </w:tbl>
    <w:p w:rsidR="008E3D83" w:rsidRDefault="008E3D83"/>
    <w:p w:rsidR="009164E3" w:rsidRDefault="00AA0AD1">
      <w:bookmarkStart w:id="0" w:name="_GoBack"/>
      <w:r>
        <w:rPr>
          <w:noProof/>
        </w:rPr>
        <w:drawing>
          <wp:inline distT="0" distB="0" distL="0" distR="0" wp14:anchorId="0AF70825" wp14:editId="42002B6A">
            <wp:extent cx="3703899" cy="325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7682"/>
                    <a:stretch/>
                  </pic:blipFill>
                  <pic:spPr bwMode="auto">
                    <a:xfrm>
                      <a:off x="0" y="0"/>
                      <a:ext cx="3703899" cy="32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164E3" w:rsidRDefault="009164E3"/>
    <w:p w:rsidR="009164E3" w:rsidRDefault="009164E3"/>
    <w:p w:rsidR="009164E3" w:rsidRDefault="009164E3"/>
    <w:p w:rsidR="009164E3" w:rsidRDefault="009164E3"/>
    <w:p w:rsidR="009164E3" w:rsidRDefault="009164E3"/>
    <w:p w:rsidR="009164E3" w:rsidRDefault="009164E3"/>
    <w:p w:rsidR="009164E3" w:rsidRDefault="009164E3"/>
    <w:p w:rsidR="009164E3" w:rsidRDefault="009164E3"/>
    <w:p w:rsidR="009164E3" w:rsidRDefault="009164E3"/>
    <w:p w:rsidR="0090312E" w:rsidRDefault="0090312E"/>
    <w:p w:rsidR="0090312E" w:rsidRDefault="0090312E"/>
    <w:p w:rsidR="004B4C97" w:rsidRDefault="004B4C97"/>
    <w:p w:rsidR="004B4C97" w:rsidRDefault="004B4C97"/>
    <w:p w:rsidR="004B4C97" w:rsidRDefault="004B4C97"/>
    <w:p w:rsidR="00806F06" w:rsidRDefault="00806F06"/>
    <w:p w:rsidR="00806F06" w:rsidRDefault="00806F06"/>
    <w:p w:rsidR="00806F06" w:rsidRDefault="00806F06"/>
    <w:p w:rsidR="00FB109E" w:rsidRDefault="00FB109E"/>
    <w:p w:rsidR="00FB109E" w:rsidRDefault="00FB109E"/>
    <w:sectPr w:rsidR="00FB1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A2"/>
    <w:rsid w:val="00277C79"/>
    <w:rsid w:val="003F34A2"/>
    <w:rsid w:val="004B4C97"/>
    <w:rsid w:val="006D3335"/>
    <w:rsid w:val="00806F06"/>
    <w:rsid w:val="00875EFE"/>
    <w:rsid w:val="008E3D83"/>
    <w:rsid w:val="0090312E"/>
    <w:rsid w:val="009164E3"/>
    <w:rsid w:val="00AA0AD1"/>
    <w:rsid w:val="00B35566"/>
    <w:rsid w:val="00C522F1"/>
    <w:rsid w:val="00FB109E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8574"/>
  <w15:chartTrackingRefBased/>
  <w15:docId w15:val="{FE5DD876-E880-4B0D-B9B5-440D8295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Liu</dc:creator>
  <cp:keywords/>
  <dc:description/>
  <cp:lastModifiedBy>Yan Liu</cp:lastModifiedBy>
  <cp:revision>1</cp:revision>
  <dcterms:created xsi:type="dcterms:W3CDTF">2024-06-18T16:18:00Z</dcterms:created>
  <dcterms:modified xsi:type="dcterms:W3CDTF">2024-06-19T19:06:00Z</dcterms:modified>
</cp:coreProperties>
</file>