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CE3" w:rsidRPr="0002467C" w:rsidRDefault="0002467C" w:rsidP="00345B73">
      <w:pPr>
        <w:jc w:val="center"/>
        <w:rPr>
          <w:b/>
          <w:sz w:val="36"/>
          <w:szCs w:val="36"/>
          <w:lang w:val="en-US"/>
        </w:rPr>
      </w:pPr>
      <w:proofErr w:type="spellStart"/>
      <w:r w:rsidRPr="0002467C">
        <w:rPr>
          <w:b/>
          <w:sz w:val="36"/>
          <w:szCs w:val="36"/>
          <w:lang w:val="en-US"/>
        </w:rPr>
        <w:t>Variables’description</w:t>
      </w:r>
      <w:proofErr w:type="spellEnd"/>
      <w:r w:rsidRPr="0002467C">
        <w:rPr>
          <w:b/>
          <w:sz w:val="36"/>
          <w:szCs w:val="36"/>
          <w:lang w:val="en-US"/>
        </w:rPr>
        <w:t xml:space="preserve"> for the Better Life Index data set</w:t>
      </w:r>
      <w:bookmarkStart w:id="0" w:name="_GoBack"/>
      <w:bookmarkEnd w:id="0"/>
    </w:p>
    <w:p w:rsidR="009B4071" w:rsidRPr="0002467C" w:rsidRDefault="009B4071">
      <w:pPr>
        <w:rPr>
          <w:rFonts w:ascii="Arial" w:eastAsia="Times New Roman" w:hAnsi="Arial" w:cs="Arial"/>
          <w:b/>
          <w:color w:val="4C4C4C"/>
          <w:sz w:val="24"/>
          <w:szCs w:val="24"/>
          <w:lang w:val="en-US" w:eastAsia="fr-FR"/>
        </w:rPr>
      </w:pPr>
    </w:p>
    <w:p w:rsidR="00345B73" w:rsidRPr="00345B73" w:rsidRDefault="0002467C">
      <w:pPr>
        <w:rPr>
          <w:rFonts w:ascii="Arial" w:hAnsi="Arial" w:cs="Arial"/>
          <w:b/>
        </w:rPr>
      </w:pPr>
      <w:proofErr w:type="spellStart"/>
      <w:r w:rsidRPr="0002467C">
        <w:rPr>
          <w:rFonts w:ascii="Arial" w:eastAsia="Times New Roman" w:hAnsi="Arial" w:cs="Arial"/>
          <w:b/>
          <w:color w:val="4C4C4C"/>
          <w:sz w:val="24"/>
          <w:szCs w:val="24"/>
          <w:lang w:eastAsia="fr-FR"/>
        </w:rPr>
        <w:t>Material</w:t>
      </w:r>
      <w:proofErr w:type="spellEnd"/>
      <w:r w:rsidRPr="0002467C">
        <w:rPr>
          <w:rFonts w:ascii="Arial" w:eastAsia="Times New Roman" w:hAnsi="Arial" w:cs="Arial"/>
          <w:b/>
          <w:color w:val="4C4C4C"/>
          <w:sz w:val="24"/>
          <w:szCs w:val="24"/>
          <w:lang w:eastAsia="fr-FR"/>
        </w:rPr>
        <w:t xml:space="preserve"> </w:t>
      </w:r>
      <w:proofErr w:type="spellStart"/>
      <w:r w:rsidRPr="0002467C">
        <w:rPr>
          <w:rFonts w:ascii="Arial" w:eastAsia="Times New Roman" w:hAnsi="Arial" w:cs="Arial"/>
          <w:b/>
          <w:color w:val="4C4C4C"/>
          <w:sz w:val="24"/>
          <w:szCs w:val="24"/>
          <w:lang w:eastAsia="fr-FR"/>
        </w:rPr>
        <w:t>well-being</w:t>
      </w:r>
      <w:proofErr w:type="spellEnd"/>
    </w:p>
    <w:p w:rsidR="00345B73" w:rsidRPr="009B4071" w:rsidRDefault="0002467C" w:rsidP="0002467C">
      <w:pPr>
        <w:numPr>
          <w:ilvl w:val="0"/>
          <w:numId w:val="1"/>
        </w:numPr>
        <w:shd w:val="clear" w:color="auto" w:fill="FFFFFF"/>
        <w:spacing w:after="170" w:line="336" w:lineRule="atLeast"/>
        <w:jc w:val="both"/>
        <w:textAlignment w:val="baseline"/>
        <w:rPr>
          <w:rFonts w:ascii="Arial" w:eastAsia="Times New Roman" w:hAnsi="Arial" w:cs="Arial"/>
          <w:color w:val="4C4C4C"/>
          <w:lang w:val="en-US" w:eastAsia="fr-FR"/>
        </w:rPr>
      </w:pPr>
      <w:r w:rsidRPr="0002467C">
        <w:rPr>
          <w:rFonts w:ascii="Arial" w:eastAsia="Times New Roman" w:hAnsi="Arial" w:cs="Arial"/>
          <w:b/>
          <w:i/>
          <w:color w:val="4C4C4C"/>
          <w:lang w:val="en-US" w:eastAsia="fr-FR"/>
        </w:rPr>
        <w:t>Dwellings without basic facilities</w:t>
      </w:r>
      <w:r w:rsidR="00345B73" w:rsidRPr="009B4071">
        <w:rPr>
          <w:rFonts w:ascii="Arial" w:eastAsia="Times New Roman" w:hAnsi="Arial" w:cs="Arial"/>
          <w:color w:val="4C4C4C"/>
          <w:lang w:val="en-US" w:eastAsia="fr-FR"/>
        </w:rPr>
        <w:t xml:space="preserve">: </w:t>
      </w:r>
      <w:r w:rsidR="00345B73" w:rsidRPr="009B4071">
        <w:rPr>
          <w:rFonts w:ascii="Arial" w:hAnsi="Arial" w:cs="Arial"/>
          <w:color w:val="495D8E"/>
          <w:shd w:val="clear" w:color="auto" w:fill="FFFFFF"/>
          <w:lang w:val="en-US"/>
        </w:rPr>
        <w:t xml:space="preserve">This indicator refers to the percentage of the population living in a dwelling without indoor flushing toilet for the sole use of their households. Flushing toilets outside the dwelling are not to </w:t>
      </w:r>
      <w:proofErr w:type="gramStart"/>
      <w:r w:rsidR="00345B73" w:rsidRPr="009B4071">
        <w:rPr>
          <w:rFonts w:ascii="Arial" w:hAnsi="Arial" w:cs="Arial"/>
          <w:color w:val="495D8E"/>
          <w:shd w:val="clear" w:color="auto" w:fill="FFFFFF"/>
          <w:lang w:val="en-US"/>
        </w:rPr>
        <w:t>be considered</w:t>
      </w:r>
      <w:proofErr w:type="gramEnd"/>
      <w:r w:rsidR="00345B73" w:rsidRPr="009B4071">
        <w:rPr>
          <w:rFonts w:ascii="Arial" w:hAnsi="Arial" w:cs="Arial"/>
          <w:color w:val="495D8E"/>
          <w:shd w:val="clear" w:color="auto" w:fill="FFFFFF"/>
          <w:lang w:val="en-US"/>
        </w:rPr>
        <w:t xml:space="preserve"> in this item. Flushing toilets in a room where there is also a shower unit or a bath </w:t>
      </w:r>
      <w:proofErr w:type="gramStart"/>
      <w:r w:rsidR="00345B73" w:rsidRPr="009B4071">
        <w:rPr>
          <w:rFonts w:ascii="Arial" w:hAnsi="Arial" w:cs="Arial"/>
          <w:color w:val="495D8E"/>
          <w:shd w:val="clear" w:color="auto" w:fill="FFFFFF"/>
          <w:lang w:val="en-US"/>
        </w:rPr>
        <w:t>are also counted</w:t>
      </w:r>
      <w:proofErr w:type="gramEnd"/>
      <w:r w:rsidR="00345B73" w:rsidRPr="009B4071">
        <w:rPr>
          <w:rFonts w:ascii="Arial" w:hAnsi="Arial" w:cs="Arial"/>
          <w:color w:val="495D8E"/>
          <w:shd w:val="clear" w:color="auto" w:fill="FFFFFF"/>
          <w:lang w:val="en-US"/>
        </w:rPr>
        <w:t>.</w:t>
      </w:r>
    </w:p>
    <w:p w:rsidR="00345B73" w:rsidRPr="009B4071" w:rsidRDefault="0002467C" w:rsidP="0002467C">
      <w:pPr>
        <w:numPr>
          <w:ilvl w:val="0"/>
          <w:numId w:val="1"/>
        </w:numPr>
        <w:shd w:val="clear" w:color="auto" w:fill="FFFFFF"/>
        <w:spacing w:after="170" w:line="336" w:lineRule="atLeast"/>
        <w:jc w:val="both"/>
        <w:textAlignment w:val="baseline"/>
        <w:rPr>
          <w:rFonts w:ascii="Arial" w:hAnsi="Arial" w:cs="Arial"/>
          <w:color w:val="495D8E"/>
          <w:shd w:val="clear" w:color="auto" w:fill="FFFFFF"/>
          <w:lang w:val="en-US"/>
        </w:rPr>
      </w:pPr>
      <w:r w:rsidRPr="0002467C">
        <w:rPr>
          <w:rFonts w:ascii="Arial" w:eastAsia="Times New Roman" w:hAnsi="Arial" w:cs="Arial"/>
          <w:b/>
          <w:i/>
          <w:color w:val="4C4C4C"/>
          <w:lang w:val="en-US" w:eastAsia="fr-FR"/>
        </w:rPr>
        <w:t>Housing expenditure</w:t>
      </w:r>
      <w:r w:rsidR="00345B73" w:rsidRPr="009B4071">
        <w:rPr>
          <w:rFonts w:ascii="Arial" w:eastAsia="Times New Roman" w:hAnsi="Arial" w:cs="Arial"/>
          <w:b/>
          <w:color w:val="4C4C4C"/>
          <w:lang w:val="en-US" w:eastAsia="fr-FR"/>
        </w:rPr>
        <w:t>:</w:t>
      </w:r>
      <w:r w:rsidR="00345B73" w:rsidRPr="009B4071">
        <w:rPr>
          <w:rFonts w:ascii="Arial" w:eastAsia="Times New Roman" w:hAnsi="Arial" w:cs="Arial"/>
          <w:b/>
          <w:i/>
          <w:color w:val="4C4C4C"/>
          <w:lang w:val="en-US" w:eastAsia="fr-FR"/>
        </w:rPr>
        <w:t xml:space="preserve"> </w:t>
      </w:r>
      <w:r w:rsidR="00345B73" w:rsidRPr="009B4071">
        <w:rPr>
          <w:rFonts w:ascii="Arial" w:hAnsi="Arial" w:cs="Arial"/>
          <w:color w:val="495D8E"/>
          <w:shd w:val="clear" w:color="auto" w:fill="FFFFFF"/>
          <w:lang w:val="en-US"/>
        </w:rPr>
        <w:t>This indicator considers the expenditure of households in housing and maintenance of the house, as defined in the SNA (P31CP040: Housing, water, electricity, gas and other fuels; P31CP050: Furnishings, households’ equipment and routine maintenance of the house). It includes actual and imputed rentals for housing, expenditure in maintenance and repair of the dwelling (including miscellaneous services), in water supply, electricity, gas and other fuels, as well as the expenditure in furniture and furnishings and households equipment, and goods and services for routine maintenance of the house as a percentage of the household gross adjusted disposable income. Data refer to the sum of households and non-profit institution serving households.</w:t>
      </w:r>
    </w:p>
    <w:p w:rsidR="00345B73" w:rsidRPr="009B4071" w:rsidRDefault="0002467C" w:rsidP="0002467C">
      <w:pPr>
        <w:numPr>
          <w:ilvl w:val="0"/>
          <w:numId w:val="1"/>
        </w:numPr>
        <w:shd w:val="clear" w:color="auto" w:fill="FFFFFF"/>
        <w:spacing w:after="170" w:line="336" w:lineRule="atLeast"/>
        <w:jc w:val="both"/>
        <w:textAlignment w:val="baseline"/>
        <w:rPr>
          <w:rFonts w:ascii="Arial" w:hAnsi="Arial" w:cs="Arial"/>
          <w:color w:val="495D8E"/>
          <w:shd w:val="clear" w:color="auto" w:fill="FFFFFF"/>
          <w:lang w:val="en-US"/>
        </w:rPr>
      </w:pPr>
      <w:r w:rsidRPr="0002467C">
        <w:rPr>
          <w:rFonts w:ascii="Arial" w:eastAsia="Times New Roman" w:hAnsi="Arial" w:cs="Arial"/>
          <w:b/>
          <w:i/>
          <w:color w:val="4C4C4C"/>
          <w:lang w:val="en-US" w:eastAsia="fr-FR"/>
        </w:rPr>
        <w:t>Rooms per person</w:t>
      </w:r>
      <w:r w:rsidR="00345B73" w:rsidRPr="009B4071">
        <w:rPr>
          <w:rFonts w:ascii="Arial" w:eastAsia="Times New Roman" w:hAnsi="Arial" w:cs="Arial"/>
          <w:color w:val="4C4C4C"/>
          <w:lang w:val="en-US" w:eastAsia="fr-FR"/>
        </w:rPr>
        <w:t xml:space="preserve">: </w:t>
      </w:r>
      <w:r w:rsidR="00345B73" w:rsidRPr="009B4071">
        <w:rPr>
          <w:rFonts w:ascii="Arial" w:hAnsi="Arial" w:cs="Arial"/>
          <w:color w:val="495D8E"/>
          <w:shd w:val="clear" w:color="auto" w:fill="FFFFFF"/>
          <w:lang w:val="en-US"/>
        </w:rPr>
        <w:t xml:space="preserve">This indicator refers to the number of rooms (excluding kitchenette, scullery/utility room, bathroom, toilet, garage, consulting rooms, office, </w:t>
      </w:r>
      <w:proofErr w:type="gramStart"/>
      <w:r w:rsidR="00345B73" w:rsidRPr="009B4071">
        <w:rPr>
          <w:rFonts w:ascii="Arial" w:hAnsi="Arial" w:cs="Arial"/>
          <w:color w:val="495D8E"/>
          <w:shd w:val="clear" w:color="auto" w:fill="FFFFFF"/>
          <w:lang w:val="en-US"/>
        </w:rPr>
        <w:t>shop</w:t>
      </w:r>
      <w:proofErr w:type="gramEnd"/>
      <w:r w:rsidR="00345B73" w:rsidRPr="009B4071">
        <w:rPr>
          <w:rFonts w:ascii="Arial" w:hAnsi="Arial" w:cs="Arial"/>
          <w:color w:val="495D8E"/>
          <w:shd w:val="clear" w:color="auto" w:fill="FFFFFF"/>
          <w:lang w:val="en-US"/>
        </w:rPr>
        <w:t>) in a dwelling divided by the number of persons living in the dwelling.</w:t>
      </w:r>
    </w:p>
    <w:p w:rsidR="00345B73" w:rsidRPr="009B4071" w:rsidRDefault="0002467C" w:rsidP="0002467C">
      <w:pPr>
        <w:numPr>
          <w:ilvl w:val="0"/>
          <w:numId w:val="1"/>
        </w:numPr>
        <w:shd w:val="clear" w:color="auto" w:fill="FFFFFF"/>
        <w:spacing w:after="170" w:line="336" w:lineRule="atLeast"/>
        <w:jc w:val="both"/>
        <w:textAlignment w:val="baseline"/>
        <w:rPr>
          <w:rFonts w:ascii="Arial" w:hAnsi="Arial" w:cs="Arial"/>
          <w:color w:val="495D8E"/>
          <w:shd w:val="clear" w:color="auto" w:fill="FFFFFF"/>
          <w:lang w:val="en-US"/>
        </w:rPr>
      </w:pPr>
      <w:r w:rsidRPr="0002467C">
        <w:rPr>
          <w:rFonts w:ascii="Arial" w:eastAsia="Times New Roman" w:hAnsi="Arial" w:cs="Arial"/>
          <w:b/>
          <w:i/>
          <w:color w:val="4C4C4C"/>
          <w:lang w:val="en-US" w:eastAsia="fr-FR"/>
        </w:rPr>
        <w:t>Household net adjusted disposable income</w:t>
      </w:r>
      <w:r w:rsidR="00345B73" w:rsidRPr="009B4071">
        <w:rPr>
          <w:rFonts w:ascii="Arial" w:eastAsia="Times New Roman" w:hAnsi="Arial" w:cs="Arial"/>
          <w:color w:val="4C4C4C"/>
          <w:lang w:val="en-US" w:eastAsia="fr-FR"/>
        </w:rPr>
        <w:t xml:space="preserve">: </w:t>
      </w:r>
      <w:proofErr w:type="gramStart"/>
      <w:r w:rsidR="00345B73" w:rsidRPr="009B4071">
        <w:rPr>
          <w:rFonts w:ascii="Arial" w:hAnsi="Arial" w:cs="Arial"/>
          <w:color w:val="495D8E"/>
          <w:shd w:val="clear" w:color="auto" w:fill="FFFFFF"/>
          <w:lang w:val="en-US"/>
        </w:rPr>
        <w:t>It's</w:t>
      </w:r>
      <w:proofErr w:type="gramEnd"/>
      <w:r w:rsidR="00345B73" w:rsidRPr="009B4071">
        <w:rPr>
          <w:rFonts w:ascii="Arial" w:hAnsi="Arial" w:cs="Arial"/>
          <w:color w:val="495D8E"/>
          <w:shd w:val="clear" w:color="auto" w:fill="FFFFFF"/>
          <w:lang w:val="en-US"/>
        </w:rPr>
        <w:t xml:space="preserve"> the maximum amount that a household can afford to consume without having to reduce its assets or to increase its liabilities. </w:t>
      </w:r>
      <w:proofErr w:type="gramStart"/>
      <w:r w:rsidR="00345B73" w:rsidRPr="009B4071">
        <w:rPr>
          <w:rFonts w:ascii="Arial" w:hAnsi="Arial" w:cs="Arial"/>
          <w:color w:val="495D8E"/>
          <w:shd w:val="clear" w:color="auto" w:fill="FFFFFF"/>
          <w:lang w:val="en-US"/>
        </w:rPr>
        <w:t>It's obtained adding to people’s gross income (earnings, self-employment and capital income, as well as current monetary transfers received from other sectors) the social transfers in-kind that households receive from governments (such as education and health care services), and then subtracting the taxes on income and wealth, the social security contributions paid by households as well as the depreciation of capital goods consumed by households.</w:t>
      </w:r>
      <w:proofErr w:type="gramEnd"/>
      <w:r w:rsidR="00345B73" w:rsidRPr="009B4071">
        <w:rPr>
          <w:rFonts w:ascii="Arial" w:hAnsi="Arial" w:cs="Arial"/>
          <w:color w:val="495D8E"/>
          <w:shd w:val="clear" w:color="auto" w:fill="FFFFFF"/>
          <w:lang w:val="en-US"/>
        </w:rPr>
        <w:t xml:space="preserve"> Available data refer to the sum of households and non-profit institution serving households.</w:t>
      </w:r>
    </w:p>
    <w:p w:rsidR="00345B73" w:rsidRPr="009B4071" w:rsidRDefault="0002467C" w:rsidP="0002467C">
      <w:pPr>
        <w:numPr>
          <w:ilvl w:val="0"/>
          <w:numId w:val="1"/>
        </w:numPr>
        <w:shd w:val="clear" w:color="auto" w:fill="FFFFFF"/>
        <w:spacing w:after="170" w:line="336" w:lineRule="atLeast"/>
        <w:jc w:val="both"/>
        <w:textAlignment w:val="baseline"/>
        <w:rPr>
          <w:rFonts w:ascii="Arial" w:hAnsi="Arial" w:cs="Arial"/>
          <w:color w:val="495D8E"/>
          <w:shd w:val="clear" w:color="auto" w:fill="FFFFFF"/>
          <w:lang w:val="en-US"/>
        </w:rPr>
      </w:pPr>
      <w:r w:rsidRPr="0002467C">
        <w:rPr>
          <w:rFonts w:ascii="Arial" w:eastAsia="Times New Roman" w:hAnsi="Arial" w:cs="Arial"/>
          <w:b/>
          <w:i/>
          <w:color w:val="4C4C4C"/>
          <w:lang w:val="en-US" w:eastAsia="fr-FR"/>
        </w:rPr>
        <w:t>Household net financial</w:t>
      </w:r>
      <w:r>
        <w:rPr>
          <w:rFonts w:ascii="Arial" w:eastAsia="Times New Roman" w:hAnsi="Arial" w:cs="Arial"/>
          <w:b/>
          <w:i/>
          <w:color w:val="4C4C4C"/>
          <w:lang w:val="en-US" w:eastAsia="fr-FR"/>
        </w:rPr>
        <w:t xml:space="preserve"> wealth</w:t>
      </w:r>
      <w:r w:rsidR="00345B73" w:rsidRPr="009B4071">
        <w:rPr>
          <w:rFonts w:ascii="Arial" w:eastAsia="Times New Roman" w:hAnsi="Arial" w:cs="Arial"/>
          <w:color w:val="4C4C4C"/>
          <w:lang w:val="en-US" w:eastAsia="fr-FR"/>
        </w:rPr>
        <w:t xml:space="preserve">: </w:t>
      </w:r>
      <w:r w:rsidR="00345B73" w:rsidRPr="009B4071">
        <w:rPr>
          <w:rFonts w:ascii="Arial" w:hAnsi="Arial" w:cs="Arial"/>
          <w:color w:val="495D8E"/>
          <w:shd w:val="clear" w:color="auto" w:fill="FFFFFF"/>
          <w:lang w:val="en-US"/>
        </w:rPr>
        <w:t>Net financial wealth consists of : currency and deposits, securities other than share, loans, shares and other equity (including shares issued by investment funds), insurance technical reserves, and other accounts receivable or payable, net of household financial liabilities, as defined by the System of National Accounts – SNA. Data refer to the sum of households and non-profit institution serving households.</w:t>
      </w:r>
    </w:p>
    <w:p w:rsidR="00345B73" w:rsidRPr="00345B73" w:rsidRDefault="0002467C" w:rsidP="00345B73">
      <w:pPr>
        <w:rPr>
          <w:rFonts w:ascii="Arial" w:eastAsia="Times New Roman" w:hAnsi="Arial" w:cs="Arial"/>
          <w:b/>
          <w:color w:val="4C4C4C"/>
          <w:sz w:val="24"/>
          <w:szCs w:val="24"/>
          <w:lang w:eastAsia="fr-FR"/>
        </w:rPr>
      </w:pPr>
      <w:r>
        <w:rPr>
          <w:rFonts w:ascii="Arial" w:eastAsia="Times New Roman" w:hAnsi="Arial" w:cs="Arial"/>
          <w:b/>
          <w:color w:val="4C4C4C"/>
          <w:sz w:val="24"/>
          <w:szCs w:val="24"/>
          <w:lang w:eastAsia="fr-FR"/>
        </w:rPr>
        <w:t>Jobs</w:t>
      </w:r>
    </w:p>
    <w:p w:rsidR="00345B73" w:rsidRPr="009B4071" w:rsidRDefault="0002467C" w:rsidP="0002467C">
      <w:pPr>
        <w:numPr>
          <w:ilvl w:val="0"/>
          <w:numId w:val="1"/>
        </w:numPr>
        <w:shd w:val="clear" w:color="auto" w:fill="FFFFFF"/>
        <w:spacing w:after="170" w:line="336" w:lineRule="atLeast"/>
        <w:jc w:val="both"/>
        <w:textAlignment w:val="baseline"/>
        <w:rPr>
          <w:rFonts w:ascii="Arial" w:eastAsia="Times New Roman" w:hAnsi="Arial" w:cs="Arial"/>
          <w:color w:val="4C4C4C"/>
          <w:lang w:val="en-US" w:eastAsia="fr-FR"/>
        </w:rPr>
      </w:pPr>
      <w:r w:rsidRPr="0002467C">
        <w:rPr>
          <w:rFonts w:ascii="Arial" w:eastAsia="Times New Roman" w:hAnsi="Arial" w:cs="Arial"/>
          <w:b/>
          <w:i/>
          <w:color w:val="4C4C4C"/>
          <w:lang w:val="en-US" w:eastAsia="fr-FR"/>
        </w:rPr>
        <w:t>Employment rate</w:t>
      </w:r>
      <w:r w:rsidR="00345B73" w:rsidRPr="009B4071">
        <w:rPr>
          <w:rFonts w:ascii="Arial" w:eastAsia="Times New Roman" w:hAnsi="Arial" w:cs="Arial"/>
          <w:color w:val="4C4C4C"/>
          <w:lang w:val="en-US" w:eastAsia="fr-FR"/>
        </w:rPr>
        <w:t xml:space="preserve">: </w:t>
      </w:r>
      <w:r w:rsidR="00345B73" w:rsidRPr="009B4071">
        <w:rPr>
          <w:rFonts w:ascii="Arial" w:hAnsi="Arial" w:cs="Arial"/>
          <w:color w:val="495D8E"/>
          <w:shd w:val="clear" w:color="auto" w:fill="FFFFFF"/>
          <w:lang w:val="en-US"/>
        </w:rPr>
        <w:t xml:space="preserve">It is the number of employed persons aged 15 to 64 over the population of the same age. Employed people are those aged 15 or more who report that they have worked in gainful employment for at least one hour in the previous week, as defined by the International </w:t>
      </w:r>
      <w:proofErr w:type="spellStart"/>
      <w:r w:rsidR="00345B73" w:rsidRPr="009B4071">
        <w:rPr>
          <w:rFonts w:ascii="Arial" w:hAnsi="Arial" w:cs="Arial"/>
          <w:color w:val="495D8E"/>
          <w:shd w:val="clear" w:color="auto" w:fill="FFFFFF"/>
          <w:lang w:val="en-US"/>
        </w:rPr>
        <w:t>Labour</w:t>
      </w:r>
      <w:proofErr w:type="spellEnd"/>
      <w:r w:rsidR="00345B73" w:rsidRPr="009B4071">
        <w:rPr>
          <w:rFonts w:ascii="Arial" w:hAnsi="Arial" w:cs="Arial"/>
          <w:color w:val="495D8E"/>
          <w:shd w:val="clear" w:color="auto" w:fill="FFFFFF"/>
          <w:lang w:val="en-US"/>
        </w:rPr>
        <w:t xml:space="preserve"> Organization – ILO.</w:t>
      </w:r>
    </w:p>
    <w:p w:rsidR="00345B73" w:rsidRPr="009B4071" w:rsidRDefault="0002467C" w:rsidP="0002467C">
      <w:pPr>
        <w:numPr>
          <w:ilvl w:val="0"/>
          <w:numId w:val="1"/>
        </w:numPr>
        <w:shd w:val="clear" w:color="auto" w:fill="FFFFFF"/>
        <w:spacing w:after="170" w:line="336" w:lineRule="atLeast"/>
        <w:jc w:val="both"/>
        <w:textAlignment w:val="baseline"/>
        <w:rPr>
          <w:rFonts w:ascii="Arial" w:eastAsia="Times New Roman" w:hAnsi="Arial" w:cs="Arial"/>
          <w:color w:val="4C4C4C"/>
          <w:lang w:val="en-US" w:eastAsia="fr-FR"/>
        </w:rPr>
      </w:pPr>
      <w:r w:rsidRPr="0002467C">
        <w:rPr>
          <w:rFonts w:ascii="Arial" w:eastAsia="Times New Roman" w:hAnsi="Arial" w:cs="Arial"/>
          <w:b/>
          <w:i/>
          <w:color w:val="4C4C4C"/>
          <w:lang w:val="en-US" w:eastAsia="fr-FR"/>
        </w:rPr>
        <w:lastRenderedPageBreak/>
        <w:t>Job security</w:t>
      </w:r>
      <w:r w:rsidR="00345B73" w:rsidRPr="009B4071">
        <w:rPr>
          <w:rFonts w:ascii="Arial" w:eastAsia="Times New Roman" w:hAnsi="Arial" w:cs="Arial"/>
          <w:color w:val="4C4C4C"/>
          <w:lang w:val="en-US" w:eastAsia="fr-FR"/>
        </w:rPr>
        <w:t xml:space="preserve">: </w:t>
      </w:r>
      <w:r w:rsidR="00345B73" w:rsidRPr="009B4071">
        <w:rPr>
          <w:rFonts w:ascii="Arial" w:hAnsi="Arial" w:cs="Arial"/>
          <w:color w:val="495D8E"/>
          <w:shd w:val="clear" w:color="auto" w:fill="FFFFFF"/>
          <w:lang w:val="en-US"/>
        </w:rPr>
        <w:t xml:space="preserve">This indicator presents the probability to become unemployed. It </w:t>
      </w:r>
      <w:proofErr w:type="gramStart"/>
      <w:r w:rsidR="00345B73" w:rsidRPr="009B4071">
        <w:rPr>
          <w:rFonts w:ascii="Arial" w:hAnsi="Arial" w:cs="Arial"/>
          <w:color w:val="495D8E"/>
          <w:shd w:val="clear" w:color="auto" w:fill="FFFFFF"/>
          <w:lang w:val="en-US"/>
        </w:rPr>
        <w:t>is calculated</w:t>
      </w:r>
      <w:proofErr w:type="gramEnd"/>
      <w:r w:rsidR="00345B73" w:rsidRPr="009B4071">
        <w:rPr>
          <w:rFonts w:ascii="Arial" w:hAnsi="Arial" w:cs="Arial"/>
          <w:color w:val="495D8E"/>
          <w:shd w:val="clear" w:color="auto" w:fill="FFFFFF"/>
          <w:lang w:val="en-US"/>
        </w:rPr>
        <w:t xml:space="preserve"> as the number of people who were unemployed in 2013, but were employed in 2012 over the total number of employed in 2012.</w:t>
      </w:r>
    </w:p>
    <w:p w:rsidR="00345B73" w:rsidRPr="009B4071" w:rsidRDefault="0002467C" w:rsidP="0002467C">
      <w:pPr>
        <w:numPr>
          <w:ilvl w:val="0"/>
          <w:numId w:val="1"/>
        </w:numPr>
        <w:shd w:val="clear" w:color="auto" w:fill="FFFFFF"/>
        <w:spacing w:after="170" w:line="336" w:lineRule="atLeast"/>
        <w:jc w:val="both"/>
        <w:textAlignment w:val="baseline"/>
        <w:rPr>
          <w:rFonts w:ascii="Arial" w:eastAsia="Times New Roman" w:hAnsi="Arial" w:cs="Arial"/>
          <w:color w:val="4C4C4C"/>
          <w:lang w:val="en-US" w:eastAsia="fr-FR"/>
        </w:rPr>
      </w:pPr>
      <w:r w:rsidRPr="0002467C">
        <w:rPr>
          <w:rFonts w:ascii="Arial" w:eastAsia="Times New Roman" w:hAnsi="Arial" w:cs="Arial"/>
          <w:b/>
          <w:i/>
          <w:color w:val="4C4C4C"/>
          <w:lang w:val="en-US" w:eastAsia="fr-FR"/>
        </w:rPr>
        <w:t>Long-term unemployment rate</w:t>
      </w:r>
      <w:r w:rsidR="00345B73" w:rsidRPr="009B4071">
        <w:rPr>
          <w:rFonts w:ascii="Arial" w:eastAsia="Times New Roman" w:hAnsi="Arial" w:cs="Arial"/>
          <w:color w:val="4C4C4C"/>
          <w:lang w:val="en-US" w:eastAsia="fr-FR"/>
        </w:rPr>
        <w:t xml:space="preserve">: </w:t>
      </w:r>
      <w:r w:rsidR="00345B73" w:rsidRPr="009B4071">
        <w:rPr>
          <w:rFonts w:ascii="Arial" w:hAnsi="Arial" w:cs="Arial"/>
          <w:color w:val="495D8E"/>
          <w:shd w:val="clear" w:color="auto" w:fill="FFFFFF"/>
          <w:lang w:val="en-US"/>
        </w:rPr>
        <w:t xml:space="preserve">This indicator refers to the number of persons who have been unemployed for one year or more as a percentage of the </w:t>
      </w:r>
      <w:proofErr w:type="spellStart"/>
      <w:r w:rsidR="00345B73" w:rsidRPr="009B4071">
        <w:rPr>
          <w:rFonts w:ascii="Arial" w:hAnsi="Arial" w:cs="Arial"/>
          <w:color w:val="495D8E"/>
          <w:shd w:val="clear" w:color="auto" w:fill="FFFFFF"/>
          <w:lang w:val="en-US"/>
        </w:rPr>
        <w:t>labour</w:t>
      </w:r>
      <w:proofErr w:type="spellEnd"/>
      <w:r w:rsidR="00345B73" w:rsidRPr="009B4071">
        <w:rPr>
          <w:rFonts w:ascii="Arial" w:hAnsi="Arial" w:cs="Arial"/>
          <w:color w:val="495D8E"/>
          <w:shd w:val="clear" w:color="auto" w:fill="FFFFFF"/>
          <w:lang w:val="en-US"/>
        </w:rPr>
        <w:t xml:space="preserve"> force (the sum of employed and unemployed persons). Unemployed persons </w:t>
      </w:r>
      <w:proofErr w:type="gramStart"/>
      <w:r w:rsidR="00345B73" w:rsidRPr="009B4071">
        <w:rPr>
          <w:rFonts w:ascii="Arial" w:hAnsi="Arial" w:cs="Arial"/>
          <w:color w:val="495D8E"/>
          <w:shd w:val="clear" w:color="auto" w:fill="FFFFFF"/>
          <w:lang w:val="en-US"/>
        </w:rPr>
        <w:t>are defined</w:t>
      </w:r>
      <w:proofErr w:type="gramEnd"/>
      <w:r w:rsidR="00345B73" w:rsidRPr="009B4071">
        <w:rPr>
          <w:rFonts w:ascii="Arial" w:hAnsi="Arial" w:cs="Arial"/>
          <w:color w:val="495D8E"/>
          <w:shd w:val="clear" w:color="auto" w:fill="FFFFFF"/>
          <w:lang w:val="en-US"/>
        </w:rPr>
        <w:t xml:space="preserve"> as those who are currently not working but are willing to do so and actively searching for work.</w:t>
      </w:r>
    </w:p>
    <w:p w:rsidR="00345B73" w:rsidRPr="009B4071" w:rsidRDefault="0002467C" w:rsidP="0002467C">
      <w:pPr>
        <w:numPr>
          <w:ilvl w:val="0"/>
          <w:numId w:val="1"/>
        </w:numPr>
        <w:shd w:val="clear" w:color="auto" w:fill="FFFFFF"/>
        <w:spacing w:after="170" w:line="336" w:lineRule="atLeast"/>
        <w:jc w:val="both"/>
        <w:textAlignment w:val="baseline"/>
        <w:rPr>
          <w:rFonts w:ascii="Arial" w:hAnsi="Arial" w:cs="Arial"/>
          <w:color w:val="495D8E"/>
          <w:shd w:val="clear" w:color="auto" w:fill="FFFFFF"/>
          <w:lang w:val="en-US"/>
        </w:rPr>
      </w:pPr>
      <w:r w:rsidRPr="0002467C">
        <w:rPr>
          <w:rFonts w:ascii="Arial" w:eastAsia="Times New Roman" w:hAnsi="Arial" w:cs="Arial"/>
          <w:b/>
          <w:i/>
          <w:color w:val="4C4C4C"/>
          <w:lang w:val="en-US" w:eastAsia="fr-FR"/>
        </w:rPr>
        <w:t>Personal earnings</w:t>
      </w:r>
      <w:r w:rsidR="00345B73" w:rsidRPr="009B4071">
        <w:rPr>
          <w:rFonts w:ascii="Arial" w:eastAsia="Times New Roman" w:hAnsi="Arial" w:cs="Arial"/>
          <w:color w:val="4C4C4C"/>
          <w:lang w:val="en-US" w:eastAsia="fr-FR"/>
        </w:rPr>
        <w:t xml:space="preserve">: </w:t>
      </w:r>
      <w:r w:rsidR="00345B73" w:rsidRPr="009B4071">
        <w:rPr>
          <w:rFonts w:ascii="Arial" w:hAnsi="Arial" w:cs="Arial"/>
          <w:color w:val="495D8E"/>
          <w:shd w:val="clear" w:color="auto" w:fill="FFFFFF"/>
          <w:lang w:val="en-US"/>
        </w:rPr>
        <w:t xml:space="preserve">This indicator refers to the average annual wages per full-time equivalent dependent employee, which </w:t>
      </w:r>
      <w:proofErr w:type="gramStart"/>
      <w:r w:rsidR="00345B73" w:rsidRPr="009B4071">
        <w:rPr>
          <w:rFonts w:ascii="Arial" w:hAnsi="Arial" w:cs="Arial"/>
          <w:color w:val="495D8E"/>
          <w:shd w:val="clear" w:color="auto" w:fill="FFFFFF"/>
          <w:lang w:val="en-US"/>
        </w:rPr>
        <w:t>are obtained</w:t>
      </w:r>
      <w:proofErr w:type="gramEnd"/>
      <w:r w:rsidR="00345B73" w:rsidRPr="009B4071">
        <w:rPr>
          <w:rFonts w:ascii="Arial" w:hAnsi="Arial" w:cs="Arial"/>
          <w:color w:val="495D8E"/>
          <w:shd w:val="clear" w:color="auto" w:fill="FFFFFF"/>
          <w:lang w:val="en-US"/>
        </w:rPr>
        <w:t xml:space="preserve"> by dividing the national-accounts-based total wage bill by the average number of employees in the total economy, which is then multiplied by the ratio of average usual weekly hours per full-time employee to average usually weekly hours for all employees. It considers the employees’ gross remuneration, that is, the total before any deductions are made by the employer in respect of taxes, contributions of employees to social security and pension schemes, life insurance premiums, union dues and other obligations of employees.</w:t>
      </w:r>
    </w:p>
    <w:p w:rsidR="00345B73" w:rsidRPr="00345B73" w:rsidRDefault="0002467C" w:rsidP="0002467C">
      <w:pPr>
        <w:numPr>
          <w:ilvl w:val="0"/>
          <w:numId w:val="1"/>
        </w:numPr>
        <w:shd w:val="clear" w:color="auto" w:fill="FFFFFF"/>
        <w:spacing w:after="170" w:line="336" w:lineRule="atLeast"/>
        <w:jc w:val="both"/>
        <w:textAlignment w:val="baseline"/>
        <w:rPr>
          <w:rFonts w:ascii="Arial" w:hAnsi="Arial" w:cs="Arial"/>
          <w:color w:val="495D8E"/>
          <w:shd w:val="clear" w:color="auto" w:fill="FFFFFF"/>
          <w:lang w:val="en-US"/>
        </w:rPr>
      </w:pPr>
      <w:r w:rsidRPr="0002467C">
        <w:rPr>
          <w:rFonts w:ascii="Arial" w:eastAsia="Times New Roman" w:hAnsi="Arial" w:cs="Arial"/>
          <w:b/>
          <w:i/>
          <w:color w:val="4C4C4C"/>
          <w:lang w:val="en-US" w:eastAsia="fr-FR"/>
        </w:rPr>
        <w:t>Employees working very long hours</w:t>
      </w:r>
      <w:r w:rsidR="00345B73" w:rsidRPr="009B4071">
        <w:rPr>
          <w:rFonts w:ascii="Arial" w:eastAsia="Times New Roman" w:hAnsi="Arial" w:cs="Arial"/>
          <w:color w:val="4C4C4C"/>
          <w:lang w:val="en-US" w:eastAsia="fr-FR"/>
        </w:rPr>
        <w:t xml:space="preserve">: </w:t>
      </w:r>
      <w:r w:rsidR="00345B73" w:rsidRPr="009B4071">
        <w:rPr>
          <w:rFonts w:ascii="Arial" w:hAnsi="Arial" w:cs="Arial"/>
          <w:color w:val="495D8E"/>
          <w:shd w:val="clear" w:color="auto" w:fill="FFFFFF"/>
          <w:lang w:val="en-US"/>
        </w:rPr>
        <w:t>This indicator measures the proportion of dependent employed whose usual hours of work per week are 50 hours or more.</w:t>
      </w:r>
    </w:p>
    <w:p w:rsidR="00345B73" w:rsidRPr="00345B73" w:rsidRDefault="0002467C" w:rsidP="00345B73">
      <w:pPr>
        <w:rPr>
          <w:rFonts w:ascii="Arial" w:eastAsia="Times New Roman" w:hAnsi="Arial" w:cs="Arial"/>
          <w:b/>
          <w:color w:val="4C4C4C"/>
          <w:sz w:val="24"/>
          <w:szCs w:val="24"/>
          <w:lang w:eastAsia="fr-FR"/>
        </w:rPr>
      </w:pPr>
      <w:proofErr w:type="spellStart"/>
      <w:r w:rsidRPr="0002467C">
        <w:rPr>
          <w:rFonts w:ascii="Arial" w:eastAsia="Times New Roman" w:hAnsi="Arial" w:cs="Arial"/>
          <w:b/>
          <w:color w:val="4C4C4C"/>
          <w:sz w:val="24"/>
          <w:szCs w:val="24"/>
          <w:lang w:eastAsia="fr-FR"/>
        </w:rPr>
        <w:t>Happiness</w:t>
      </w:r>
      <w:proofErr w:type="spellEnd"/>
    </w:p>
    <w:p w:rsidR="00345B73" w:rsidRPr="009B4071" w:rsidRDefault="0002467C" w:rsidP="0002467C">
      <w:pPr>
        <w:numPr>
          <w:ilvl w:val="0"/>
          <w:numId w:val="1"/>
        </w:numPr>
        <w:shd w:val="clear" w:color="auto" w:fill="FFFFFF"/>
        <w:spacing w:after="170" w:line="336" w:lineRule="atLeast"/>
        <w:jc w:val="both"/>
        <w:textAlignment w:val="baseline"/>
        <w:rPr>
          <w:rFonts w:ascii="Arial" w:hAnsi="Arial" w:cs="Arial"/>
          <w:color w:val="495D8E"/>
          <w:shd w:val="clear" w:color="auto" w:fill="FFFFFF"/>
          <w:lang w:val="en-US"/>
        </w:rPr>
      </w:pPr>
      <w:r w:rsidRPr="0002467C">
        <w:rPr>
          <w:rFonts w:ascii="Arial" w:eastAsia="Times New Roman" w:hAnsi="Arial" w:cs="Arial"/>
          <w:b/>
          <w:i/>
          <w:color w:val="4C4C4C"/>
          <w:lang w:val="en-US" w:eastAsia="fr-FR"/>
        </w:rPr>
        <w:t>Quality of support network</w:t>
      </w:r>
      <w:r w:rsidR="00345B73" w:rsidRPr="009B4071">
        <w:rPr>
          <w:rFonts w:ascii="Arial" w:eastAsia="Times New Roman" w:hAnsi="Arial" w:cs="Arial"/>
          <w:color w:val="4C4C4C"/>
          <w:lang w:val="en-US" w:eastAsia="fr-FR"/>
        </w:rPr>
        <w:t xml:space="preserve">: </w:t>
      </w:r>
      <w:proofErr w:type="gramStart"/>
      <w:r w:rsidR="00345B73" w:rsidRPr="009B4071">
        <w:rPr>
          <w:rFonts w:ascii="Arial" w:hAnsi="Arial" w:cs="Arial"/>
          <w:color w:val="495D8E"/>
          <w:shd w:val="clear" w:color="auto" w:fill="FFFFFF"/>
          <w:lang w:val="en-US"/>
        </w:rPr>
        <w:t>It's</w:t>
      </w:r>
      <w:proofErr w:type="gramEnd"/>
      <w:r w:rsidR="00345B73" w:rsidRPr="009B4071">
        <w:rPr>
          <w:rFonts w:ascii="Arial" w:hAnsi="Arial" w:cs="Arial"/>
          <w:color w:val="495D8E"/>
          <w:shd w:val="clear" w:color="auto" w:fill="FFFFFF"/>
          <w:lang w:val="en-US"/>
        </w:rPr>
        <w:t xml:space="preserve"> a measure of perceived social network support. The indicator </w:t>
      </w:r>
      <w:proofErr w:type="gramStart"/>
      <w:r w:rsidR="00345B73" w:rsidRPr="009B4071">
        <w:rPr>
          <w:rFonts w:ascii="Arial" w:hAnsi="Arial" w:cs="Arial"/>
          <w:color w:val="495D8E"/>
          <w:shd w:val="clear" w:color="auto" w:fill="FFFFFF"/>
          <w:lang w:val="en-US"/>
        </w:rPr>
        <w:t>is based</w:t>
      </w:r>
      <w:proofErr w:type="gramEnd"/>
      <w:r w:rsidR="00345B73" w:rsidRPr="009B4071">
        <w:rPr>
          <w:rFonts w:ascii="Arial" w:hAnsi="Arial" w:cs="Arial"/>
          <w:color w:val="495D8E"/>
          <w:shd w:val="clear" w:color="auto" w:fill="FFFFFF"/>
          <w:lang w:val="en-US"/>
        </w:rPr>
        <w:t xml:space="preserve"> on the question: “If you were in trouble, do you have relatives or friends you can count on to help you whenever you need them, or not?” and it considers the respondents who respond positively.</w:t>
      </w:r>
    </w:p>
    <w:p w:rsidR="00345B73" w:rsidRPr="009B4071" w:rsidRDefault="0002467C" w:rsidP="0002467C">
      <w:pPr>
        <w:numPr>
          <w:ilvl w:val="0"/>
          <w:numId w:val="1"/>
        </w:numPr>
        <w:shd w:val="clear" w:color="auto" w:fill="FFFFFF"/>
        <w:spacing w:after="170" w:line="336" w:lineRule="atLeast"/>
        <w:jc w:val="both"/>
        <w:textAlignment w:val="baseline"/>
        <w:rPr>
          <w:rFonts w:ascii="Arial" w:hAnsi="Arial" w:cs="Arial"/>
          <w:color w:val="495D8E"/>
          <w:shd w:val="clear" w:color="auto" w:fill="FFFFFF"/>
          <w:lang w:val="en-US"/>
        </w:rPr>
      </w:pPr>
      <w:r w:rsidRPr="0002467C">
        <w:rPr>
          <w:rFonts w:ascii="Arial" w:eastAsia="Times New Roman" w:hAnsi="Arial" w:cs="Arial"/>
          <w:b/>
          <w:i/>
          <w:color w:val="4C4C4C"/>
          <w:lang w:val="en-US" w:eastAsia="fr-FR"/>
        </w:rPr>
        <w:t>Life satisfaction</w:t>
      </w:r>
      <w:r w:rsidR="00345B73" w:rsidRPr="009B4071">
        <w:rPr>
          <w:rFonts w:ascii="Arial" w:eastAsia="Times New Roman" w:hAnsi="Arial" w:cs="Arial"/>
          <w:color w:val="4C4C4C"/>
          <w:lang w:val="en-US" w:eastAsia="fr-FR"/>
        </w:rPr>
        <w:t xml:space="preserve">: </w:t>
      </w:r>
      <w:r w:rsidR="00345B73" w:rsidRPr="009B4071">
        <w:rPr>
          <w:rFonts w:ascii="Arial" w:hAnsi="Arial" w:cs="Arial"/>
          <w:color w:val="495D8E"/>
          <w:shd w:val="clear" w:color="auto" w:fill="FFFFFF"/>
          <w:lang w:val="en-US"/>
        </w:rPr>
        <w:t xml:space="preserve">The indicator considers people's evaluation of their life as a whole. It is a weighted-sum of different response categories based on people's rates of their current life relative to the best and worst possible lives for them on a scale from </w:t>
      </w:r>
      <w:proofErr w:type="gramStart"/>
      <w:r w:rsidR="00345B73" w:rsidRPr="009B4071">
        <w:rPr>
          <w:rFonts w:ascii="Arial" w:hAnsi="Arial" w:cs="Arial"/>
          <w:color w:val="495D8E"/>
          <w:shd w:val="clear" w:color="auto" w:fill="FFFFFF"/>
          <w:lang w:val="en-US"/>
        </w:rPr>
        <w:t>0</w:t>
      </w:r>
      <w:proofErr w:type="gramEnd"/>
      <w:r w:rsidR="00345B73" w:rsidRPr="009B4071">
        <w:rPr>
          <w:rFonts w:ascii="Arial" w:hAnsi="Arial" w:cs="Arial"/>
          <w:color w:val="495D8E"/>
          <w:shd w:val="clear" w:color="auto" w:fill="FFFFFF"/>
          <w:lang w:val="en-US"/>
        </w:rPr>
        <w:t xml:space="preserve"> to 10, using the </w:t>
      </w:r>
      <w:proofErr w:type="spellStart"/>
      <w:r w:rsidR="00345B73" w:rsidRPr="009B4071">
        <w:rPr>
          <w:rFonts w:ascii="Arial" w:hAnsi="Arial" w:cs="Arial"/>
          <w:color w:val="495D8E"/>
          <w:shd w:val="clear" w:color="auto" w:fill="FFFFFF"/>
          <w:lang w:val="en-US"/>
        </w:rPr>
        <w:t>Cantril</w:t>
      </w:r>
      <w:proofErr w:type="spellEnd"/>
      <w:r w:rsidR="00345B73" w:rsidRPr="009B4071">
        <w:rPr>
          <w:rFonts w:ascii="Arial" w:hAnsi="Arial" w:cs="Arial"/>
          <w:color w:val="495D8E"/>
          <w:shd w:val="clear" w:color="auto" w:fill="FFFFFF"/>
          <w:lang w:val="en-US"/>
        </w:rPr>
        <w:t xml:space="preserve"> Ladder (known also as the "Self-Anchoring Striving Scale").</w:t>
      </w:r>
    </w:p>
    <w:p w:rsidR="00345B73" w:rsidRPr="009B4071" w:rsidRDefault="0002467C" w:rsidP="0002467C">
      <w:pPr>
        <w:numPr>
          <w:ilvl w:val="0"/>
          <w:numId w:val="1"/>
        </w:numPr>
        <w:shd w:val="clear" w:color="auto" w:fill="FFFFFF"/>
        <w:spacing w:after="170" w:line="336" w:lineRule="atLeast"/>
        <w:jc w:val="both"/>
        <w:textAlignment w:val="baseline"/>
        <w:rPr>
          <w:rFonts w:ascii="Arial" w:hAnsi="Arial" w:cs="Arial"/>
          <w:color w:val="495D8E"/>
          <w:shd w:val="clear" w:color="auto" w:fill="FFFFFF"/>
          <w:lang w:val="en-US"/>
        </w:rPr>
      </w:pPr>
      <w:r w:rsidRPr="0002467C">
        <w:rPr>
          <w:rFonts w:ascii="Arial" w:eastAsia="Times New Roman" w:hAnsi="Arial" w:cs="Arial"/>
          <w:b/>
          <w:i/>
          <w:color w:val="4C4C4C"/>
          <w:lang w:val="en-US" w:eastAsia="fr-FR"/>
        </w:rPr>
        <w:t>Time devoted to leisure and personal care</w:t>
      </w:r>
      <w:r w:rsidR="00345B73" w:rsidRPr="009B4071">
        <w:rPr>
          <w:rFonts w:ascii="Arial" w:eastAsia="Times New Roman" w:hAnsi="Arial" w:cs="Arial"/>
          <w:color w:val="4C4C4C"/>
          <w:lang w:val="en-US" w:eastAsia="fr-FR"/>
        </w:rPr>
        <w:t xml:space="preserve">: </w:t>
      </w:r>
      <w:r w:rsidR="00345B73" w:rsidRPr="009B4071">
        <w:rPr>
          <w:rFonts w:ascii="Arial" w:hAnsi="Arial" w:cs="Arial"/>
          <w:color w:val="495D8E"/>
          <w:shd w:val="clear" w:color="auto" w:fill="FFFFFF"/>
          <w:lang w:val="en-US"/>
        </w:rPr>
        <w:t xml:space="preserve">This indicator measures the amount of minutes (or hours) per day that, on average, full-time employed people spend on leisure and on personal care activities. Leisure includes a wide range of indoor and outdoor activities such as walking and hiking, sports, entertainment and cultural activities, socializing with friends and family, volunteering, taking a nap, playing games, watching television, using computers, recreational gardening, etc. Personal care activities include sleeping (but not taking a nap), eating and drinking, and other household or medical or personal services (hygiene, visits to the doctor, hairdresser, etc.) consumed by the respondent. Travel time related to personal care is also included. The information </w:t>
      </w:r>
      <w:proofErr w:type="gramStart"/>
      <w:r w:rsidR="00345B73" w:rsidRPr="009B4071">
        <w:rPr>
          <w:rFonts w:ascii="Arial" w:hAnsi="Arial" w:cs="Arial"/>
          <w:color w:val="495D8E"/>
          <w:shd w:val="clear" w:color="auto" w:fill="FFFFFF"/>
          <w:lang w:val="en-US"/>
        </w:rPr>
        <w:t>is generally collected</w:t>
      </w:r>
      <w:proofErr w:type="gramEnd"/>
      <w:r w:rsidR="00345B73" w:rsidRPr="009B4071">
        <w:rPr>
          <w:rFonts w:ascii="Arial" w:hAnsi="Arial" w:cs="Arial"/>
          <w:color w:val="495D8E"/>
          <w:shd w:val="clear" w:color="auto" w:fill="FFFFFF"/>
          <w:lang w:val="en-US"/>
        </w:rPr>
        <w:t xml:space="preserve"> through national Time Use Surveys, which involve respondents keeping a diary of their activities over one or several representative days for a given period.</w:t>
      </w:r>
    </w:p>
    <w:p w:rsidR="009B4071" w:rsidRPr="00894AF4" w:rsidRDefault="009B4071" w:rsidP="00345B73">
      <w:pPr>
        <w:rPr>
          <w:rFonts w:ascii="Arial" w:eastAsia="Times New Roman" w:hAnsi="Arial" w:cs="Arial"/>
          <w:b/>
          <w:color w:val="4C4C4C"/>
          <w:sz w:val="24"/>
          <w:szCs w:val="24"/>
          <w:lang w:val="en-US" w:eastAsia="fr-FR"/>
        </w:rPr>
      </w:pPr>
    </w:p>
    <w:p w:rsidR="009B4071" w:rsidRDefault="009B4071" w:rsidP="00345B73">
      <w:pPr>
        <w:rPr>
          <w:rFonts w:ascii="Arial" w:eastAsia="Times New Roman" w:hAnsi="Arial" w:cs="Arial"/>
          <w:b/>
          <w:color w:val="4C4C4C"/>
          <w:sz w:val="24"/>
          <w:szCs w:val="24"/>
          <w:lang w:val="en-US" w:eastAsia="fr-FR"/>
        </w:rPr>
      </w:pPr>
    </w:p>
    <w:p w:rsidR="0002467C" w:rsidRPr="00894AF4" w:rsidRDefault="0002467C" w:rsidP="00345B73">
      <w:pPr>
        <w:rPr>
          <w:rFonts w:ascii="Arial" w:eastAsia="Times New Roman" w:hAnsi="Arial" w:cs="Arial"/>
          <w:b/>
          <w:color w:val="4C4C4C"/>
          <w:sz w:val="24"/>
          <w:szCs w:val="24"/>
          <w:lang w:val="en-US" w:eastAsia="fr-FR"/>
        </w:rPr>
      </w:pPr>
    </w:p>
    <w:p w:rsidR="00345B73" w:rsidRPr="00345B73" w:rsidRDefault="0002467C" w:rsidP="00345B73">
      <w:pPr>
        <w:rPr>
          <w:rFonts w:ascii="Arial" w:eastAsia="Times New Roman" w:hAnsi="Arial" w:cs="Arial"/>
          <w:b/>
          <w:color w:val="4C4C4C"/>
          <w:sz w:val="24"/>
          <w:szCs w:val="24"/>
          <w:lang w:eastAsia="fr-FR"/>
        </w:rPr>
      </w:pPr>
      <w:proofErr w:type="spellStart"/>
      <w:r w:rsidRPr="0002467C">
        <w:rPr>
          <w:rFonts w:ascii="Arial" w:eastAsia="Times New Roman" w:hAnsi="Arial" w:cs="Arial"/>
          <w:b/>
          <w:color w:val="4C4C4C"/>
          <w:sz w:val="24"/>
          <w:szCs w:val="24"/>
          <w:lang w:eastAsia="fr-FR"/>
        </w:rPr>
        <w:lastRenderedPageBreak/>
        <w:t>Health</w:t>
      </w:r>
      <w:proofErr w:type="spellEnd"/>
      <w:r w:rsidRPr="0002467C">
        <w:rPr>
          <w:rFonts w:ascii="Arial" w:eastAsia="Times New Roman" w:hAnsi="Arial" w:cs="Arial"/>
          <w:b/>
          <w:color w:val="4C4C4C"/>
          <w:sz w:val="24"/>
          <w:szCs w:val="24"/>
          <w:lang w:eastAsia="fr-FR"/>
        </w:rPr>
        <w:t xml:space="preserve"> and </w:t>
      </w:r>
      <w:proofErr w:type="spellStart"/>
      <w:r w:rsidRPr="0002467C">
        <w:rPr>
          <w:rFonts w:ascii="Arial" w:eastAsia="Times New Roman" w:hAnsi="Arial" w:cs="Arial"/>
          <w:b/>
          <w:color w:val="4C4C4C"/>
          <w:sz w:val="24"/>
          <w:szCs w:val="24"/>
          <w:lang w:eastAsia="fr-FR"/>
        </w:rPr>
        <w:t>safety</w:t>
      </w:r>
      <w:proofErr w:type="spellEnd"/>
    </w:p>
    <w:p w:rsidR="00345B73" w:rsidRPr="009B4071" w:rsidRDefault="0002467C" w:rsidP="0002467C">
      <w:pPr>
        <w:numPr>
          <w:ilvl w:val="0"/>
          <w:numId w:val="1"/>
        </w:numPr>
        <w:shd w:val="clear" w:color="auto" w:fill="FFFFFF"/>
        <w:spacing w:after="170" w:line="336" w:lineRule="atLeast"/>
        <w:jc w:val="both"/>
        <w:textAlignment w:val="baseline"/>
        <w:rPr>
          <w:rFonts w:ascii="Arial" w:hAnsi="Arial" w:cs="Arial"/>
          <w:color w:val="495D8E"/>
          <w:shd w:val="clear" w:color="auto" w:fill="FFFFFF"/>
          <w:lang w:val="en-US"/>
        </w:rPr>
      </w:pPr>
      <w:r w:rsidRPr="0002467C">
        <w:rPr>
          <w:rFonts w:ascii="Arial" w:eastAsia="Times New Roman" w:hAnsi="Arial" w:cs="Arial"/>
          <w:b/>
          <w:i/>
          <w:color w:val="4C4C4C"/>
          <w:lang w:val="en-US" w:eastAsia="fr-FR"/>
        </w:rPr>
        <w:t>Air pollution</w:t>
      </w:r>
      <w:r w:rsidR="00345B73" w:rsidRPr="009B4071">
        <w:rPr>
          <w:rFonts w:ascii="Arial" w:eastAsia="Times New Roman" w:hAnsi="Arial" w:cs="Arial"/>
          <w:color w:val="4C4C4C"/>
          <w:lang w:val="en-US" w:eastAsia="fr-FR"/>
        </w:rPr>
        <w:t xml:space="preserve">: </w:t>
      </w:r>
      <w:r w:rsidR="00345B73" w:rsidRPr="009B4071">
        <w:rPr>
          <w:rFonts w:ascii="Arial" w:hAnsi="Arial" w:cs="Arial"/>
          <w:color w:val="495D8E"/>
          <w:shd w:val="clear" w:color="auto" w:fill="FFFFFF"/>
          <w:lang w:val="en-US"/>
        </w:rPr>
        <w:t>The indicator is urban-population weighted average of annual concentrations of particulate matters less than 10 microns in diameter (PM10) in the air in residential areas of cities with more than 100,000 residents.</w:t>
      </w:r>
    </w:p>
    <w:p w:rsidR="00345B73" w:rsidRPr="009B4071" w:rsidRDefault="0002467C" w:rsidP="0002467C">
      <w:pPr>
        <w:numPr>
          <w:ilvl w:val="0"/>
          <w:numId w:val="1"/>
        </w:numPr>
        <w:shd w:val="clear" w:color="auto" w:fill="FFFFFF"/>
        <w:spacing w:after="170" w:line="336" w:lineRule="atLeast"/>
        <w:jc w:val="both"/>
        <w:textAlignment w:val="baseline"/>
        <w:rPr>
          <w:rFonts w:ascii="Arial" w:hAnsi="Arial" w:cs="Arial"/>
          <w:color w:val="495D8E"/>
          <w:shd w:val="clear" w:color="auto" w:fill="FFFFFF"/>
          <w:lang w:val="en-US"/>
        </w:rPr>
      </w:pPr>
      <w:r w:rsidRPr="0002467C">
        <w:rPr>
          <w:rFonts w:ascii="Arial" w:eastAsia="Times New Roman" w:hAnsi="Arial" w:cs="Arial"/>
          <w:b/>
          <w:i/>
          <w:color w:val="4C4C4C"/>
          <w:lang w:val="en-US" w:eastAsia="fr-FR"/>
        </w:rPr>
        <w:t>Water quality</w:t>
      </w:r>
      <w:r w:rsidR="00345B73" w:rsidRPr="009B4071">
        <w:rPr>
          <w:rFonts w:ascii="Arial" w:hAnsi="Arial" w:cs="Arial"/>
          <w:color w:val="495D8E"/>
          <w:shd w:val="clear" w:color="auto" w:fill="FFFFFF"/>
          <w:lang w:val="en-US"/>
        </w:rPr>
        <w:t xml:space="preserve">: The indicator captures people's subjective appreciation of the environment where they live, in particular the quality of the water. It </w:t>
      </w:r>
      <w:proofErr w:type="gramStart"/>
      <w:r w:rsidR="00345B73" w:rsidRPr="009B4071">
        <w:rPr>
          <w:rFonts w:ascii="Arial" w:hAnsi="Arial" w:cs="Arial"/>
          <w:color w:val="495D8E"/>
          <w:shd w:val="clear" w:color="auto" w:fill="FFFFFF"/>
          <w:lang w:val="en-US"/>
        </w:rPr>
        <w:t>is based</w:t>
      </w:r>
      <w:proofErr w:type="gramEnd"/>
      <w:r w:rsidR="00345B73" w:rsidRPr="009B4071">
        <w:rPr>
          <w:rFonts w:ascii="Arial" w:hAnsi="Arial" w:cs="Arial"/>
          <w:color w:val="495D8E"/>
          <w:shd w:val="clear" w:color="auto" w:fill="FFFFFF"/>
          <w:lang w:val="en-US"/>
        </w:rPr>
        <w:t xml:space="preserve"> on the question: "In the city or area where you live, are you satisfied or dissatisfied with the quality of water?" and it considers people who responded they are satisfied.</w:t>
      </w:r>
    </w:p>
    <w:p w:rsidR="00345B73" w:rsidRPr="009B4071" w:rsidRDefault="0002467C" w:rsidP="0002467C">
      <w:pPr>
        <w:numPr>
          <w:ilvl w:val="0"/>
          <w:numId w:val="1"/>
        </w:numPr>
        <w:shd w:val="clear" w:color="auto" w:fill="FFFFFF"/>
        <w:spacing w:after="170" w:line="336" w:lineRule="atLeast"/>
        <w:jc w:val="both"/>
        <w:textAlignment w:val="baseline"/>
        <w:rPr>
          <w:rFonts w:ascii="Arial" w:hAnsi="Arial" w:cs="Arial"/>
          <w:color w:val="495D8E"/>
          <w:shd w:val="clear" w:color="auto" w:fill="FFFFFF"/>
          <w:lang w:val="en-US"/>
        </w:rPr>
      </w:pPr>
      <w:r w:rsidRPr="0002467C">
        <w:rPr>
          <w:rFonts w:ascii="Arial" w:eastAsia="Times New Roman" w:hAnsi="Arial" w:cs="Arial"/>
          <w:b/>
          <w:i/>
          <w:color w:val="4C4C4C"/>
          <w:lang w:val="en-US" w:eastAsia="fr-FR"/>
        </w:rPr>
        <w:t>Life expectancy</w:t>
      </w:r>
      <w:r w:rsidR="00345B73" w:rsidRPr="009B4071">
        <w:rPr>
          <w:rFonts w:ascii="Arial" w:eastAsia="Times New Roman" w:hAnsi="Arial" w:cs="Arial"/>
          <w:color w:val="4C4C4C"/>
          <w:lang w:val="en-US" w:eastAsia="fr-FR"/>
        </w:rPr>
        <w:t xml:space="preserve">: </w:t>
      </w:r>
      <w:r w:rsidR="00345B73" w:rsidRPr="009B4071">
        <w:rPr>
          <w:rFonts w:ascii="Arial" w:hAnsi="Arial" w:cs="Arial"/>
          <w:color w:val="495D8E"/>
          <w:shd w:val="clear" w:color="auto" w:fill="FFFFFF"/>
          <w:lang w:val="en-US"/>
        </w:rPr>
        <w:t>Life expectancy measures how long on average people could expect to live based on the age-specific death rates currently prevailing. This measure refers to people born today and is computed as a weighted average of life expectancy for men and women.</w:t>
      </w:r>
    </w:p>
    <w:p w:rsidR="00345B73" w:rsidRPr="009B4071" w:rsidRDefault="0002467C" w:rsidP="0002467C">
      <w:pPr>
        <w:numPr>
          <w:ilvl w:val="0"/>
          <w:numId w:val="1"/>
        </w:numPr>
        <w:shd w:val="clear" w:color="auto" w:fill="FFFFFF"/>
        <w:spacing w:after="170" w:line="336" w:lineRule="atLeast"/>
        <w:jc w:val="both"/>
        <w:textAlignment w:val="baseline"/>
        <w:rPr>
          <w:rFonts w:ascii="Arial" w:hAnsi="Arial" w:cs="Arial"/>
          <w:color w:val="495D8E"/>
          <w:shd w:val="clear" w:color="auto" w:fill="FFFFFF"/>
          <w:lang w:val="en-US"/>
        </w:rPr>
      </w:pPr>
      <w:r w:rsidRPr="0002467C">
        <w:rPr>
          <w:rFonts w:ascii="Arial" w:eastAsia="Times New Roman" w:hAnsi="Arial" w:cs="Arial"/>
          <w:b/>
          <w:i/>
          <w:color w:val="4C4C4C"/>
          <w:lang w:val="en-US" w:eastAsia="fr-FR"/>
        </w:rPr>
        <w:t>Self-reported health</w:t>
      </w:r>
      <w:r w:rsidR="00345B73" w:rsidRPr="009B4071">
        <w:rPr>
          <w:rFonts w:ascii="Arial" w:eastAsia="Times New Roman" w:hAnsi="Arial" w:cs="Arial"/>
          <w:color w:val="4C4C4C"/>
          <w:lang w:val="en-US" w:eastAsia="fr-FR"/>
        </w:rPr>
        <w:t xml:space="preserve">: </w:t>
      </w:r>
      <w:r w:rsidR="00345B73" w:rsidRPr="009B4071">
        <w:rPr>
          <w:rFonts w:ascii="Arial" w:hAnsi="Arial" w:cs="Arial"/>
          <w:color w:val="495D8E"/>
          <w:shd w:val="clear" w:color="auto" w:fill="FFFFFF"/>
          <w:lang w:val="en-US"/>
        </w:rPr>
        <w:t>This indicator refers to the percentage of the population aged 15 years old and over who report “good” or better health. The WHO recommends using a standard health interview survey to measure it, phrasing the question as “How is your health in general?” with response scale “It is very good/ good/ fair/ bad/ very bad”.</w:t>
      </w:r>
    </w:p>
    <w:p w:rsidR="00345B73" w:rsidRPr="009B4071" w:rsidRDefault="0002467C" w:rsidP="0002467C">
      <w:pPr>
        <w:numPr>
          <w:ilvl w:val="0"/>
          <w:numId w:val="1"/>
        </w:numPr>
        <w:shd w:val="clear" w:color="auto" w:fill="FFFFFF"/>
        <w:spacing w:after="170" w:line="336" w:lineRule="atLeast"/>
        <w:jc w:val="both"/>
        <w:textAlignment w:val="baseline"/>
        <w:rPr>
          <w:rFonts w:ascii="Arial" w:hAnsi="Arial" w:cs="Arial"/>
          <w:color w:val="495D8E"/>
          <w:shd w:val="clear" w:color="auto" w:fill="FFFFFF"/>
          <w:lang w:val="en-US"/>
        </w:rPr>
      </w:pPr>
      <w:r w:rsidRPr="0002467C">
        <w:rPr>
          <w:rFonts w:ascii="Arial" w:eastAsia="Times New Roman" w:hAnsi="Arial" w:cs="Arial"/>
          <w:b/>
          <w:i/>
          <w:color w:val="4C4C4C"/>
          <w:lang w:val="en-US" w:eastAsia="fr-FR"/>
        </w:rPr>
        <w:t>Assault rate</w:t>
      </w:r>
      <w:r w:rsidR="00345B73" w:rsidRPr="009B4071">
        <w:rPr>
          <w:rFonts w:ascii="Arial" w:eastAsia="Times New Roman" w:hAnsi="Arial" w:cs="Arial"/>
          <w:color w:val="4C4C4C"/>
          <w:lang w:val="en-US" w:eastAsia="fr-FR"/>
        </w:rPr>
        <w:t xml:space="preserve">: </w:t>
      </w:r>
      <w:r w:rsidR="00345B73" w:rsidRPr="009B4071">
        <w:rPr>
          <w:rFonts w:ascii="Arial" w:hAnsi="Arial" w:cs="Arial"/>
          <w:color w:val="495D8E"/>
          <w:shd w:val="clear" w:color="auto" w:fill="FFFFFF"/>
          <w:lang w:val="en-US"/>
        </w:rPr>
        <w:t xml:space="preserve">The indicator </w:t>
      </w:r>
      <w:proofErr w:type="gramStart"/>
      <w:r w:rsidR="00345B73" w:rsidRPr="009B4071">
        <w:rPr>
          <w:rFonts w:ascii="Arial" w:hAnsi="Arial" w:cs="Arial"/>
          <w:color w:val="495D8E"/>
          <w:shd w:val="clear" w:color="auto" w:fill="FFFFFF"/>
          <w:lang w:val="en-US"/>
        </w:rPr>
        <w:t>is based</w:t>
      </w:r>
      <w:proofErr w:type="gramEnd"/>
      <w:r w:rsidR="00345B73" w:rsidRPr="009B4071">
        <w:rPr>
          <w:rFonts w:ascii="Arial" w:hAnsi="Arial" w:cs="Arial"/>
          <w:color w:val="495D8E"/>
          <w:shd w:val="clear" w:color="auto" w:fill="FFFFFF"/>
          <w:lang w:val="en-US"/>
        </w:rPr>
        <w:t xml:space="preserve"> on the question: "Within the past 12 months: have you been assaulted or mugged?" and it considers people declaring having been assaulted or mugged.</w:t>
      </w:r>
    </w:p>
    <w:p w:rsidR="00345B73" w:rsidRPr="00345B73" w:rsidRDefault="0002467C" w:rsidP="0002467C">
      <w:pPr>
        <w:numPr>
          <w:ilvl w:val="0"/>
          <w:numId w:val="1"/>
        </w:numPr>
        <w:shd w:val="clear" w:color="auto" w:fill="FFFFFF"/>
        <w:spacing w:after="170" w:line="336" w:lineRule="atLeast"/>
        <w:jc w:val="both"/>
        <w:textAlignment w:val="baseline"/>
        <w:rPr>
          <w:rFonts w:ascii="Arial" w:hAnsi="Arial" w:cs="Arial"/>
          <w:color w:val="495D8E"/>
          <w:shd w:val="clear" w:color="auto" w:fill="FFFFFF"/>
          <w:lang w:val="en-US"/>
        </w:rPr>
      </w:pPr>
      <w:r w:rsidRPr="0002467C">
        <w:rPr>
          <w:rFonts w:ascii="Arial" w:eastAsia="Times New Roman" w:hAnsi="Arial" w:cs="Arial"/>
          <w:b/>
          <w:i/>
          <w:color w:val="4C4C4C"/>
          <w:lang w:val="en-US" w:eastAsia="fr-FR"/>
        </w:rPr>
        <w:t>Homicide rate</w:t>
      </w:r>
      <w:r w:rsidR="00345B73" w:rsidRPr="0002467C">
        <w:rPr>
          <w:rFonts w:ascii="Arial" w:eastAsia="Times New Roman" w:hAnsi="Arial" w:cs="Arial"/>
          <w:color w:val="4C4C4C"/>
          <w:lang w:val="en-US" w:eastAsia="fr-FR"/>
        </w:rPr>
        <w:t xml:space="preserve">: </w:t>
      </w:r>
      <w:r w:rsidR="00345B73" w:rsidRPr="009B4071">
        <w:rPr>
          <w:rFonts w:ascii="Arial" w:hAnsi="Arial" w:cs="Arial"/>
          <w:color w:val="495D8E"/>
          <w:shd w:val="clear" w:color="auto" w:fill="FFFFFF"/>
          <w:lang w:val="en-US"/>
        </w:rPr>
        <w:t>Deaths due to assault</w:t>
      </w:r>
    </w:p>
    <w:p w:rsidR="00345B73" w:rsidRPr="009B4071" w:rsidRDefault="0002467C" w:rsidP="009B4071">
      <w:pPr>
        <w:jc w:val="both"/>
        <w:rPr>
          <w:rFonts w:ascii="Arial" w:eastAsia="Times New Roman" w:hAnsi="Arial" w:cs="Arial"/>
          <w:b/>
          <w:color w:val="4C4C4C"/>
          <w:lang w:eastAsia="fr-FR"/>
        </w:rPr>
      </w:pPr>
      <w:r w:rsidRPr="0002467C">
        <w:rPr>
          <w:rFonts w:ascii="Arial" w:eastAsia="Times New Roman" w:hAnsi="Arial" w:cs="Arial"/>
          <w:b/>
          <w:color w:val="4C4C4C"/>
          <w:lang w:eastAsia="fr-FR"/>
        </w:rPr>
        <w:t>Education</w:t>
      </w:r>
    </w:p>
    <w:p w:rsidR="00345B73" w:rsidRPr="009B4071" w:rsidRDefault="0002467C" w:rsidP="0002467C">
      <w:pPr>
        <w:numPr>
          <w:ilvl w:val="0"/>
          <w:numId w:val="1"/>
        </w:numPr>
        <w:shd w:val="clear" w:color="auto" w:fill="FFFFFF"/>
        <w:spacing w:after="170" w:line="336" w:lineRule="atLeast"/>
        <w:jc w:val="both"/>
        <w:textAlignment w:val="baseline"/>
        <w:rPr>
          <w:rFonts w:ascii="Arial" w:eastAsia="Times New Roman" w:hAnsi="Arial" w:cs="Arial"/>
          <w:color w:val="4C4C4C"/>
          <w:lang w:val="en-US" w:eastAsia="fr-FR"/>
        </w:rPr>
      </w:pPr>
      <w:r w:rsidRPr="0002467C">
        <w:rPr>
          <w:rFonts w:ascii="Arial" w:eastAsia="Times New Roman" w:hAnsi="Arial" w:cs="Arial"/>
          <w:b/>
          <w:i/>
          <w:color w:val="4C4C4C"/>
          <w:lang w:val="en-US" w:eastAsia="fr-FR"/>
        </w:rPr>
        <w:t>Educational attainment</w:t>
      </w:r>
      <w:r w:rsidR="00345B73" w:rsidRPr="009B4071">
        <w:rPr>
          <w:rFonts w:ascii="Arial" w:eastAsia="Times New Roman" w:hAnsi="Arial" w:cs="Arial"/>
          <w:color w:val="4C4C4C"/>
          <w:lang w:val="en-US" w:eastAsia="fr-FR"/>
        </w:rPr>
        <w:t xml:space="preserve">: </w:t>
      </w:r>
      <w:r w:rsidR="00345B73" w:rsidRPr="009B4071">
        <w:rPr>
          <w:rFonts w:ascii="Arial" w:hAnsi="Arial" w:cs="Arial"/>
          <w:color w:val="495D8E"/>
          <w:shd w:val="clear" w:color="auto" w:fill="FFFFFF"/>
          <w:lang w:val="en-US"/>
        </w:rPr>
        <w:t>Educational attainment considers the number of adults aged 25 to 64 holding at least an upper secondary degree over the population of the same age, as defined by the OECD-ISCED classification.</w:t>
      </w:r>
    </w:p>
    <w:p w:rsidR="00345B73" w:rsidRPr="009B4071" w:rsidRDefault="0002467C" w:rsidP="0002467C">
      <w:pPr>
        <w:numPr>
          <w:ilvl w:val="0"/>
          <w:numId w:val="1"/>
        </w:numPr>
        <w:shd w:val="clear" w:color="auto" w:fill="FFFFFF"/>
        <w:spacing w:after="170" w:line="336" w:lineRule="atLeast"/>
        <w:jc w:val="both"/>
        <w:textAlignment w:val="baseline"/>
        <w:rPr>
          <w:rFonts w:ascii="Arial" w:eastAsia="Times New Roman" w:hAnsi="Arial" w:cs="Arial"/>
          <w:color w:val="4C4C4C"/>
          <w:lang w:val="en-US" w:eastAsia="fr-FR"/>
        </w:rPr>
      </w:pPr>
      <w:r w:rsidRPr="0002467C">
        <w:rPr>
          <w:rFonts w:ascii="Arial" w:eastAsia="Times New Roman" w:hAnsi="Arial" w:cs="Arial"/>
          <w:b/>
          <w:i/>
          <w:color w:val="4C4C4C"/>
          <w:lang w:val="en-US" w:eastAsia="fr-FR"/>
        </w:rPr>
        <w:t>Student skills</w:t>
      </w:r>
      <w:r w:rsidR="00345B73" w:rsidRPr="009B4071">
        <w:rPr>
          <w:rFonts w:ascii="Arial" w:eastAsia="Times New Roman" w:hAnsi="Arial" w:cs="Arial"/>
          <w:color w:val="4C4C4C"/>
          <w:lang w:val="en-US" w:eastAsia="fr-FR"/>
        </w:rPr>
        <w:t xml:space="preserve">: </w:t>
      </w:r>
      <w:r w:rsidR="00345B73" w:rsidRPr="009B4071">
        <w:rPr>
          <w:rFonts w:ascii="Arial" w:hAnsi="Arial" w:cs="Arial"/>
          <w:color w:val="495D8E"/>
          <w:shd w:val="clear" w:color="auto" w:fill="FFFFFF"/>
          <w:lang w:val="en-US"/>
        </w:rPr>
        <w:t xml:space="preserve">Students’ average score in reading, mathematics and science as assessed by the OECD’s </w:t>
      </w:r>
      <w:proofErr w:type="spellStart"/>
      <w:r w:rsidR="00345B73" w:rsidRPr="009B4071">
        <w:rPr>
          <w:rFonts w:ascii="Arial" w:hAnsi="Arial" w:cs="Arial"/>
          <w:color w:val="495D8E"/>
          <w:shd w:val="clear" w:color="auto" w:fill="FFFFFF"/>
          <w:lang w:val="en-US"/>
        </w:rPr>
        <w:t>Programme</w:t>
      </w:r>
      <w:proofErr w:type="spellEnd"/>
      <w:r w:rsidR="00345B73" w:rsidRPr="009B4071">
        <w:rPr>
          <w:rFonts w:ascii="Arial" w:hAnsi="Arial" w:cs="Arial"/>
          <w:color w:val="495D8E"/>
          <w:shd w:val="clear" w:color="auto" w:fill="FFFFFF"/>
          <w:lang w:val="en-US"/>
        </w:rPr>
        <w:t xml:space="preserve"> for International Student Assessment (PISA)</w:t>
      </w:r>
    </w:p>
    <w:p w:rsidR="00345B73" w:rsidRPr="009B4071" w:rsidRDefault="0002467C" w:rsidP="0002467C">
      <w:pPr>
        <w:numPr>
          <w:ilvl w:val="0"/>
          <w:numId w:val="1"/>
        </w:numPr>
        <w:shd w:val="clear" w:color="auto" w:fill="FFFFFF"/>
        <w:spacing w:after="170" w:line="336" w:lineRule="atLeast"/>
        <w:jc w:val="both"/>
        <w:textAlignment w:val="baseline"/>
        <w:rPr>
          <w:rFonts w:ascii="Arial" w:hAnsi="Arial" w:cs="Arial"/>
          <w:lang w:val="en-US"/>
        </w:rPr>
      </w:pPr>
      <w:r w:rsidRPr="0002467C">
        <w:rPr>
          <w:rFonts w:ascii="Arial" w:eastAsia="Times New Roman" w:hAnsi="Arial" w:cs="Arial"/>
          <w:b/>
          <w:i/>
          <w:color w:val="4C4C4C"/>
          <w:lang w:val="en-US" w:eastAsia="fr-FR"/>
        </w:rPr>
        <w:t>Years in education</w:t>
      </w:r>
      <w:r w:rsidR="00345B73" w:rsidRPr="009B4071">
        <w:rPr>
          <w:rFonts w:ascii="Arial" w:eastAsia="Times New Roman" w:hAnsi="Arial" w:cs="Arial"/>
          <w:color w:val="4C4C4C"/>
          <w:lang w:val="en-US" w:eastAsia="fr-FR"/>
        </w:rPr>
        <w:t xml:space="preserve">: </w:t>
      </w:r>
      <w:r w:rsidR="00345B73" w:rsidRPr="009B4071">
        <w:rPr>
          <w:rFonts w:ascii="Arial" w:hAnsi="Arial" w:cs="Arial"/>
          <w:color w:val="495D8E"/>
          <w:shd w:val="clear" w:color="auto" w:fill="FFFFFF"/>
          <w:lang w:val="en-US"/>
        </w:rPr>
        <w:t xml:space="preserve">This indicator is the average duration of education in which a </w:t>
      </w:r>
      <w:proofErr w:type="gramStart"/>
      <w:r w:rsidR="00345B73" w:rsidRPr="009B4071">
        <w:rPr>
          <w:rFonts w:ascii="Arial" w:hAnsi="Arial" w:cs="Arial"/>
          <w:color w:val="495D8E"/>
          <w:shd w:val="clear" w:color="auto" w:fill="FFFFFF"/>
          <w:lang w:val="en-US"/>
        </w:rPr>
        <w:t>5 year old</w:t>
      </w:r>
      <w:proofErr w:type="gramEnd"/>
      <w:r w:rsidR="00345B73" w:rsidRPr="009B4071">
        <w:rPr>
          <w:rFonts w:ascii="Arial" w:hAnsi="Arial" w:cs="Arial"/>
          <w:color w:val="495D8E"/>
          <w:shd w:val="clear" w:color="auto" w:fill="FFFFFF"/>
          <w:lang w:val="en-US"/>
        </w:rPr>
        <w:t xml:space="preserve"> child can expect to </w:t>
      </w:r>
      <w:proofErr w:type="spellStart"/>
      <w:r w:rsidR="00345B73" w:rsidRPr="009B4071">
        <w:rPr>
          <w:rFonts w:ascii="Arial" w:hAnsi="Arial" w:cs="Arial"/>
          <w:color w:val="495D8E"/>
          <w:shd w:val="clear" w:color="auto" w:fill="FFFFFF"/>
          <w:lang w:val="en-US"/>
        </w:rPr>
        <w:t>enrol</w:t>
      </w:r>
      <w:proofErr w:type="spellEnd"/>
      <w:r w:rsidR="00345B73" w:rsidRPr="009B4071">
        <w:rPr>
          <w:rFonts w:ascii="Arial" w:hAnsi="Arial" w:cs="Arial"/>
          <w:color w:val="495D8E"/>
          <w:shd w:val="clear" w:color="auto" w:fill="FFFFFF"/>
          <w:lang w:val="en-US"/>
        </w:rPr>
        <w:t xml:space="preserve"> during his/her lifetime until the age of 39. It is calculated under the current enrolment conditions by adding the net enrolment rates for each single year of age from the age of five onwards.</w:t>
      </w:r>
    </w:p>
    <w:sectPr w:rsidR="00345B73" w:rsidRPr="009B4071" w:rsidSect="009B4071">
      <w:pgSz w:w="11906" w:h="16838"/>
      <w:pgMar w:top="1021" w:right="794" w:bottom="1418" w:left="6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40A8B"/>
    <w:multiLevelType w:val="multilevel"/>
    <w:tmpl w:val="4398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B73"/>
    <w:rsid w:val="0002467C"/>
    <w:rsid w:val="00293CE3"/>
    <w:rsid w:val="00345B73"/>
    <w:rsid w:val="00894AF4"/>
    <w:rsid w:val="009B40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1F251"/>
  <w15:docId w15:val="{37C6646D-052F-446A-83A9-D2080222C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CE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97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1229</Words>
  <Characters>6762</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husson</dc:creator>
  <cp:lastModifiedBy>husson</cp:lastModifiedBy>
  <cp:revision>3</cp:revision>
  <dcterms:created xsi:type="dcterms:W3CDTF">2017-05-31T09:13:00Z</dcterms:created>
  <dcterms:modified xsi:type="dcterms:W3CDTF">2017-05-31T09:18:00Z</dcterms:modified>
</cp:coreProperties>
</file>