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685" w:lineRule="exact"/>
        <w:ind w:left="2"/>
        <w:rPr>
          <w:rFonts w:ascii="宋体" w:hAnsi="宋体" w:eastAsia="宋体" w:cs="宋体"/>
          <w:color w:val="auto"/>
          <w:sz w:val="60"/>
          <w:szCs w:val="60"/>
        </w:rPr>
      </w:pPr>
      <w:r>
        <w:rPr>
          <w:rFonts w:ascii="宋体" w:hAnsi="宋体" w:eastAsia="宋体" w:cs="宋体"/>
          <w:color w:val="auto"/>
          <w:sz w:val="60"/>
          <w:szCs w:val="60"/>
        </w:rPr>
        <w:t>我国化合物半导体产业状况分析</w:t>
      </w:r>
    </w:p>
    <w:p>
      <w:pPr>
        <w:spacing w:after="0" w:line="685" w:lineRule="exact"/>
        <w:ind w:firstLine="2860" w:firstLineChars="1300"/>
        <w:rPr>
          <w:rFonts w:hint="eastAsia"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髙余敬       15140120059</w:t>
      </w:r>
    </w:p>
    <w:p>
      <w:pPr>
        <w:spacing w:after="0" w:line="114" w:lineRule="exact"/>
        <w:rPr>
          <w:color w:val="auto"/>
          <w:sz w:val="24"/>
          <w:szCs w:val="24"/>
        </w:rPr>
      </w:pPr>
    </w:p>
    <w:p>
      <w:pPr>
        <w:spacing w:after="0" w:line="272" w:lineRule="exact"/>
        <w:ind w:left="2"/>
        <w:jc w:val="both"/>
        <w:rPr>
          <w:color w:val="000000" w:themeColor="text1"/>
          <w:sz w:val="20"/>
          <w:szCs w:val="20"/>
          <w14:textFill>
            <w14:solidFill>
              <w14:schemeClr w14:val="tx1"/>
            </w14:solidFill>
          </w14:textFill>
        </w:rPr>
      </w:pPr>
      <w:r>
        <w:rPr>
          <w:rFonts w:ascii="宋体" w:hAnsi="宋体" w:eastAsia="宋体" w:cs="宋体"/>
          <w:color w:val="000000" w:themeColor="text1"/>
          <w:sz w:val="22"/>
          <w:szCs w:val="22"/>
          <w14:textFill>
            <w14:solidFill>
              <w14:schemeClr w14:val="tx1"/>
            </w14:solidFill>
          </w14:textFill>
        </w:rPr>
        <w:t>摘要：集成电路高速发展，为产业发展提供技术支撑。我国集成电路正处于大发展时期，可为化合物半导体产业提供先进技术支撑。相对于硅材料，化合物半导体性能更加优异，制作出的器件相对于硅器件具有更优异的电性能。国产化替代需求为化合物半导体产业发展提供了巨大市场。</w:t>
      </w:r>
    </w:p>
    <w:p>
      <w:pPr>
        <w:spacing w:after="0" w:line="295" w:lineRule="exact"/>
        <w:rPr>
          <w:color w:val="000000" w:themeColor="text1"/>
          <w:sz w:val="24"/>
          <w:szCs w:val="24"/>
          <w14:textFill>
            <w14:solidFill>
              <w14:schemeClr w14:val="tx1"/>
            </w14:solidFill>
          </w14:textFill>
        </w:rPr>
      </w:pPr>
    </w:p>
    <w:p>
      <w:pPr>
        <w:spacing w:after="0" w:line="267" w:lineRule="exact"/>
        <w:ind w:left="2"/>
        <w:rPr>
          <w:color w:val="000000" w:themeColor="text1"/>
          <w:sz w:val="20"/>
          <w:szCs w:val="20"/>
          <w14:textFill>
            <w14:solidFill>
              <w14:schemeClr w14:val="tx1"/>
            </w14:solidFill>
          </w14:textFill>
        </w:rPr>
      </w:pPr>
      <w:r>
        <w:rPr>
          <w:rFonts w:ascii="宋体" w:hAnsi="宋体" w:eastAsia="宋体" w:cs="宋体"/>
          <w:color w:val="000000" w:themeColor="text1"/>
          <w:sz w:val="22"/>
          <w:szCs w:val="22"/>
          <w14:textFill>
            <w14:solidFill>
              <w14:schemeClr w14:val="tx1"/>
            </w14:solidFill>
          </w14:textFill>
        </w:rPr>
        <w:t>关键词：化合物半导体</w:t>
      </w:r>
      <w:r>
        <w:rPr>
          <w:rFonts w:ascii="Arial" w:hAnsi="Arial" w:eastAsia="Arial" w:cs="Arial"/>
          <w:color w:val="000000" w:themeColor="text1"/>
          <w:sz w:val="22"/>
          <w:szCs w:val="22"/>
          <w14:textFill>
            <w14:solidFill>
              <w14:schemeClr w14:val="tx1"/>
            </w14:solidFill>
          </w14:textFill>
        </w:rPr>
        <w:t>; Ga As</w:t>
      </w:r>
      <w:r>
        <w:rPr>
          <w:rFonts w:ascii="宋体" w:hAnsi="宋体" w:eastAsia="宋体" w:cs="宋体"/>
          <w:color w:val="000000" w:themeColor="text1"/>
          <w:sz w:val="22"/>
          <w:szCs w:val="22"/>
          <w14:textFill>
            <w14:solidFill>
              <w14:schemeClr w14:val="tx1"/>
            </w14:solidFill>
          </w14:textFill>
        </w:rPr>
        <w:t>；</w:t>
      </w:r>
      <w:r>
        <w:rPr>
          <w:rFonts w:ascii="Arial" w:hAnsi="Arial" w:eastAsia="Arial" w:cs="Arial"/>
          <w:color w:val="000000" w:themeColor="text1"/>
          <w:sz w:val="22"/>
          <w:szCs w:val="22"/>
          <w14:textFill>
            <w14:solidFill>
              <w14:schemeClr w14:val="tx1"/>
            </w14:solidFill>
          </w14:textFill>
        </w:rPr>
        <w:t>Ga N</w:t>
      </w:r>
      <w:r>
        <w:rPr>
          <w:rFonts w:ascii="宋体" w:hAnsi="宋体" w:eastAsia="宋体" w:cs="宋体"/>
          <w:color w:val="000000" w:themeColor="text1"/>
          <w:sz w:val="22"/>
          <w:szCs w:val="22"/>
          <w14:textFill>
            <w14:solidFill>
              <w14:schemeClr w14:val="tx1"/>
            </w14:solidFill>
          </w14:textFill>
        </w:rPr>
        <w:t>；</w:t>
      </w:r>
      <w:r>
        <w:rPr>
          <w:rFonts w:ascii="Arial" w:hAnsi="Arial" w:eastAsia="Arial" w:cs="Arial"/>
          <w:color w:val="000000" w:themeColor="text1"/>
          <w:sz w:val="22"/>
          <w:szCs w:val="22"/>
          <w14:textFill>
            <w14:solidFill>
              <w14:schemeClr w14:val="tx1"/>
            </w14:solidFill>
          </w14:textFill>
        </w:rPr>
        <w:t>Si C</w:t>
      </w:r>
    </w:p>
    <w:p>
      <w:pPr>
        <w:spacing w:after="0" w:line="13" w:lineRule="exact"/>
        <w:rPr>
          <w:color w:val="auto"/>
          <w:sz w:val="24"/>
          <w:szCs w:val="24"/>
        </w:rPr>
      </w:pPr>
    </w:p>
    <w:p>
      <w:pPr>
        <w:spacing w:after="0" w:line="13" w:lineRule="exact"/>
        <w:rPr>
          <w:color w:val="auto"/>
          <w:sz w:val="24"/>
          <w:szCs w:val="24"/>
        </w:rPr>
      </w:pPr>
    </w:p>
    <w:p>
      <w:pPr>
        <w:spacing w:after="0" w:line="122" w:lineRule="exact"/>
        <w:rPr>
          <w:color w:val="auto"/>
          <w:sz w:val="24"/>
          <w:szCs w:val="24"/>
        </w:rPr>
      </w:pPr>
    </w:p>
    <w:p>
      <w:pPr>
        <w:spacing w:after="0" w:line="223" w:lineRule="auto"/>
        <w:ind w:right="2580"/>
        <w:rPr>
          <w:color w:val="auto"/>
          <w:sz w:val="20"/>
          <w:szCs w:val="20"/>
        </w:rPr>
      </w:pPr>
      <w:r>
        <w:rPr>
          <w:rFonts w:ascii="Arial" w:hAnsi="Arial" w:eastAsia="Arial" w:cs="Arial"/>
          <w:color w:val="auto"/>
          <w:sz w:val="40"/>
          <w:szCs w:val="40"/>
        </w:rPr>
        <w:t>Analysis of the Status of</w:t>
      </w:r>
      <w:r>
        <w:rPr>
          <w:rFonts w:hint="eastAsia" w:ascii="Arial" w:hAnsi="Arial" w:eastAsia="宋体" w:cs="Arial"/>
          <w:color w:val="auto"/>
          <w:sz w:val="40"/>
          <w:szCs w:val="40"/>
          <w:lang w:val="en-US" w:eastAsia="zh-CN"/>
        </w:rPr>
        <w:t xml:space="preserve"> </w:t>
      </w:r>
      <w:r>
        <w:rPr>
          <w:rFonts w:ascii="Arial" w:hAnsi="Arial" w:eastAsia="Arial" w:cs="Arial"/>
          <w:color w:val="auto"/>
          <w:sz w:val="40"/>
          <w:szCs w:val="40"/>
        </w:rPr>
        <w:t>Compound</w:t>
      </w:r>
      <w:r>
        <w:rPr>
          <w:rFonts w:hint="eastAsia" w:ascii="Arial" w:hAnsi="Arial" w:eastAsia="宋体" w:cs="Arial"/>
          <w:color w:val="auto"/>
          <w:sz w:val="40"/>
          <w:szCs w:val="40"/>
          <w:lang w:val="en-US" w:eastAsia="zh-CN"/>
        </w:rPr>
        <w:t xml:space="preserve"> </w:t>
      </w:r>
      <w:r>
        <w:rPr>
          <w:rFonts w:ascii="Arial" w:hAnsi="Arial" w:eastAsia="Arial" w:cs="Arial"/>
          <w:color w:val="auto"/>
          <w:sz w:val="40"/>
          <w:szCs w:val="40"/>
        </w:rPr>
        <w:t>Semiconductor Industry in China</w:t>
      </w:r>
    </w:p>
    <w:p>
      <w:pPr>
        <w:spacing w:after="0" w:line="155" w:lineRule="exact"/>
        <w:rPr>
          <w:color w:val="auto"/>
          <w:sz w:val="24"/>
          <w:szCs w:val="24"/>
        </w:rPr>
      </w:pPr>
    </w:p>
    <w:p>
      <w:pPr>
        <w:spacing w:after="0" w:line="179" w:lineRule="exact"/>
        <w:rPr>
          <w:color w:val="auto"/>
          <w:sz w:val="24"/>
          <w:szCs w:val="24"/>
        </w:rPr>
      </w:pPr>
    </w:p>
    <w:p>
      <w:pPr>
        <w:spacing w:after="0" w:line="265" w:lineRule="auto"/>
        <w:ind w:left="2" w:right="20"/>
        <w:jc w:val="both"/>
        <w:rPr>
          <w:color w:val="000000" w:themeColor="text1"/>
          <w:sz w:val="20"/>
          <w:szCs w:val="20"/>
          <w14:textFill>
            <w14:solidFill>
              <w14:schemeClr w14:val="tx1"/>
            </w14:solidFill>
          </w14:textFill>
        </w:rPr>
      </w:pPr>
      <w:r>
        <w:rPr>
          <w:rFonts w:ascii="Arial" w:hAnsi="Arial" w:eastAsia="Arial" w:cs="Arial"/>
          <w:color w:val="000000" w:themeColor="text1"/>
          <w:sz w:val="22"/>
          <w:szCs w:val="22"/>
          <w14:textFill>
            <w14:solidFill>
              <w14:schemeClr w14:val="tx1"/>
            </w14:solidFill>
          </w14:textFill>
        </w:rPr>
        <w:t>Abstract: High speed development of integrated circuits provides technical support for the development of the industry. China's integrated circuit is in a period of great development. It can provide advanced technology support for the compound semiconductor industry. Compared with the silicon material, the compound semiconductor performance is more excellent, and the fabricated device has better electrical properties than silicon devices. Domestic demands for the compound semiconductor industry will provide a huge market for the development of the compound semiconductor industry.</w:t>
      </w:r>
    </w:p>
    <w:p>
      <w:pPr>
        <w:spacing w:after="0" w:line="5" w:lineRule="exact"/>
        <w:rPr>
          <w:color w:val="000000" w:themeColor="text1"/>
          <w:sz w:val="24"/>
          <w:szCs w:val="24"/>
          <w14:textFill>
            <w14:solidFill>
              <w14:schemeClr w14:val="tx1"/>
            </w14:solidFill>
          </w14:textFill>
        </w:rPr>
      </w:pPr>
    </w:p>
    <w:p>
      <w:pPr>
        <w:spacing w:after="0"/>
        <w:ind w:left="2"/>
        <w:rPr>
          <w:rFonts w:ascii="Arial" w:hAnsi="Arial" w:eastAsia="Arial" w:cs="Arial"/>
          <w:color w:val="000000" w:themeColor="text1"/>
          <w:sz w:val="22"/>
          <w:szCs w:val="22"/>
          <w14:textFill>
            <w14:solidFill>
              <w14:schemeClr w14:val="tx1"/>
            </w14:solidFill>
          </w14:textFill>
        </w:rPr>
      </w:pPr>
      <w:r>
        <w:rPr>
          <w:rFonts w:ascii="Arial" w:hAnsi="Arial" w:eastAsia="Arial" w:cs="Arial"/>
          <w:color w:val="000000" w:themeColor="text1"/>
          <w:sz w:val="22"/>
          <w:szCs w:val="22"/>
          <w14:textFill>
            <w14:solidFill>
              <w14:schemeClr w14:val="tx1"/>
            </w14:solidFill>
          </w14:textFill>
        </w:rPr>
        <w:t>Key word: compound semiconductor, Ga As, Ga N, Si C</w:t>
      </w:r>
    </w:p>
    <w:p>
      <w:pPr>
        <w:spacing w:after="0" w:line="291" w:lineRule="exact"/>
        <w:ind w:left="2" w:firstLine="397"/>
        <w:jc w:val="both"/>
        <w:rPr>
          <w:rFonts w:hint="eastAsia" w:ascii="宋体" w:hAnsi="宋体" w:eastAsia="宋体" w:cs="宋体"/>
          <w:color w:val="auto"/>
          <w:sz w:val="20"/>
          <w:szCs w:val="20"/>
        </w:rPr>
      </w:pPr>
      <w:r>
        <w:rPr>
          <w:rFonts w:hint="eastAsia" w:ascii="宋体" w:hAnsi="宋体" w:eastAsia="宋体" w:cs="宋体"/>
          <w:color w:val="auto"/>
          <w:sz w:val="19"/>
          <w:szCs w:val="19"/>
        </w:rPr>
        <w:t>化合物半导体是区别于硅（Si）和锗（Ge）等传统单质的一类半导体材料，主要包括砷化镓（Ga As）、磷化铟（In P）、氮化镓（Ga N）、碳化硅（Si C）、氧化锌（Zn O）等。相对于硅材料，化合物半导体性能更加优异，制作出的器件相对于硅器件具有更优异的光电性能、高速、高频、大功率、耐高温和高辐射等特征。</w:t>
      </w:r>
    </w:p>
    <w:p>
      <w:pPr>
        <w:spacing w:after="0" w:line="85" w:lineRule="exact"/>
        <w:rPr>
          <w:rFonts w:hint="eastAsia" w:ascii="宋体" w:hAnsi="宋体" w:eastAsia="宋体" w:cs="宋体"/>
          <w:color w:val="auto"/>
          <w:sz w:val="24"/>
          <w:szCs w:val="24"/>
        </w:rPr>
      </w:pPr>
    </w:p>
    <w:p>
      <w:pPr>
        <w:spacing w:after="0" w:line="272" w:lineRule="exact"/>
        <w:ind w:left="2" w:firstLine="397"/>
        <w:jc w:val="both"/>
        <w:rPr>
          <w:rFonts w:hint="eastAsia" w:ascii="宋体" w:hAnsi="宋体" w:eastAsia="宋体" w:cs="宋体"/>
          <w:color w:val="auto"/>
          <w:sz w:val="20"/>
          <w:szCs w:val="20"/>
        </w:rPr>
      </w:pPr>
      <w:r>
        <w:rPr>
          <w:rFonts w:hint="eastAsia" w:ascii="宋体" w:hAnsi="宋体" w:eastAsia="宋体" w:cs="宋体"/>
          <w:color w:val="auto"/>
          <w:sz w:val="19"/>
          <w:szCs w:val="19"/>
        </w:rPr>
        <w:t>当前，全球半导体产业正处于深度变革，化合物半导体成为产业发展新的关注点，我国应加紧产业布局，抢占发展的主动权。</w:t>
      </w:r>
    </w:p>
    <w:p>
      <w:pPr>
        <w:spacing w:after="0" w:line="366" w:lineRule="exact"/>
        <w:rPr>
          <w:rFonts w:hint="eastAsia" w:ascii="宋体" w:hAnsi="宋体" w:eastAsia="宋体" w:cs="宋体"/>
          <w:color w:val="auto"/>
          <w:sz w:val="24"/>
          <w:szCs w:val="24"/>
        </w:rPr>
      </w:pPr>
    </w:p>
    <w:p>
      <w:pPr>
        <w:numPr>
          <w:ilvl w:val="0"/>
          <w:numId w:val="0"/>
        </w:numPr>
        <w:tabs>
          <w:tab w:val="left" w:pos="222"/>
        </w:tabs>
        <w:spacing w:after="0" w:line="231" w:lineRule="exact"/>
        <w:ind w:leftChars="0"/>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化合物半导体成为集成电路产业新关注点</w:t>
      </w:r>
    </w:p>
    <w:p>
      <w:pPr>
        <w:spacing w:after="0" w:line="88"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17" w:lineRule="exact"/>
        <w:ind w:left="402"/>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集成电路产业深刻变革驱动化合物半导体市场发</w:t>
      </w:r>
    </w:p>
    <w:p>
      <w:pPr>
        <w:spacing w:after="0" w:line="83"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59" w:lineRule="exact"/>
        <w:ind w:left="2"/>
        <w:rPr>
          <w:rFonts w:hint="eastAsia" w:asciiTheme="minorEastAsia" w:hAnsiTheme="minorEastAsia" w:eastAsiaTheme="minorEastAsia" w:cstheme="minorEastAsia"/>
          <w:color w:val="000000" w:themeColor="text1"/>
          <w:sz w:val="21"/>
          <w:szCs w:val="21"/>
          <w:u w:val="none"/>
          <w:lang w:eastAsia="zh-CN"/>
          <w14:textFill>
            <w14:solidFill>
              <w14:schemeClr w14:val="tx1"/>
            </w14:solidFill>
          </w14:textFill>
        </w:rPr>
        <w:sectPr>
          <w:pgSz w:w="11906" w:h="16838"/>
          <w:pgMar w:top="1440" w:right="1800" w:bottom="1440" w:left="1800" w:header="851" w:footer="992" w:gutter="0"/>
          <w:cols w:space="0" w:num="1"/>
          <w:rtlGutter w:val="0"/>
          <w:docGrid w:type="lines" w:linePitch="312" w:charSpace="0"/>
        </w:sect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展。一是集成电路产业遵循“摩尔定律”演进趋缓，以新材料、新结构以及新工艺为特征的“超越摩尔定律</w:t>
      </w:r>
      <w:r>
        <w:rPr>
          <w:rFonts w:hint="eastAsia" w:asciiTheme="minorEastAsia" w:hAnsiTheme="minorEastAsia" w:eastAsiaTheme="minorEastAsia" w:cstheme="minorEastAsia"/>
          <w:color w:val="000000" w:themeColor="text1"/>
          <w:sz w:val="21"/>
          <w:szCs w:val="21"/>
          <w:u w:val="none"/>
          <w:lang w:eastAsia="zh-CN"/>
          <w14:textFill>
            <w14:solidFill>
              <w14:schemeClr w14:val="tx1"/>
            </w14:solidFill>
          </w14:textFill>
        </w:rPr>
        <w:t>”</w:t>
      </w:r>
      <w:bookmarkStart w:id="0" w:name="_GoBack"/>
      <w:bookmarkEnd w:id="0"/>
    </w:p>
    <w:p>
      <w:pPr>
        <w:spacing w:after="0" w:line="288" w:lineRule="exact"/>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成为产业新的发展重心。二是曾经驱动集成电路市场高速增长的 PC 和智能手机市场疲软，未来 5G 和物联网将成为新风口。三是全球能源和环境危机突出，能源利用趋向低功耗和精细管理。化合物半导体作为新材料和新器件，在微波通信器件、光电子器件和功率器件中有着同类硅器件所不具备的优异性能，将在以上应用领域得到广泛应用。</w:t>
      </w:r>
    </w:p>
    <w:p>
      <w:pPr>
        <w:spacing w:after="0" w:line="84"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80" w:lineRule="exact"/>
        <w:ind w:left="8"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国内外围绕化合物半导体的并购案频发。近年来，国际巨头企业纷纷围绕化合物半导体展开并购， 2014 年 8 月，功率半导体领导者德国英飞凌公司以 30 亿美元收购美国国际整流器公司（IR），取得了其硅Ga N 功率半导体制造技术;同年 9月，设计和制造</w:t>
      </w:r>
    </w:p>
    <w:p>
      <w:pPr>
        <w:spacing w:after="0" w:line="68"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91"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Ga As 和 Ga N 射频芯片的 RFMD 公司和 Intriguing 公司宣布合并为新的 RF 解决方案公司 Fervor。国内企业和资本也围绕化合物半导体产业展开收购。国家“大基金”投资布局化合物半导体</w:t>
      </w:r>
      <w:r>
        <w:rPr>
          <w:rFonts w:hint="eastAsia" w:asciiTheme="minorEastAsia" w:hAnsiTheme="minorEastAsia" w:eastAsiaTheme="minorEastAsia" w:cstheme="minorEastAsia"/>
          <w:color w:val="000000" w:themeColor="text1"/>
          <w:sz w:val="21"/>
          <w:szCs w:val="21"/>
          <w:u w:val="none"/>
          <w:vertAlign w:val="superscript"/>
          <w14:textFill>
            <w14:solidFill>
              <w14:schemeClr w14:val="tx1"/>
            </w14:solidFill>
          </w14:textFill>
        </w:rPr>
        <w:t>[1]</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。2015</w:t>
      </w:r>
      <w:r>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t>年</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6 月，国家集成电路产业投资基金（“大基金”）投资 48.39 亿元入股三安光电，推动三安光电下属三安集成电路公司围绕 Ga As 和 Ga N 代工制造，开展境内外并购、新技术研发、新建生产线等业务。同时，国家开发银行也以最优惠利率向三安提供 200 亿元贷款。</w:t>
      </w:r>
    </w:p>
    <w:p>
      <w:pPr>
        <w:spacing w:after="0" w:line="50"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87" w:lineRule="exact"/>
        <w:ind w:left="2"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2016 年 2 月，泉州市政府、“大基金”、华芯投资、三安集团等在晋江市合资成立安芯基金，基金目标规模 500 亿元，首期出资规模 75.1 亿元，将主要投向 III-V 族化合物集成电路产业。</w:t>
      </w:r>
    </w:p>
    <w:p>
      <w:pPr>
        <w:numPr>
          <w:ilvl w:val="0"/>
          <w:numId w:val="0"/>
        </w:numPr>
        <w:tabs>
          <w:tab w:val="left" w:pos="222"/>
        </w:tabs>
        <w:spacing w:after="0" w:line="231" w:lineRule="exact"/>
        <w:ind w:leftChars="0"/>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全球化合物半导体产业市场空间广阔</w:t>
      </w:r>
    </w:p>
    <w:p>
      <w:pPr>
        <w:spacing w:after="0" w:line="61"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81" w:lineRule="exact"/>
        <w:ind w:left="2"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Ga As 和 Ga N 的微波通信器件、Ga N 和 Si C 的电力电子器件由于下游应用的驱动，技术和产业发展十分迅速，市场空间广阔。Ga As 器件：Ga As 微波通信器件在移动终端的无</w:t>
      </w:r>
      <w:r>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t>线</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PA 和射频开关器领域占主导地位未来高集成度和低成本制造将成为产业发展趋势，在无线通信、消费电子、汽车电子、物联网等应用领域将得到广泛应用。同时，Ga As 基材料有望在集成电路 10 NM 以下制程以及未来的光互连芯片中得到应用。</w:t>
      </w:r>
    </w:p>
    <w:p>
      <w:pPr>
        <w:spacing w:after="0" w:line="55"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32" w:lineRule="exact"/>
        <w:ind w:firstLine="420" w:firstLineChars="200"/>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2015 年全球 Ga As 微波通信器件市场规模达到86 亿美元，超过 60% 的市场份额集中于 Skunkworks、Fervor、Broad com/Avag</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o</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 xml:space="preserve"> 三大巨头，2020 年，市场规模预计将突破 130 亿美元。Ga As 产业代工制造模式逐渐兴起，我国台湾稳懋、宏捷、环宇是主要的代工企业。</w:t>
      </w:r>
    </w:p>
    <w:p>
      <w:pPr>
        <w:spacing w:after="0" w:line="56"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94" w:lineRule="exact"/>
        <w:ind w:left="2"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Ga N 器件：基于 Ga N 的蓝绿光 LED 产业发展成熟，微波通信器件和电力电子器件产品尚未在民用领域广泛应用。蓝宝石基 Ga N 技术最成熟，Si 基 Ga N 可实现高集成性和低成本，目前 Si 基 Ga N 技术以 6 英寸为主流。全球 Ga N 微波通信器件和电力电子器件的产值还很低，只有几亿美元，随着技术水平的进步，2020年产值有望达到 15 亿美元。英飞凌、富士、东芝、松下等大企业纷纷投巨资进军 Ga N 领域。新进入的小企业也有很多，如加拿大的 Ga N Systems、美国的 EPC等公司都已经量产 Ga N 产品。未来在新能源、智能电网、信息通信设备和消费电子领域将得到广泛应用</w:t>
      </w:r>
      <w:r>
        <w:rPr>
          <w:rFonts w:hint="eastAsia" w:asciiTheme="minorEastAsia" w:hAnsiTheme="minorEastAsia" w:eastAsiaTheme="minorEastAsia" w:cstheme="minorEastAsia"/>
          <w:color w:val="000000" w:themeColor="text1"/>
          <w:sz w:val="21"/>
          <w:szCs w:val="21"/>
          <w:u w:val="none"/>
          <w:vertAlign w:val="superscript"/>
          <w14:textFill>
            <w14:solidFill>
              <w14:schemeClr w14:val="tx1"/>
            </w14:solidFill>
          </w14:textFill>
        </w:rPr>
        <w:t>[2]</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w:t>
      </w:r>
    </w:p>
    <w:p>
      <w:pPr>
        <w:spacing w:after="0" w:line="2"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86" w:lineRule="exact"/>
        <w:ind w:right="20"/>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Si C 器件：Si C 单晶衬底制造以 4 英寸为主流，并正向 6 英寸过渡，同时 8 英寸也已经问世。产品主要以电力电子器件为主，Si</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C</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-SBD（肖特基二极管）技术成熟，已开始在光伏发电等领域替代 Si 器件，Si C</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MOSFET 性能突出，可大幅降低模组中电容电感的用量，降低功率模组成本。Si</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C-</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IGBT 未来将凭借其优异的性能在大型轮船引擎、智能电网、高铁和风力发电等大功率领域得到应用</w:t>
      </w:r>
      <w:r>
        <w:rPr>
          <w:rFonts w:hint="eastAsia" w:asciiTheme="minorEastAsia" w:hAnsiTheme="minorEastAsia" w:eastAsiaTheme="minorEastAsia" w:cstheme="minorEastAsia"/>
          <w:color w:val="000000" w:themeColor="text1"/>
          <w:sz w:val="21"/>
          <w:szCs w:val="21"/>
          <w:u w:val="none"/>
          <w:vertAlign w:val="superscript"/>
          <w14:textFill>
            <w14:solidFill>
              <w14:schemeClr w14:val="tx1"/>
            </w14:solidFill>
          </w14:textFill>
        </w:rPr>
        <w:t>[3]</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w:t>
      </w:r>
    </w:p>
    <w:p>
      <w:pPr>
        <w:spacing w:after="0" w:line="2"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93" w:lineRule="exact"/>
        <w:ind w:firstLine="397"/>
        <w:jc w:val="both"/>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sectPr>
          <w:pgSz w:w="11906" w:h="16838"/>
          <w:pgMar w:top="1440" w:right="1800" w:bottom="1440" w:left="1800" w:header="851" w:footer="992" w:gutter="0"/>
          <w:cols w:space="0" w:num="1"/>
          <w:rtlGutter w:val="0"/>
          <w:docGrid w:type="lines" w:linePitch="312" w:charSpace="0"/>
        </w:sect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2015 年，全球 Si C 电力电子器件市场规模达到近 1.5 亿美元，预计 2020 年将达到 10 亿美元。Si C 衬底的主要供应商有科锐、R ohm/Si-Crystal 和 II-VI等，其中科锐公司占据了 Si C 衬底 90% 的供应量。Si C 器件市场，科锐和英飞凌/IR 两家巨头占据了 70% 的市场份额。Si C 电力电子器件在低电压产品领域将面对 Ga N 器件的激烈竞争，在 PFC、UPS、消费电子和电动汽车900 V 以下的应用领域，低成本 Ga N 器件将占据主要市场，Si C 器件未来主要面向 1 200 V 以上的市</w:t>
      </w:r>
      <w:r>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t>场。</w:t>
      </w:r>
    </w:p>
    <w:p>
      <w:pPr>
        <w:numPr>
          <w:ilvl w:val="0"/>
          <w:numId w:val="0"/>
        </w:numPr>
        <w:tabs>
          <w:tab w:val="left" w:pos="220"/>
        </w:tabs>
        <w:spacing w:after="0" w:line="231"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结语：我国产业发展面临重大机遇</w:t>
      </w:r>
    </w:p>
    <w:p>
      <w:pPr>
        <w:spacing w:after="0" w:line="61"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89" w:lineRule="exact"/>
        <w:ind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《中国制造 2025》为产业发展提供政策支持。 2015 年 5 月，国务院发布《中国制造 2025》。新材料在《〈中国制造 2025〉重点领域技术路线图》中是十大重点领域之一，其中化合物半导体中的第三代半导体被纳入关键战略材料发展重点。</w:t>
      </w:r>
    </w:p>
    <w:p>
      <w:pPr>
        <w:spacing w:after="0" w:line="86" w:lineRule="exact"/>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96" w:lineRule="exact"/>
        <w:ind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r>
        <w:rPr>
          <w:rFonts w:hint="eastAsia" w:asciiTheme="minorEastAsia" w:hAnsiTheme="minorEastAsia" w:eastAsiaTheme="minorEastAsia" w:cstheme="minorEastAsia"/>
          <w:color w:val="000000" w:themeColor="text1"/>
          <w:sz w:val="21"/>
          <w:szCs w:val="21"/>
          <w:u w:val="none"/>
          <w14:textFill>
            <w14:solidFill>
              <w14:schemeClr w14:val="tx1"/>
            </w14:solidFill>
          </w14:textFill>
        </w:rPr>
        <w:t>集成电路高速发展为产业发展提供技术支撑。我国集成电路正处于大发展时期，可为化合物半导体产业提供先进技术支撑。如 Ga As 或 Ga N 单片微波集成电路的设计和仿真技术、化合物半导体制造工艺和生产线的建设技术、先进封装和测试技术、光刻机和 CVD 等通用设备的制造技术，以及大尺寸硅单晶衬底和光刻胶等通用配套材料的制备技术。重点应用领域和国产化替代需求为产业发展提供巨大市场。我国的光伏、风能、 4G/5G 移动通信、高速铁路、电动汽车、智能电网、大数据/云计算中心、半导体照明等产业发展如火如荼，是化合物半导体大显身手的应用领域，如 4G/5G 通信基站和终端使用的 Ga As 或 Ga N 微波射频器件和模块，高速铁路使用的 Si C 基牵引传动系统，光伏电站、风能电场和电动汽车使用的 Ga N 或Si C 电能逆变器或转换器，智能电网使用的 Si C 大功率开关器件，工业控制使用的 Ga N 或 Si C 基电机马达变频驱动器，大数据/云计算中心使用的 Ga N 或 Si C 基高效供电电源，半导体照明中使用的 Ga N 基高亮度 LED 等。</w:t>
      </w:r>
    </w:p>
    <w:p>
      <w:pPr>
        <w:spacing w:after="0" w:line="296" w:lineRule="exact"/>
        <w:ind w:firstLine="397"/>
        <w:jc w:val="both"/>
        <w:rPr>
          <w:rFonts w:hint="eastAsia" w:asciiTheme="minorEastAsia" w:hAnsiTheme="minorEastAsia" w:eastAsiaTheme="minorEastAsia" w:cstheme="minorEastAsia"/>
          <w:color w:val="000000" w:themeColor="text1"/>
          <w:sz w:val="21"/>
          <w:szCs w:val="21"/>
          <w:u w:val="none"/>
          <w14:textFill>
            <w14:solidFill>
              <w14:schemeClr w14:val="tx1"/>
            </w14:solidFill>
          </w14:textFill>
        </w:rPr>
      </w:pPr>
    </w:p>
    <w:p>
      <w:pPr>
        <w:spacing w:after="0" w:line="217" w:lineRule="exact"/>
        <w:rPr>
          <w:color w:val="auto"/>
          <w:sz w:val="20"/>
          <w:szCs w:val="20"/>
        </w:rPr>
      </w:pPr>
      <w:r>
        <w:rPr>
          <w:rFonts w:ascii="宋体" w:hAnsi="宋体" w:eastAsia="宋体" w:cs="宋体"/>
          <w:color w:val="auto"/>
          <w:sz w:val="19"/>
          <w:szCs w:val="19"/>
        </w:rPr>
        <w:t>参考文献</w:t>
      </w:r>
    </w:p>
    <w:p>
      <w:pPr>
        <w:numPr>
          <w:ilvl w:val="0"/>
          <w:numId w:val="0"/>
        </w:numPr>
        <w:tabs>
          <w:tab w:val="left" w:pos="294"/>
        </w:tabs>
        <w:spacing w:after="0" w:line="229" w:lineRule="exact"/>
        <w:ind w:leftChars="0" w:right="40" w:rightChars="0"/>
        <w:rPr>
          <w:rFonts w:ascii="Times New Roman" w:hAnsi="Times New Roman" w:eastAsia="Times New Roman" w:cs="Times New Roman"/>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1</w:t>
      </w:r>
      <w:r>
        <w:rPr>
          <w:rFonts w:hint="eastAsia" w:ascii="宋体" w:hAnsi="宋体" w:eastAsia="宋体" w:cs="宋体"/>
          <w:color w:val="auto"/>
          <w:sz w:val="18"/>
          <w:szCs w:val="18"/>
          <w:lang w:eastAsia="zh-CN"/>
        </w:rPr>
        <w:t>】</w:t>
      </w:r>
      <w:r>
        <w:rPr>
          <w:rFonts w:ascii="宋体" w:hAnsi="宋体" w:eastAsia="宋体" w:cs="宋体"/>
          <w:color w:val="auto"/>
          <w:sz w:val="18"/>
          <w:szCs w:val="18"/>
        </w:rPr>
        <w:t>郝跃</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张金风</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张进成</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等</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氮化物半导体电子器件新进展</w:t>
      </w:r>
      <w:r>
        <w:rPr>
          <w:rFonts w:ascii="Times New Roman" w:hAnsi="Times New Roman" w:eastAsia="Times New Roman" w:cs="Times New Roman"/>
          <w:color w:val="auto"/>
          <w:sz w:val="18"/>
          <w:szCs w:val="18"/>
        </w:rPr>
        <w:t xml:space="preserve"> [J]. </w:t>
      </w:r>
      <w:r>
        <w:rPr>
          <w:rFonts w:ascii="宋体" w:hAnsi="宋体" w:eastAsia="宋体" w:cs="宋体"/>
          <w:color w:val="auto"/>
          <w:sz w:val="18"/>
          <w:szCs w:val="18"/>
        </w:rPr>
        <w:t>科学通报</w:t>
      </w:r>
      <w:r>
        <w:rPr>
          <w:rFonts w:ascii="Times New Roman" w:hAnsi="Times New Roman" w:eastAsia="Times New Roman" w:cs="Times New Roman"/>
          <w:color w:val="auto"/>
          <w:sz w:val="18"/>
          <w:szCs w:val="18"/>
        </w:rPr>
        <w:t>, 2015, 60(10): 874-881.</w:t>
      </w:r>
    </w:p>
    <w:p>
      <w:pPr>
        <w:spacing w:after="0" w:line="64" w:lineRule="exact"/>
        <w:rPr>
          <w:rFonts w:ascii="Times New Roman" w:hAnsi="Times New Roman" w:eastAsia="Times New Roman" w:cs="Times New Roman"/>
          <w:color w:val="auto"/>
          <w:sz w:val="18"/>
          <w:szCs w:val="18"/>
        </w:rPr>
      </w:pPr>
    </w:p>
    <w:p>
      <w:pPr>
        <w:numPr>
          <w:ilvl w:val="0"/>
          <w:numId w:val="0"/>
        </w:numPr>
        <w:tabs>
          <w:tab w:val="left" w:pos="294"/>
        </w:tabs>
        <w:spacing w:after="0" w:line="228" w:lineRule="exact"/>
        <w:ind w:leftChars="0" w:right="40" w:rightChars="0"/>
        <w:rPr>
          <w:rFonts w:ascii="Times New Roman" w:hAnsi="Times New Roman" w:eastAsia="Times New Roman" w:cs="Times New Roman"/>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2</w:t>
      </w:r>
      <w:r>
        <w:rPr>
          <w:rFonts w:hint="eastAsia" w:ascii="宋体" w:hAnsi="宋体" w:eastAsia="宋体" w:cs="宋体"/>
          <w:color w:val="auto"/>
          <w:sz w:val="18"/>
          <w:szCs w:val="18"/>
          <w:lang w:eastAsia="zh-CN"/>
        </w:rPr>
        <w:t>】</w:t>
      </w:r>
      <w:r>
        <w:rPr>
          <w:rFonts w:ascii="宋体" w:hAnsi="宋体" w:eastAsia="宋体" w:cs="宋体"/>
          <w:color w:val="auto"/>
          <w:sz w:val="18"/>
          <w:szCs w:val="18"/>
        </w:rPr>
        <w:t>宋建博</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方家兴</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程知群</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等</w:t>
      </w:r>
      <w:r>
        <w:rPr>
          <w:rFonts w:ascii="Times New Roman" w:hAnsi="Times New Roman" w:eastAsia="Times New Roman" w:cs="Times New Roman"/>
          <w:color w:val="auto"/>
          <w:sz w:val="18"/>
          <w:szCs w:val="18"/>
        </w:rPr>
        <w:t xml:space="preserve">. </w:t>
      </w:r>
      <w:r>
        <w:rPr>
          <w:rFonts w:ascii="宋体" w:hAnsi="宋体" w:eastAsia="宋体" w:cs="宋体"/>
          <w:color w:val="auto"/>
          <w:sz w:val="18"/>
          <w:szCs w:val="18"/>
        </w:rPr>
        <w:t>毫米波</w:t>
      </w:r>
      <w:r>
        <w:rPr>
          <w:rFonts w:ascii="Times New Roman" w:hAnsi="Times New Roman" w:eastAsia="Times New Roman" w:cs="Times New Roman"/>
          <w:color w:val="auto"/>
          <w:sz w:val="18"/>
          <w:szCs w:val="18"/>
        </w:rPr>
        <w:t xml:space="preserve"> Ga N </w:t>
      </w:r>
      <w:r>
        <w:rPr>
          <w:rFonts w:ascii="宋体" w:hAnsi="宋体" w:eastAsia="宋体" w:cs="宋体"/>
          <w:color w:val="auto"/>
          <w:sz w:val="18"/>
          <w:szCs w:val="18"/>
        </w:rPr>
        <w:t>基</w:t>
      </w:r>
      <w:r>
        <w:rPr>
          <w:rFonts w:ascii="Times New Roman" w:hAnsi="Times New Roman" w:eastAsia="Times New Roman" w:cs="Times New Roman"/>
          <w:color w:val="auto"/>
          <w:sz w:val="18"/>
          <w:szCs w:val="18"/>
        </w:rPr>
        <w:t xml:space="preserve"> HEMT </w:t>
      </w:r>
      <w:r>
        <w:rPr>
          <w:rFonts w:ascii="宋体" w:hAnsi="宋体" w:eastAsia="宋体" w:cs="宋体"/>
          <w:color w:val="auto"/>
          <w:sz w:val="18"/>
          <w:szCs w:val="18"/>
        </w:rPr>
        <w:t>功率</w:t>
      </w:r>
      <w:r>
        <w:rPr>
          <w:rFonts w:ascii="Times New Roman" w:hAnsi="Times New Roman" w:eastAsia="Times New Roman" w:cs="Times New Roman"/>
          <w:color w:val="auto"/>
          <w:sz w:val="18"/>
          <w:szCs w:val="18"/>
        </w:rPr>
        <w:t xml:space="preserve"> MMIC [J] . </w:t>
      </w:r>
      <w:r>
        <w:rPr>
          <w:rFonts w:ascii="宋体" w:hAnsi="宋体" w:eastAsia="宋体" w:cs="宋体"/>
          <w:color w:val="auto"/>
          <w:sz w:val="18"/>
          <w:szCs w:val="18"/>
        </w:rPr>
        <w:t>半导体技术</w:t>
      </w:r>
      <w:r>
        <w:rPr>
          <w:rFonts w:ascii="Times New Roman" w:hAnsi="Times New Roman" w:eastAsia="Times New Roman" w:cs="Times New Roman"/>
          <w:color w:val="auto"/>
          <w:sz w:val="18"/>
          <w:szCs w:val="18"/>
        </w:rPr>
        <w:t>, 2015, 40(6): 417-420, 456.</w:t>
      </w:r>
    </w:p>
    <w:p>
      <w:pPr>
        <w:numPr>
          <w:ilvl w:val="0"/>
          <w:numId w:val="0"/>
        </w:numPr>
        <w:tabs>
          <w:tab w:val="left" w:pos="446"/>
        </w:tabs>
        <w:spacing w:after="0" w:line="244" w:lineRule="exact"/>
        <w:ind w:right="20" w:rightChars="0"/>
        <w:rPr>
          <w:rFonts w:ascii="宋体" w:hAnsi="宋体" w:eastAsia="宋体" w:cs="宋体"/>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3</w:t>
      </w:r>
      <w:r>
        <w:rPr>
          <w:rFonts w:hint="eastAsia" w:ascii="宋体" w:hAnsi="宋体" w:eastAsia="宋体" w:cs="宋体"/>
          <w:color w:val="auto"/>
          <w:sz w:val="18"/>
          <w:szCs w:val="18"/>
          <w:lang w:eastAsia="zh-CN"/>
        </w:rPr>
        <w:t>】</w:t>
      </w:r>
      <w:r>
        <w:rPr>
          <w:rFonts w:ascii="宋体" w:hAnsi="宋体" w:eastAsia="宋体" w:cs="宋体"/>
          <w:color w:val="auto"/>
          <w:sz w:val="18"/>
          <w:szCs w:val="18"/>
        </w:rPr>
        <w:t>Tim Askew.氮化镓Ga N工艺及其应用[J].集成电路应用，2015（09）.</w:t>
      </w:r>
    </w:p>
    <w:p>
      <w:pPr>
        <w:spacing w:after="0" w:line="112" w:lineRule="exact"/>
        <w:rPr>
          <w:rFonts w:ascii="宋体" w:hAnsi="宋体" w:eastAsia="宋体" w:cs="宋体"/>
          <w:color w:val="auto"/>
          <w:sz w:val="18"/>
          <w:szCs w:val="18"/>
        </w:rPr>
      </w:pPr>
    </w:p>
    <w:p>
      <w:pPr>
        <w:numPr>
          <w:ilvl w:val="0"/>
          <w:numId w:val="0"/>
        </w:numPr>
        <w:tabs>
          <w:tab w:val="left" w:pos="454"/>
        </w:tabs>
        <w:spacing w:after="0" w:line="244" w:lineRule="exact"/>
        <w:ind w:left="5" w:leftChars="0" w:right="20" w:rightChars="0"/>
        <w:rPr>
          <w:rFonts w:ascii="宋体" w:hAnsi="宋体" w:eastAsia="宋体" w:cs="宋体"/>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4</w:t>
      </w:r>
      <w:r>
        <w:rPr>
          <w:rFonts w:hint="eastAsia" w:ascii="宋体" w:hAnsi="宋体" w:eastAsia="宋体" w:cs="宋体"/>
          <w:color w:val="auto"/>
          <w:sz w:val="18"/>
          <w:szCs w:val="18"/>
          <w:lang w:eastAsia="zh-CN"/>
        </w:rPr>
        <w:t>】</w:t>
      </w:r>
      <w:r>
        <w:rPr>
          <w:rFonts w:ascii="宋体" w:hAnsi="宋体" w:eastAsia="宋体" w:cs="宋体"/>
          <w:color w:val="auto"/>
          <w:sz w:val="18"/>
          <w:szCs w:val="18"/>
        </w:rPr>
        <w:t>HAFOM.碳化硅半导体Si C在功率器件领域的应用[J].集成电路应用，2016，33（2）.</w:t>
      </w:r>
    </w:p>
    <w:p>
      <w:pPr>
        <w:spacing w:after="0" w:line="233" w:lineRule="exact"/>
        <w:rPr>
          <w:color w:val="auto"/>
          <w:sz w:val="20"/>
          <w:szCs w:val="20"/>
        </w:rPr>
      </w:pPr>
    </w:p>
    <w:p>
      <w:pPr>
        <w:jc w:val="left"/>
        <w:rPr>
          <w:rFonts w:hint="eastAsia" w:asciiTheme="minorEastAsia" w:hAnsiTheme="minorEastAsia" w:eastAsiaTheme="minorEastAsia" w:cstheme="minorEastAsia"/>
          <w:color w:val="000000" w:themeColor="text1"/>
          <w:sz w:val="21"/>
          <w:szCs w:val="21"/>
          <w:u w:val="none"/>
          <w:lang w:val="en-US" w:eastAsia="zh-CN"/>
          <w14:textFill>
            <w14:solidFill>
              <w14:schemeClr w14:val="tx1"/>
            </w14:solidFill>
          </w14:textFill>
        </w:rPr>
        <w:sectPr>
          <w:pgSz w:w="11906" w:h="16838"/>
          <w:pgMar w:top="1440" w:right="1800" w:bottom="1440" w:left="1800" w:header="851" w:footer="992" w:gutter="0"/>
          <w:cols w:space="0" w:num="1"/>
          <w:rtlGutter w:val="0"/>
          <w:docGrid w:type="lines" w:linePitch="312" w:charSpace="0"/>
        </w:sectPr>
      </w:pPr>
    </w:p>
    <w:p>
      <w:pPr>
        <w:spacing w:after="0" w:line="411" w:lineRule="exact"/>
        <w:ind w:right="20"/>
        <w:jc w:val="both"/>
        <w:rPr>
          <w:rFonts w:hint="eastAsia" w:ascii="黑体" w:hAnsi="黑体" w:eastAsia="黑体" w:cs="黑体"/>
          <w:color w:val="auto"/>
          <w:sz w:val="28"/>
          <w:szCs w:val="28"/>
          <w:lang w:val="en-US" w:eastAsia="zh-CN"/>
        </w:rPr>
        <w:sectPr>
          <w:pgSz w:w="11906" w:h="16838"/>
          <w:pgMar w:top="1440" w:right="1800" w:bottom="1440" w:left="1800" w:header="851" w:footer="992" w:gutter="0"/>
          <w:cols w:space="0" w:num="1"/>
          <w:rtlGutter w:val="0"/>
          <w:docGrid w:type="lines" w:linePitch="312" w:charSpace="0"/>
        </w:sectPr>
      </w:pPr>
    </w:p>
    <w:p>
      <w:pPr>
        <w:spacing w:after="0" w:line="411" w:lineRule="exact"/>
        <w:ind w:right="20"/>
        <w:jc w:val="both"/>
        <w:rPr>
          <w:rFonts w:hint="eastAsia" w:ascii="黑体" w:hAnsi="黑体" w:eastAsia="黑体" w:cs="黑体"/>
          <w:color w:val="auto"/>
          <w:sz w:val="28"/>
          <w:szCs w:val="28"/>
          <w:lang w:val="en-US" w:eastAsia="zh-CN"/>
        </w:rPr>
        <w:sectPr>
          <w:pgSz w:w="11906" w:h="16838"/>
          <w:pgMar w:top="1440" w:right="1800" w:bottom="1440" w:left="1800" w:header="851" w:footer="992" w:gutter="0"/>
          <w:cols w:space="0" w:num="1"/>
          <w:rtlGutter w:val="0"/>
          <w:docGrid w:type="lines" w:linePitch="312" w:charSpace="0"/>
        </w:sectPr>
      </w:pPr>
    </w:p>
    <w:p>
      <w:pPr>
        <w:pStyle w:val="2"/>
      </w:pPr>
    </w:p>
    <w:p>
      <w:pPr>
        <w:rPr>
          <w:rFonts w:hint="eastAsia" w:eastAsiaTheme="minorEastAsia"/>
          <w:lang w:val="en-US" w:eastAsia="zh-CN"/>
        </w:rPr>
        <w:sectPr>
          <w:pgSz w:w="11906" w:h="16838"/>
          <w:pgMar w:top="1440" w:right="1800" w:bottom="1440" w:left="1800" w:header="851" w:footer="992" w:gutter="0"/>
          <w:cols w:space="0" w:num="1"/>
          <w:rtlGutter w:val="0"/>
          <w:docGrid w:type="lines" w:linePitch="312" w:charSpace="0"/>
        </w:sectPr>
      </w:pPr>
      <w:r>
        <w:rPr>
          <w:rFonts w:hint="eastAsia"/>
          <w:lang w:val="en-US" w:eastAsia="zh-CN"/>
        </w:rPr>
        <w:t xml:space="preserve">                             </w:t>
      </w:r>
    </w:p>
    <w:p/>
    <w:sect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061BF"/>
    <w:rsid w:val="2A805103"/>
    <w:rsid w:val="38D061BF"/>
    <w:rsid w:val="597103E0"/>
    <w:rsid w:val="67066CE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2018-06-21T03:48:00Z</dcterms:created>
  <dc:creator>GYJ</dc:creator>
  <cp:lastModifiedBy>GYJ</cp:lastModifiedBy>
  <dcterms:modified xsi:type="dcterms:W3CDTF">2018-06-21T04:40:50Z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