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6140B" w14:textId="77777777" w:rsidR="004B366E" w:rsidRDefault="0031395E">
      <w:r w:rsidRPr="0031395E">
        <w:rPr>
          <w:u w:val="single"/>
        </w:rPr>
        <w:t>Simplified Model and Improvement on Simulation Time</w:t>
      </w:r>
    </w:p>
    <w:p w14:paraId="732BDB6F" w14:textId="77777777" w:rsidR="0031395E" w:rsidRDefault="0031395E"/>
    <w:p w14:paraId="748E31AC" w14:textId="77777777" w:rsidR="0031395E" w:rsidRDefault="005A6E91">
      <w:r>
        <w:t xml:space="preserve">The tools under development for distribution system planning </w:t>
      </w:r>
      <w:r w:rsidR="00E73AAC">
        <w:t>work together to provide</w:t>
      </w:r>
      <w:r>
        <w:t xml:space="preserve"> useful information. </w:t>
      </w:r>
      <w:r w:rsidR="00E73AAC">
        <w:t xml:space="preserve">As the size and number of tools increases, so too does the time required to gather and process the information. The </w:t>
      </w:r>
      <w:r w:rsidR="00E73AAC">
        <w:rPr>
          <w:i/>
        </w:rPr>
        <w:t>Iterative Static Hosting Capacity Analysis</w:t>
      </w:r>
      <w:r w:rsidR="00E73AAC">
        <w:t xml:space="preserve"> is only one part of this process and, as mentioned previously, requires 103 hours to analyze six feeders for an average runti</w:t>
      </w:r>
      <w:r w:rsidR="002D32AB">
        <w:t>me of over 17 hours per feeder.</w:t>
      </w:r>
    </w:p>
    <w:p w14:paraId="0E149989" w14:textId="77777777" w:rsidR="002D32AB" w:rsidRDefault="002D32AB"/>
    <w:p w14:paraId="4752CE99" w14:textId="402769F0" w:rsidR="002D32AB" w:rsidRDefault="007A433E">
      <w:r>
        <w:t xml:space="preserve">Utilities are continuing to face </w:t>
      </w:r>
      <w:r w:rsidR="002E1329">
        <w:t>an increase in the rate</w:t>
      </w:r>
      <w:r>
        <w:t xml:space="preserve"> of PV interconnect</w:t>
      </w:r>
      <w:r w:rsidR="002E1329">
        <w:t>ion</w:t>
      </w:r>
      <w:r>
        <w:t xml:space="preserve"> requests. According to </w:t>
      </w:r>
      <w:r w:rsidR="002E1329">
        <w:t>a June 2016</w:t>
      </w:r>
      <w:r>
        <w:t xml:space="preserve"> salesforce pull, the Duke Energy territory has over 1600 connection requests</w:t>
      </w:r>
      <w:r w:rsidR="002E1329">
        <w:t xml:space="preserve">. </w:t>
      </w:r>
      <w:r w:rsidR="00EA4C35">
        <w:t>In order to prepare the distribution system for the large influx of PV interco</w:t>
      </w:r>
      <w:r w:rsidR="00535065">
        <w:t xml:space="preserve">nnections, the utility needs a fast, </w:t>
      </w:r>
      <w:r w:rsidR="00EA4C35">
        <w:t>accurate</w:t>
      </w:r>
      <w:r w:rsidR="00535065">
        <w:t>,</w:t>
      </w:r>
      <w:r w:rsidR="00EA4C35">
        <w:t xml:space="preserve"> and effective tool to analyze feeders for necessary system upgrades. </w:t>
      </w:r>
      <w:r w:rsidR="002C33DF">
        <w:t xml:space="preserve">With </w:t>
      </w:r>
      <w:commentRangeStart w:id="0"/>
      <w:r w:rsidR="002C33DF">
        <w:t>1000s</w:t>
      </w:r>
      <w:commentRangeEnd w:id="0"/>
      <w:r w:rsidR="002C33DF">
        <w:rPr>
          <w:rStyle w:val="CommentReference"/>
        </w:rPr>
        <w:commentReference w:id="0"/>
      </w:r>
      <w:r w:rsidR="002C33DF">
        <w:t xml:space="preserve"> </w:t>
      </w:r>
      <w:r w:rsidR="00583A5E">
        <w:t>of substations, an average of 17 hours per feeder for a single step in the process does not c</w:t>
      </w:r>
      <w:r w:rsidR="00535065">
        <w:t>orrespond to a speedy analysis.</w:t>
      </w:r>
    </w:p>
    <w:p w14:paraId="4317E684" w14:textId="06F336FD" w:rsidR="00535065" w:rsidRDefault="00535065"/>
    <w:p w14:paraId="3B914401" w14:textId="1A033F5B" w:rsidR="00535065" w:rsidRDefault="00535065">
      <w:r>
        <w:t xml:space="preserve">The speed of a program generally depends on the </w:t>
      </w:r>
      <w:r w:rsidR="00F80B22">
        <w:t>available hardware, the number and efficiency of operations, and the size of the data being operated on by the program. Hardware is expensive, ties up a valuable resource, and may increase additional costs to the utility. Software efficiency improvements lead to relatively small decreases in runtime. In order to effectively decrease the runtime, it was necessary to greatly reduce the size of the data. This necessity lead to the introduction of a reduced system model.</w:t>
      </w:r>
    </w:p>
    <w:p w14:paraId="09A24514" w14:textId="3140BA87" w:rsidR="00F80B22" w:rsidRDefault="00F80B22"/>
    <w:p w14:paraId="1B40919B" w14:textId="27CD32F1" w:rsidR="00F80B22" w:rsidRDefault="00F80B22">
      <w:r>
        <w:t xml:space="preserve">The overall goal of a system reduction is to decrease the number of buses and lines; however, the system needed to remain electrically equivalent to the original, detail model. </w:t>
      </w:r>
      <w:r w:rsidR="002E66E0">
        <w:t xml:space="preserve">Analyzing the </w:t>
      </w:r>
      <w:proofErr w:type="spellStart"/>
      <w:r w:rsidR="002E66E0">
        <w:rPr>
          <w:i/>
        </w:rPr>
        <w:t>LinesByPhase</w:t>
      </w:r>
      <w:proofErr w:type="spellEnd"/>
      <w:r w:rsidR="002E66E0">
        <w:t xml:space="preserve"> </w:t>
      </w:r>
      <w:proofErr w:type="spellStart"/>
      <w:r w:rsidR="002E66E0">
        <w:t>OpenDSS</w:t>
      </w:r>
      <w:proofErr w:type="spellEnd"/>
      <w:r w:rsidR="002E66E0">
        <w:t xml:space="preserve"> file showed that many of the adjacent lines had line spacing and conductor types which exactly matched each other. </w:t>
      </w:r>
      <w:r w:rsidR="008F2A1F">
        <w:t xml:space="preserve">In order to reduce the feeder, </w:t>
      </w:r>
      <w:r w:rsidR="006A713C">
        <w:t xml:space="preserve">adjacent lines with matching characteristics were combined by summing their lengths to form one long line with the same line characteristics. Each change of conductor type or spacing caused the creation of a new line. </w:t>
      </w:r>
    </w:p>
    <w:p w14:paraId="06281FD2" w14:textId="4C596DB7" w:rsidR="0007094F" w:rsidRDefault="0007094F"/>
    <w:p w14:paraId="1DD2E8B0" w14:textId="584AE536" w:rsidR="0007094F" w:rsidRDefault="0007094F">
      <w:r>
        <w:t xml:space="preserve">For the reduction of Feeder 4, new unique bus IDs were assigned to the beginning and end of each line. Collapsing the lines and assigning these new IDs meant that the </w:t>
      </w:r>
      <w:r>
        <w:rPr>
          <w:i/>
        </w:rPr>
        <w:t>Loads</w:t>
      </w:r>
      <w:r>
        <w:t xml:space="preserve"> file no longer </w:t>
      </w:r>
      <w:r w:rsidR="001E261A">
        <w:t xml:space="preserve">allocated any load to the circuit since it referenced bus IDs that did not exist. </w:t>
      </w:r>
      <w:r w:rsidR="00733DA2">
        <w:t xml:space="preserve">Therefore, the </w:t>
      </w:r>
      <w:r w:rsidR="00733DA2">
        <w:rPr>
          <w:i/>
        </w:rPr>
        <w:t>Loads</w:t>
      </w:r>
      <w:r w:rsidR="00733DA2">
        <w:t xml:space="preserve"> file also needed to be reduced. Each new line represents the combination of a number of adjacent lines, thereby representing a list of adjacent bus IDs. </w:t>
      </w:r>
      <w:r w:rsidR="001B131D">
        <w:t xml:space="preserve">The loads associated with each of these bus IDs were summed for each new line to create a spot load. This spot load was then centered to reflect the relative load density along the line. Moreover, a load placed at 0.8 times the length of a new line reflects that there is a greater load density closer to the ending bus ID of the new line. Each of these new spot loads split the new lines into two lines with equal characteristics but different lengths to represent the load </w:t>
      </w:r>
      <w:commentRangeStart w:id="1"/>
      <w:r w:rsidR="001B131D">
        <w:t>placement</w:t>
      </w:r>
      <w:commentRangeEnd w:id="1"/>
      <w:r w:rsidR="001B131D">
        <w:rPr>
          <w:rStyle w:val="CommentReference"/>
        </w:rPr>
        <w:commentReference w:id="1"/>
      </w:r>
      <w:r w:rsidR="001B131D">
        <w:t>.</w:t>
      </w:r>
    </w:p>
    <w:p w14:paraId="4C481CC3" w14:textId="05844BA5" w:rsidR="00D30018" w:rsidRDefault="00D30018"/>
    <w:p w14:paraId="3F56B483" w14:textId="0993BD88" w:rsidR="00D30018" w:rsidRDefault="00D30018">
      <w:r>
        <w:t xml:space="preserve">The </w:t>
      </w:r>
      <w:proofErr w:type="spellStart"/>
      <w:r>
        <w:rPr>
          <w:i/>
        </w:rPr>
        <w:t>LinesByPhase</w:t>
      </w:r>
      <w:proofErr w:type="spellEnd"/>
      <w:r>
        <w:t xml:space="preserve"> and </w:t>
      </w:r>
      <w:r>
        <w:rPr>
          <w:i/>
        </w:rPr>
        <w:t>Loads</w:t>
      </w:r>
      <w:r>
        <w:t xml:space="preserve"> </w:t>
      </w:r>
      <w:proofErr w:type="spellStart"/>
      <w:r>
        <w:t>OpenDSS</w:t>
      </w:r>
      <w:proofErr w:type="spellEnd"/>
      <w:r>
        <w:t xml:space="preserve"> files for Feeder 4 were reduced by hand. A new topography was developed in order to better showcase the reduction method. This new topography is shown in Figure X. Notice how the loads are positioned to reflect the load density as discussed earlier. Also note that the voltage regulators and capacitors were maintained in this </w:t>
      </w:r>
      <w:r>
        <w:lastRenderedPageBreak/>
        <w:t>model. Equipment such as these would also force the start of a new line in the line reduction method presented.</w:t>
      </w:r>
    </w:p>
    <w:p w14:paraId="0403364D" w14:textId="0A46D109" w:rsidR="00D30018" w:rsidRDefault="00D30018"/>
    <w:p w14:paraId="59CE0E6D" w14:textId="461BB2D9" w:rsidR="00D30018" w:rsidRDefault="00D30018">
      <w:r>
        <w:rPr>
          <w:noProof/>
        </w:rPr>
        <w:drawing>
          <wp:inline distT="0" distB="0" distL="0" distR="0" wp14:anchorId="5B40FABD" wp14:editId="12B1B28E">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2645"/>
                    </a:xfrm>
                    <a:prstGeom prst="rect">
                      <a:avLst/>
                    </a:prstGeom>
                  </pic:spPr>
                </pic:pic>
              </a:graphicData>
            </a:graphic>
          </wp:inline>
        </w:drawing>
      </w:r>
    </w:p>
    <w:p w14:paraId="2FA910B1" w14:textId="368D853D" w:rsidR="00D30018" w:rsidRPr="00D30018" w:rsidRDefault="00D30018" w:rsidP="00D30018">
      <w:pPr>
        <w:jc w:val="center"/>
      </w:pPr>
      <w:r>
        <w:t>Figure X: Reduced Feeder 4 Topography</w:t>
      </w:r>
    </w:p>
    <w:p w14:paraId="6FC81ABE" w14:textId="6AB6CC34" w:rsidR="006A713C" w:rsidRDefault="006A713C"/>
    <w:p w14:paraId="01C4D75D" w14:textId="1E264EE4" w:rsidR="006A713C" w:rsidRDefault="009710D0">
      <w:pPr>
        <w:rPr>
          <w:noProof/>
        </w:rPr>
      </w:pPr>
      <w:r>
        <w:t xml:space="preserve">The requirements of the reduction were that it reduced the runtime and maintained the electrical equivalency of the detailed feeder model. In order to prove the latter, a </w:t>
      </w:r>
      <w:commentRangeStart w:id="2"/>
      <w:r>
        <w:t>QSTS</w:t>
      </w:r>
      <w:commentRangeEnd w:id="2"/>
      <w:r>
        <w:rPr>
          <w:rStyle w:val="CommentReference"/>
        </w:rPr>
        <w:commentReference w:id="2"/>
      </w:r>
      <w:r>
        <w:t xml:space="preserve"> analysis was performed on the reduced model and compared to the historical data. The result of interest from this analysis was the reactive power, which is shown in Figure </w:t>
      </w:r>
      <w:proofErr w:type="spellStart"/>
      <w:r>
        <w:t>Xa</w:t>
      </w:r>
      <w:proofErr w:type="spellEnd"/>
      <w:r>
        <w:t xml:space="preserve">. The historical data is represented by the marker labeled SCADA while the results of the QSTS utilizing </w:t>
      </w:r>
      <w:proofErr w:type="spellStart"/>
      <w:r>
        <w:t>OpenDSS</w:t>
      </w:r>
      <w:proofErr w:type="spellEnd"/>
      <w:r>
        <w:t xml:space="preserve"> for </w:t>
      </w:r>
      <w:proofErr w:type="spellStart"/>
      <w:r>
        <w:t>powerflow</w:t>
      </w:r>
      <w:proofErr w:type="spellEnd"/>
      <w:r>
        <w:t xml:space="preserve"> with the reduced model</w:t>
      </w:r>
      <w:r w:rsidR="0035078C">
        <w:t xml:space="preserve"> is represented by the marker labeled DSS.</w:t>
      </w:r>
      <w:r w:rsidR="0035078C" w:rsidRPr="0035078C">
        <w:rPr>
          <w:noProof/>
        </w:rPr>
        <w:t xml:space="preserve"> </w:t>
      </w:r>
    </w:p>
    <w:p w14:paraId="3EAD31C2" w14:textId="155AC169" w:rsidR="0035078C" w:rsidRDefault="0035078C">
      <w:pPr>
        <w:rPr>
          <w:noProof/>
        </w:rPr>
      </w:pPr>
    </w:p>
    <w:p w14:paraId="57B23B4E" w14:textId="02412976" w:rsidR="0035078C" w:rsidRDefault="00137E48">
      <w:pPr>
        <w:rPr>
          <w:noProof/>
        </w:rPr>
      </w:pPr>
      <w:r>
        <w:rPr>
          <w:noProof/>
        </w:rPr>
        <w:t xml:space="preserve">Visually, the reduced model appears closely match the historical data. In order to quantify how close the reduced model matches the historical, the the difference between the two was plotted in Figure </w:t>
      </w:r>
      <w:r w:rsidR="00333864">
        <w:rPr>
          <w:noProof/>
        </w:rPr>
        <w:t xml:space="preserve">Xb. As a reminder, the historical data was interpolated to 1 minute data, from 10 or 15 minute data, in order to time synchronize the data. Interpolated data does not perfectly predict the </w:t>
      </w:r>
      <w:r w:rsidR="00195B4F">
        <w:rPr>
          <w:noProof/>
        </w:rPr>
        <w:t xml:space="preserve">actual data. For example, if a measurement is taken at 0900 and another at 0915 indicates that a capacitor operates, there is no way of knowing at exactly what time that capacitor operated. So the interpolated historical data showcases capacitor operations on either 10 or 15 minute intervals. For the QSTS analysis, MATLAB is communicating with OpenDSS every minute of simulation. This degree of </w:t>
      </w:r>
      <w:r w:rsidR="005F677C">
        <w:rPr>
          <w:noProof/>
        </w:rPr>
        <w:t xml:space="preserve">clarity allows the OpenDSS model to capture the capacitor operation at the time of operation, rather than a few minutes later. This difference in clarity is shown by the spikes seen in Figure Xb. The average percent error for both the real and reactive power was just over 1%. It is assumed the maximum error of the reactive power is due to interpolated data rather </w:t>
      </w:r>
      <w:r w:rsidR="005F677C">
        <w:rPr>
          <w:noProof/>
        </w:rPr>
        <w:lastRenderedPageBreak/>
        <w:t xml:space="preserve">than a problem with the simplified feeder model. To gain an understanding of the maximum </w:t>
      </w:r>
      <w:r w:rsidR="005F677C">
        <w:rPr>
          <w:noProof/>
        </w:rPr>
        <w:drawing>
          <wp:anchor distT="0" distB="0" distL="114300" distR="114300" simplePos="0" relativeHeight="251658240" behindDoc="0" locked="0" layoutInCell="1" allowOverlap="1" wp14:anchorId="73D5BD19" wp14:editId="71A4A68A">
            <wp:simplePos x="0" y="0"/>
            <wp:positionH relativeFrom="margin">
              <wp:align>left</wp:align>
            </wp:positionH>
            <wp:positionV relativeFrom="paragraph">
              <wp:posOffset>367665</wp:posOffset>
            </wp:positionV>
            <wp:extent cx="5914728" cy="2108980"/>
            <wp:effectExtent l="0" t="0" r="0" b="5715"/>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l="5799" r="6944"/>
                    <a:stretch/>
                  </pic:blipFill>
                  <pic:spPr>
                    <a:xfrm>
                      <a:off x="0" y="0"/>
                      <a:ext cx="5914728" cy="2108980"/>
                    </a:xfrm>
                    <a:prstGeom prst="rect">
                      <a:avLst/>
                    </a:prstGeom>
                  </pic:spPr>
                </pic:pic>
              </a:graphicData>
            </a:graphic>
          </wp:anchor>
        </w:drawing>
      </w:r>
      <w:r w:rsidR="005F677C">
        <w:rPr>
          <w:noProof/>
        </w:rPr>
        <w:t xml:space="preserve">possible error, the maximum error of the real power was found to be 2.22%. </w:t>
      </w:r>
    </w:p>
    <w:p w14:paraId="0FC88ECC" w14:textId="18E05835" w:rsidR="00535065" w:rsidRDefault="005F677C" w:rsidP="0035078C">
      <w:pPr>
        <w:jc w:val="center"/>
      </w:pPr>
      <w:r>
        <w:rPr>
          <w:noProof/>
        </w:rPr>
        <w:drawing>
          <wp:anchor distT="0" distB="0" distL="114300" distR="114300" simplePos="0" relativeHeight="251659264" behindDoc="0" locked="0" layoutInCell="1" allowOverlap="1" wp14:anchorId="3AA6F10A" wp14:editId="14ECB64E">
            <wp:simplePos x="0" y="0"/>
            <wp:positionH relativeFrom="margin">
              <wp:align>right</wp:align>
            </wp:positionH>
            <wp:positionV relativeFrom="paragraph">
              <wp:posOffset>2364105</wp:posOffset>
            </wp:positionV>
            <wp:extent cx="5880941" cy="2108980"/>
            <wp:effectExtent l="0" t="0" r="5715" b="5715"/>
            <wp:wrapTopAndBottom/>
            <wp:docPr id="3" name="Content Placeholde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Content Placeholder 5"/>
                    <pic:cNvPicPr>
                      <a:picLocks/>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7114" r="7112"/>
                    <a:stretch/>
                  </pic:blipFill>
                  <pic:spPr>
                    <a:xfrm>
                      <a:off x="0" y="0"/>
                      <a:ext cx="5880941" cy="2108980"/>
                    </a:xfrm>
                    <a:prstGeom prst="rect">
                      <a:avLst/>
                    </a:prstGeom>
                  </pic:spPr>
                </pic:pic>
              </a:graphicData>
            </a:graphic>
          </wp:anchor>
        </w:drawing>
      </w:r>
      <w:r w:rsidR="00137E48">
        <w:t xml:space="preserve">Figure </w:t>
      </w:r>
      <w:proofErr w:type="spellStart"/>
      <w:r w:rsidR="00137E48">
        <w:t>Xa</w:t>
      </w:r>
      <w:proofErr w:type="spellEnd"/>
      <w:r w:rsidR="00137E48">
        <w:t xml:space="preserve">: Reactive Power from 24-hour QSTS </w:t>
      </w:r>
      <w:r w:rsidR="0035078C">
        <w:t>of Feeder 4</w:t>
      </w:r>
    </w:p>
    <w:p w14:paraId="2475E934" w14:textId="6F26A99E" w:rsidR="00137E48" w:rsidRDefault="00137E48" w:rsidP="0035078C">
      <w:pPr>
        <w:jc w:val="center"/>
      </w:pPr>
      <w:r>
        <w:t xml:space="preserve">Figure </w:t>
      </w:r>
      <w:proofErr w:type="spellStart"/>
      <w:r>
        <w:t>Xb</w:t>
      </w:r>
      <w:proofErr w:type="spellEnd"/>
      <w:r>
        <w:t>: Reactive Power Error from 24-hour QSTS of Feeder 4</w:t>
      </w:r>
    </w:p>
    <w:p w14:paraId="3945F622" w14:textId="4209F275" w:rsidR="005F677C" w:rsidRDefault="005F677C" w:rsidP="0035078C">
      <w:pPr>
        <w:jc w:val="center"/>
      </w:pPr>
    </w:p>
    <w:p w14:paraId="12A73B6A" w14:textId="77F58662" w:rsidR="005F677C" w:rsidRDefault="00B71D10" w:rsidP="00B71D10">
      <w:r>
        <w:t xml:space="preserve">The results and benefits of the reduction are best summarized by Table X. According the reduction in the number of lines and loads, there was </w:t>
      </w:r>
      <w:bookmarkStart w:id="3" w:name="_GoBack"/>
      <w:bookmarkEnd w:id="3"/>
      <w:r>
        <w:t xml:space="preserve">approximately a 95% reduction in the system. The benefit of this reduction was over 99% reduction in runtime for the QSTS analysis. </w:t>
      </w:r>
    </w:p>
    <w:p w14:paraId="21316500" w14:textId="77777777" w:rsidR="00B71D10" w:rsidRDefault="00B71D10" w:rsidP="00B71D10"/>
    <w:tbl>
      <w:tblPr>
        <w:tblStyle w:val="TableGrid"/>
        <w:tblW w:w="0" w:type="auto"/>
        <w:tblLook w:val="04A0" w:firstRow="1" w:lastRow="0" w:firstColumn="1" w:lastColumn="0" w:noHBand="0" w:noVBand="1"/>
      </w:tblPr>
      <w:tblGrid>
        <w:gridCol w:w="2337"/>
        <w:gridCol w:w="2337"/>
        <w:gridCol w:w="2338"/>
        <w:gridCol w:w="2338"/>
      </w:tblGrid>
      <w:tr w:rsidR="00B71D10" w14:paraId="2712F356" w14:textId="77777777" w:rsidTr="00B71D10">
        <w:tc>
          <w:tcPr>
            <w:tcW w:w="2337" w:type="dxa"/>
          </w:tcPr>
          <w:p w14:paraId="640B9F5C" w14:textId="1F201428" w:rsidR="00B71D10" w:rsidRPr="00B71D10" w:rsidRDefault="00B71D10" w:rsidP="00B71D10">
            <w:pPr>
              <w:jc w:val="center"/>
              <w:rPr>
                <w:b/>
              </w:rPr>
            </w:pPr>
            <w:r w:rsidRPr="00B71D10">
              <w:rPr>
                <w:b/>
              </w:rPr>
              <w:t>Model</w:t>
            </w:r>
          </w:p>
        </w:tc>
        <w:tc>
          <w:tcPr>
            <w:tcW w:w="2337" w:type="dxa"/>
          </w:tcPr>
          <w:p w14:paraId="2CED6C55" w14:textId="33D2E0C2" w:rsidR="00B71D10" w:rsidRPr="00B71D10" w:rsidRDefault="00B71D10" w:rsidP="00B71D10">
            <w:pPr>
              <w:jc w:val="center"/>
              <w:rPr>
                <w:b/>
              </w:rPr>
            </w:pPr>
            <w:r w:rsidRPr="00B71D10">
              <w:rPr>
                <w:b/>
              </w:rPr>
              <w:t>Lines</w:t>
            </w:r>
          </w:p>
        </w:tc>
        <w:tc>
          <w:tcPr>
            <w:tcW w:w="2338" w:type="dxa"/>
          </w:tcPr>
          <w:p w14:paraId="2B61BF8A" w14:textId="095DE4B2" w:rsidR="00B71D10" w:rsidRPr="00B71D10" w:rsidRDefault="00B71D10" w:rsidP="00B71D10">
            <w:pPr>
              <w:jc w:val="center"/>
              <w:rPr>
                <w:b/>
              </w:rPr>
            </w:pPr>
            <w:r w:rsidRPr="00B71D10">
              <w:rPr>
                <w:b/>
              </w:rPr>
              <w:t>Loads</w:t>
            </w:r>
          </w:p>
        </w:tc>
        <w:tc>
          <w:tcPr>
            <w:tcW w:w="2338" w:type="dxa"/>
          </w:tcPr>
          <w:p w14:paraId="5FFDCF9F" w14:textId="10C2D86D" w:rsidR="00B71D10" w:rsidRPr="00B71D10" w:rsidRDefault="00B71D10" w:rsidP="00B71D10">
            <w:pPr>
              <w:jc w:val="center"/>
              <w:rPr>
                <w:b/>
              </w:rPr>
            </w:pPr>
            <w:r w:rsidRPr="00B71D10">
              <w:rPr>
                <w:b/>
              </w:rPr>
              <w:t>Run Time</w:t>
            </w:r>
          </w:p>
        </w:tc>
      </w:tr>
      <w:tr w:rsidR="00B71D10" w14:paraId="5D50522F" w14:textId="77777777" w:rsidTr="00B71D10">
        <w:tc>
          <w:tcPr>
            <w:tcW w:w="2337" w:type="dxa"/>
          </w:tcPr>
          <w:p w14:paraId="1D0DE54A" w14:textId="66B31230" w:rsidR="00B71D10" w:rsidRDefault="00B71D10" w:rsidP="00B71D10">
            <w:pPr>
              <w:jc w:val="center"/>
            </w:pPr>
            <w:r>
              <w:t>Detailed</w:t>
            </w:r>
          </w:p>
        </w:tc>
        <w:tc>
          <w:tcPr>
            <w:tcW w:w="2337" w:type="dxa"/>
          </w:tcPr>
          <w:p w14:paraId="39220074" w14:textId="65DB41FE" w:rsidR="00B71D10" w:rsidRDefault="00B71D10" w:rsidP="00B71D10">
            <w:pPr>
              <w:jc w:val="center"/>
            </w:pPr>
            <w:r>
              <w:t>2196</w:t>
            </w:r>
          </w:p>
        </w:tc>
        <w:tc>
          <w:tcPr>
            <w:tcW w:w="2338" w:type="dxa"/>
          </w:tcPr>
          <w:p w14:paraId="6878414C" w14:textId="16F14A26" w:rsidR="00B71D10" w:rsidRDefault="00B71D10" w:rsidP="00B71D10">
            <w:pPr>
              <w:jc w:val="center"/>
            </w:pPr>
            <w:r>
              <w:t>1047</w:t>
            </w:r>
          </w:p>
        </w:tc>
        <w:tc>
          <w:tcPr>
            <w:tcW w:w="2338" w:type="dxa"/>
          </w:tcPr>
          <w:p w14:paraId="686DF4AC" w14:textId="160C5AEB" w:rsidR="00B71D10" w:rsidRDefault="00B71D10" w:rsidP="00B71D10">
            <w:pPr>
              <w:jc w:val="center"/>
            </w:pPr>
            <w:r>
              <w:t>~ 2 day / year sim</w:t>
            </w:r>
          </w:p>
        </w:tc>
      </w:tr>
      <w:tr w:rsidR="00B71D10" w14:paraId="64B55777" w14:textId="77777777" w:rsidTr="00B71D10">
        <w:tc>
          <w:tcPr>
            <w:tcW w:w="2337" w:type="dxa"/>
          </w:tcPr>
          <w:p w14:paraId="6D6DBDE5" w14:textId="11CCFDA1" w:rsidR="00B71D10" w:rsidRDefault="00B71D10" w:rsidP="00B71D10">
            <w:pPr>
              <w:jc w:val="center"/>
            </w:pPr>
            <w:r>
              <w:t>Reduced</w:t>
            </w:r>
          </w:p>
        </w:tc>
        <w:tc>
          <w:tcPr>
            <w:tcW w:w="2337" w:type="dxa"/>
          </w:tcPr>
          <w:p w14:paraId="261AFED1" w14:textId="63F6239E" w:rsidR="00B71D10" w:rsidRDefault="00B71D10" w:rsidP="00B71D10">
            <w:pPr>
              <w:jc w:val="center"/>
            </w:pPr>
            <w:r>
              <w:t>67</w:t>
            </w:r>
          </w:p>
        </w:tc>
        <w:tc>
          <w:tcPr>
            <w:tcW w:w="2338" w:type="dxa"/>
          </w:tcPr>
          <w:p w14:paraId="74AE5EE1" w14:textId="0AC210D9" w:rsidR="00B71D10" w:rsidRDefault="00B71D10" w:rsidP="00B71D10">
            <w:pPr>
              <w:jc w:val="center"/>
            </w:pPr>
            <w:r>
              <w:t>78</w:t>
            </w:r>
          </w:p>
        </w:tc>
        <w:tc>
          <w:tcPr>
            <w:tcW w:w="2338" w:type="dxa"/>
          </w:tcPr>
          <w:p w14:paraId="607ADE77" w14:textId="63EF2F7B" w:rsidR="00B71D10" w:rsidRDefault="00B71D10" w:rsidP="00B71D10">
            <w:pPr>
              <w:jc w:val="center"/>
            </w:pPr>
            <w:r>
              <w:t>~ 16 min / year sim</w:t>
            </w:r>
          </w:p>
        </w:tc>
      </w:tr>
      <w:tr w:rsidR="00B71D10" w14:paraId="34B94BAD" w14:textId="77777777" w:rsidTr="00B71D10">
        <w:tc>
          <w:tcPr>
            <w:tcW w:w="2337" w:type="dxa"/>
          </w:tcPr>
          <w:p w14:paraId="1BE96113" w14:textId="14F4D19B" w:rsidR="00B71D10" w:rsidRPr="00B71D10" w:rsidRDefault="00B71D10" w:rsidP="00B71D10">
            <w:pPr>
              <w:jc w:val="center"/>
              <w:rPr>
                <w:i/>
              </w:rPr>
            </w:pPr>
            <w:r w:rsidRPr="00B71D10">
              <w:rPr>
                <w:i/>
              </w:rPr>
              <w:t>Reduction</w:t>
            </w:r>
          </w:p>
        </w:tc>
        <w:tc>
          <w:tcPr>
            <w:tcW w:w="2337" w:type="dxa"/>
          </w:tcPr>
          <w:p w14:paraId="633DDE82" w14:textId="5625DF15" w:rsidR="00B71D10" w:rsidRPr="00B71D10" w:rsidRDefault="00B71D10" w:rsidP="00B71D10">
            <w:pPr>
              <w:jc w:val="center"/>
              <w:rPr>
                <w:i/>
              </w:rPr>
            </w:pPr>
            <w:r w:rsidRPr="00B71D10">
              <w:rPr>
                <w:i/>
              </w:rPr>
              <w:t>96.9%</w:t>
            </w:r>
          </w:p>
        </w:tc>
        <w:tc>
          <w:tcPr>
            <w:tcW w:w="2338" w:type="dxa"/>
          </w:tcPr>
          <w:p w14:paraId="578DFB70" w14:textId="54BA1889" w:rsidR="00B71D10" w:rsidRPr="00B71D10" w:rsidRDefault="00B71D10" w:rsidP="00B71D10">
            <w:pPr>
              <w:jc w:val="center"/>
              <w:rPr>
                <w:i/>
              </w:rPr>
            </w:pPr>
            <w:r w:rsidRPr="00B71D10">
              <w:rPr>
                <w:i/>
              </w:rPr>
              <w:t>92.6%</w:t>
            </w:r>
          </w:p>
        </w:tc>
        <w:tc>
          <w:tcPr>
            <w:tcW w:w="2338" w:type="dxa"/>
          </w:tcPr>
          <w:p w14:paraId="7CF3EC33" w14:textId="7B43ED5A" w:rsidR="00B71D10" w:rsidRPr="00B71D10" w:rsidRDefault="00B71D10" w:rsidP="00B71D10">
            <w:pPr>
              <w:jc w:val="center"/>
              <w:rPr>
                <w:i/>
              </w:rPr>
            </w:pPr>
            <w:r w:rsidRPr="00B71D10">
              <w:rPr>
                <w:i/>
              </w:rPr>
              <w:t>99.5%</w:t>
            </w:r>
          </w:p>
        </w:tc>
      </w:tr>
    </w:tbl>
    <w:p w14:paraId="60D62FC7" w14:textId="0B7885F1" w:rsidR="00B71D10" w:rsidRDefault="00B71D10" w:rsidP="00B71D10">
      <w:pPr>
        <w:jc w:val="center"/>
      </w:pPr>
      <w:r>
        <w:t>Table X: Percent Reduction of Lines, Loads, and Run Time</w:t>
      </w:r>
    </w:p>
    <w:p w14:paraId="29B734E9" w14:textId="7475979F" w:rsidR="00017DBA" w:rsidRDefault="00017DBA" w:rsidP="00B71D10">
      <w:pPr>
        <w:jc w:val="center"/>
      </w:pPr>
    </w:p>
    <w:p w14:paraId="5E46ABD1" w14:textId="67DFF804" w:rsidR="00017DBA" w:rsidRPr="00E73AAC" w:rsidRDefault="00B65604" w:rsidP="00B65604">
      <w:r>
        <w:t xml:space="preserve">The benefit of this reduction corresponds to an exponential time savings. Most of the DER planning tools require iterative changes to the system with a subsequent </w:t>
      </w:r>
      <w:proofErr w:type="spellStart"/>
      <w:r>
        <w:t>powerflow</w:t>
      </w:r>
      <w:proofErr w:type="spellEnd"/>
      <w:r>
        <w:t xml:space="preserve"> in </w:t>
      </w:r>
      <w:proofErr w:type="spellStart"/>
      <w:r>
        <w:t>OpenDSS</w:t>
      </w:r>
      <w:proofErr w:type="spellEnd"/>
      <w:r>
        <w:t xml:space="preserve">. For each tool, the number of iterations is reduced by, on average, 95% and the </w:t>
      </w:r>
      <w:proofErr w:type="spellStart"/>
      <w:r>
        <w:t>OpenDSS</w:t>
      </w:r>
      <w:proofErr w:type="spellEnd"/>
      <w:r>
        <w:t xml:space="preserve"> requires only a fraction of the runtime to run the </w:t>
      </w:r>
      <w:proofErr w:type="spellStart"/>
      <w:r>
        <w:t>powerflow</w:t>
      </w:r>
      <w:proofErr w:type="spellEnd"/>
      <w:r>
        <w:t xml:space="preserve">. As the number and complexity of the tools and feeders increase, these time savings compound. This reduction model provides a way of performing </w:t>
      </w:r>
      <w:r w:rsidR="00597D71">
        <w:t xml:space="preserve">analysis accurately and quickly. </w:t>
      </w:r>
    </w:p>
    <w:sectPr w:rsidR="00017DBA" w:rsidRPr="00E73A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hua Michael Burklew Smith" w:date="2016-11-13T23:16:00Z" w:initials="JMBS">
    <w:p w14:paraId="198C77BF" w14:textId="77777777" w:rsidR="002C33DF" w:rsidRDefault="002C33DF">
      <w:pPr>
        <w:pStyle w:val="CommentText"/>
      </w:pPr>
      <w:r>
        <w:rPr>
          <w:rStyle w:val="CommentReference"/>
        </w:rPr>
        <w:annotationRef/>
      </w:r>
      <w:r>
        <w:t>I did some quick google searching which didn’t return much. The brief overview of a link mentioned over 5000 substations but I’m not sure what service area it covered. You may want to check this number if you know how to. Otherwise, change to 100s or take this out. Thanks</w:t>
      </w:r>
    </w:p>
  </w:comment>
  <w:comment w:id="1" w:author="Joshua Michael Burklew Smith" w:date="2016-11-14T09:42:00Z" w:initials="JMBS">
    <w:p w14:paraId="6E150169" w14:textId="60A32913" w:rsidR="001B131D" w:rsidRDefault="001B131D">
      <w:pPr>
        <w:pStyle w:val="CommentText"/>
      </w:pPr>
      <w:r>
        <w:rPr>
          <w:rStyle w:val="CommentReference"/>
        </w:rPr>
        <w:annotationRef/>
      </w:r>
      <w:r>
        <w:t>This entire paragraph made need some slight rephrasing. I know what I want to say but not exactly how to say it. Since this is due today, I don’t have the time to come back to it later to rephrase. Please do your magic, but here’s a skeleton.</w:t>
      </w:r>
    </w:p>
  </w:comment>
  <w:comment w:id="2" w:author="Joshua Michael Burklew Smith" w:date="2016-11-14T10:10:00Z" w:initials="JMBS">
    <w:p w14:paraId="22A16F75" w14:textId="7C92BA2D" w:rsidR="009710D0" w:rsidRDefault="009710D0">
      <w:pPr>
        <w:pStyle w:val="CommentText"/>
      </w:pPr>
      <w:r>
        <w:rPr>
          <w:rStyle w:val="CommentReference"/>
        </w:rPr>
        <w:annotationRef/>
      </w:r>
      <w:r>
        <w:t>I am making the assumption that you have already explained the QSTS at this point. If you have not, please change this as you see fit.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8C77BF" w15:done="0"/>
  <w15:commentEx w15:paraId="6E150169" w15:done="0"/>
  <w15:commentEx w15:paraId="22A16F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hua Michael Burklew Smith">
    <w15:presenceInfo w15:providerId="None" w15:userId="Joshua Michael Burklew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5E"/>
    <w:rsid w:val="00017DBA"/>
    <w:rsid w:val="0007094F"/>
    <w:rsid w:val="00137E48"/>
    <w:rsid w:val="00195B4F"/>
    <w:rsid w:val="001B131D"/>
    <w:rsid w:val="001E261A"/>
    <w:rsid w:val="002C33DF"/>
    <w:rsid w:val="002D32AB"/>
    <w:rsid w:val="002E1329"/>
    <w:rsid w:val="002E66E0"/>
    <w:rsid w:val="002F6B1D"/>
    <w:rsid w:val="0031395E"/>
    <w:rsid w:val="00333864"/>
    <w:rsid w:val="0035078C"/>
    <w:rsid w:val="004465A3"/>
    <w:rsid w:val="004B366E"/>
    <w:rsid w:val="00535065"/>
    <w:rsid w:val="00583A5E"/>
    <w:rsid w:val="00597D71"/>
    <w:rsid w:val="005A6E91"/>
    <w:rsid w:val="005F677C"/>
    <w:rsid w:val="0069552A"/>
    <w:rsid w:val="006A713C"/>
    <w:rsid w:val="00733DA2"/>
    <w:rsid w:val="007A433E"/>
    <w:rsid w:val="00892DAC"/>
    <w:rsid w:val="008F2A1F"/>
    <w:rsid w:val="009710D0"/>
    <w:rsid w:val="00B65604"/>
    <w:rsid w:val="00B71D10"/>
    <w:rsid w:val="00D30018"/>
    <w:rsid w:val="00E73AAC"/>
    <w:rsid w:val="00EA4C35"/>
    <w:rsid w:val="00F0726D"/>
    <w:rsid w:val="00F8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4364"/>
  <w15:chartTrackingRefBased/>
  <w15:docId w15:val="{1823AE98-F6D0-44B5-B13C-1640142E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33DF"/>
    <w:rPr>
      <w:sz w:val="16"/>
      <w:szCs w:val="16"/>
    </w:rPr>
  </w:style>
  <w:style w:type="paragraph" w:styleId="CommentText">
    <w:name w:val="annotation text"/>
    <w:basedOn w:val="Normal"/>
    <w:link w:val="CommentTextChar"/>
    <w:uiPriority w:val="99"/>
    <w:semiHidden/>
    <w:unhideWhenUsed/>
    <w:rsid w:val="002C33DF"/>
    <w:rPr>
      <w:sz w:val="20"/>
      <w:szCs w:val="20"/>
    </w:rPr>
  </w:style>
  <w:style w:type="character" w:customStyle="1" w:styleId="CommentTextChar">
    <w:name w:val="Comment Text Char"/>
    <w:basedOn w:val="DefaultParagraphFont"/>
    <w:link w:val="CommentText"/>
    <w:uiPriority w:val="99"/>
    <w:semiHidden/>
    <w:rsid w:val="002C33DF"/>
    <w:rPr>
      <w:sz w:val="20"/>
      <w:szCs w:val="20"/>
    </w:rPr>
  </w:style>
  <w:style w:type="paragraph" w:styleId="CommentSubject">
    <w:name w:val="annotation subject"/>
    <w:basedOn w:val="CommentText"/>
    <w:next w:val="CommentText"/>
    <w:link w:val="CommentSubjectChar"/>
    <w:uiPriority w:val="99"/>
    <w:semiHidden/>
    <w:unhideWhenUsed/>
    <w:rsid w:val="002C33DF"/>
    <w:rPr>
      <w:b/>
      <w:bCs/>
    </w:rPr>
  </w:style>
  <w:style w:type="character" w:customStyle="1" w:styleId="CommentSubjectChar">
    <w:name w:val="Comment Subject Char"/>
    <w:basedOn w:val="CommentTextChar"/>
    <w:link w:val="CommentSubject"/>
    <w:uiPriority w:val="99"/>
    <w:semiHidden/>
    <w:rsid w:val="002C33DF"/>
    <w:rPr>
      <w:b/>
      <w:bCs/>
      <w:sz w:val="20"/>
      <w:szCs w:val="20"/>
    </w:rPr>
  </w:style>
  <w:style w:type="paragraph" w:styleId="BalloonText">
    <w:name w:val="Balloon Text"/>
    <w:basedOn w:val="Normal"/>
    <w:link w:val="BalloonTextChar"/>
    <w:uiPriority w:val="99"/>
    <w:semiHidden/>
    <w:unhideWhenUsed/>
    <w:rsid w:val="002C33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3DF"/>
    <w:rPr>
      <w:rFonts w:ascii="Segoe UI" w:hAnsi="Segoe UI" w:cs="Segoe UI"/>
      <w:sz w:val="18"/>
      <w:szCs w:val="18"/>
    </w:rPr>
  </w:style>
  <w:style w:type="table" w:styleId="TableGrid">
    <w:name w:val="Table Grid"/>
    <w:basedOn w:val="TableNormal"/>
    <w:uiPriority w:val="39"/>
    <w:rsid w:val="00B71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Michael Burklew Smith</dc:creator>
  <cp:keywords/>
  <dc:description/>
  <cp:lastModifiedBy>Joshua Michael Burklew Smith</cp:lastModifiedBy>
  <cp:revision>14</cp:revision>
  <dcterms:created xsi:type="dcterms:W3CDTF">2016-11-13T23:07:00Z</dcterms:created>
  <dcterms:modified xsi:type="dcterms:W3CDTF">2016-11-14T16:34:00Z</dcterms:modified>
</cp:coreProperties>
</file>