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5pt;mso-position-horizontal-relative:page;mso-position-vertical-relative:page" o:ole="" filled="t">
            <v:imagedata r:id="rId7" o:title=""/>
          </v:shape>
          <o:OLEObject Type="Embed" ProgID="Word.Picture.8" ShapeID="Picture 1" DrawAspect="Content" ObjectID="_1586267429"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w:t>
      </w:r>
      <w:r w:rsidRPr="003377E8">
        <w:rPr>
          <w:sz w:val="24"/>
          <w:szCs w:val="24"/>
        </w:rPr>
        <w:lastRenderedPageBreak/>
        <w:t>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w:t>
      </w:r>
      <w:r w:rsidRPr="003377E8">
        <w:rPr>
          <w:sz w:val="24"/>
          <w:szCs w:val="24"/>
        </w:rPr>
        <w:lastRenderedPageBreak/>
        <w:t>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w:t>
      </w:r>
      <w:r>
        <w:rPr>
          <w:rFonts w:hint="eastAsia"/>
          <w:sz w:val="24"/>
          <w:szCs w:val="24"/>
        </w:rPr>
        <w:lastRenderedPageBreak/>
        <w:t>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7E700B">
        <w:fldChar w:fldCharType="begin"/>
      </w:r>
      <w:r w:rsidR="007E700B">
        <w:instrText xml:space="preserve"> HYPERLINK "https://github.com/linux-pmfs/pmfs" </w:instrText>
      </w:r>
      <w:r w:rsidR="007E700B">
        <w:fldChar w:fldCharType="separate"/>
      </w:r>
      <w:r w:rsidRPr="000733D8">
        <w:rPr>
          <w:rStyle w:val="a3"/>
          <w:sz w:val="24"/>
          <w:szCs w:val="24"/>
        </w:rPr>
        <w:t>https://github.com/linux-pmfs/pmfs</w:t>
      </w:r>
      <w:r w:rsidR="007E700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lastRenderedPageBreak/>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lastRenderedPageBreak/>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lastRenderedPageBreak/>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lastRenderedPageBreak/>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w:t>
      </w:r>
      <w:r w:rsidR="00715DC6" w:rsidRPr="004D2CD9">
        <w:rPr>
          <w:rFonts w:hint="eastAsia"/>
          <w:sz w:val="24"/>
          <w:szCs w:val="24"/>
        </w:rPr>
        <w:lastRenderedPageBreak/>
        <w:t>来说</w:t>
      </w:r>
      <w:proofErr w:type="spellStart"/>
      <w:r w:rsidR="00715DC6" w:rsidRPr="004D2CD9">
        <w:rPr>
          <w:rFonts w:hint="eastAsia"/>
          <w:sz w:val="24"/>
          <w:szCs w:val="24"/>
        </w:rPr>
        <w:t>PMFS</w:t>
      </w:r>
      <w:proofErr w:type="spellEnd"/>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81581" w:rsidRDefault="00981581">
      <w:pPr>
        <w:spacing w:beforeLines="50" w:before="156" w:afterLines="50" w:after="156"/>
        <w:jc w:val="center"/>
        <w:rPr>
          <w:rFonts w:ascii="楷体_GB2312" w:eastAsia="楷体_GB2312"/>
          <w:color w:val="FF0000"/>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lastRenderedPageBreak/>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w:t>
      </w:r>
      <w:proofErr w:type="gramStart"/>
      <w:r w:rsidR="004831DB">
        <w:rPr>
          <w:rFonts w:hint="eastAsia"/>
          <w:sz w:val="24"/>
          <w:szCs w:val="24"/>
        </w:rPr>
        <w:t>还有位示图</w:t>
      </w:r>
      <w:proofErr w:type="gramEnd"/>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w:t>
      </w:r>
      <w:r>
        <w:rPr>
          <w:rFonts w:ascii="宋体" w:hAnsi="宋体" w:hint="eastAsia"/>
          <w:sz w:val="24"/>
        </w:rPr>
        <w:lastRenderedPageBreak/>
        <w:t>点与一级索引结点之间的双向指针，可以定位出一级索引上的块，从而完成分配。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w:t>
      </w:r>
      <w:r w:rsidR="00237504">
        <w:rPr>
          <w:rFonts w:hint="eastAsia"/>
          <w:sz w:val="24"/>
        </w:rPr>
        <w:lastRenderedPageBreak/>
        <w:t>时二级索引带来了额外的维护开销，增加了一些指针操作</w:t>
      </w:r>
      <w:r w:rsidR="009304AD">
        <w:rPr>
          <w:rFonts w:hint="eastAsia"/>
          <w:sz w:val="24"/>
        </w:rPr>
        <w:t>，总体上来说，优化后的分配器效率</w:t>
      </w:r>
      <w:r w:rsidR="00DC6EAF">
        <w:rPr>
          <w:rFonts w:hint="eastAsia"/>
          <w:sz w:val="24"/>
        </w:rPr>
        <w:t>应当</w:t>
      </w:r>
      <w:r w:rsidR="009304AD">
        <w:rPr>
          <w:rFonts w:hint="eastAsia"/>
          <w:sz w:val="24"/>
        </w:rPr>
        <w:t>会有所提升。</w:t>
      </w: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9863E9" w:rsidRDefault="009863E9" w:rsidP="009863E9">
      <w:pPr>
        <w:spacing w:beforeLines="50" w:before="156" w:afterLines="50" w:after="156"/>
        <w:jc w:val="center"/>
        <w:rPr>
          <w:rFonts w:ascii="楷体_GB2312" w:eastAsia="楷体_GB2312"/>
          <w:color w:val="FF0000"/>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4</w:t>
      </w:r>
      <w:r>
        <w:rPr>
          <w:b/>
          <w:sz w:val="28"/>
          <w:szCs w:val="28"/>
        </w:rPr>
        <w:t>.1</w:t>
      </w:r>
      <w:r>
        <w:rPr>
          <w:rFonts w:ascii="黑体" w:eastAsia="黑体" w:hint="eastAsia"/>
          <w:b/>
          <w:sz w:val="28"/>
          <w:szCs w:val="28"/>
        </w:rPr>
        <w:t xml:space="preserve"> </w:t>
      </w:r>
      <w:r w:rsidR="00CB7BEB">
        <w:rPr>
          <w:rFonts w:ascii="黑体" w:eastAsia="黑体" w:hint="eastAsia"/>
          <w:b/>
          <w:sz w:val="28"/>
          <w:szCs w:val="28"/>
        </w:rPr>
        <w:t>组织方式的优化实现</w:t>
      </w:r>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rFonts w:hint="eastAsia"/>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rFonts w:hint="eastAsia"/>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rFonts w:hint="eastAsia"/>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rFonts w:hint="eastAsia"/>
                <w:sz w:val="24"/>
              </w:rPr>
            </w:pPr>
            <w:r>
              <w:rPr>
                <w:rFonts w:hint="eastAsia"/>
                <w:sz w:val="24"/>
              </w:rPr>
              <w:t>link</w:t>
            </w:r>
          </w:p>
        </w:tc>
        <w:tc>
          <w:tcPr>
            <w:tcW w:w="2831" w:type="dxa"/>
          </w:tcPr>
          <w:p w:rsidR="002B0C8C" w:rsidRDefault="002B0C8C" w:rsidP="002B0C8C">
            <w:pPr>
              <w:spacing w:line="360" w:lineRule="auto"/>
              <w:jc w:val="center"/>
              <w:rPr>
                <w:rFonts w:hint="eastAsia"/>
                <w:sz w:val="24"/>
              </w:rPr>
            </w:pPr>
            <w:proofErr w:type="spellStart"/>
            <w:r>
              <w:rPr>
                <w:sz w:val="24"/>
              </w:rPr>
              <w:t>list_head</w:t>
            </w:r>
            <w:proofErr w:type="spellEnd"/>
          </w:p>
        </w:tc>
        <w:tc>
          <w:tcPr>
            <w:tcW w:w="2832" w:type="dxa"/>
          </w:tcPr>
          <w:p w:rsidR="002B0C8C" w:rsidRDefault="002B0C8C" w:rsidP="002B0C8C">
            <w:pPr>
              <w:spacing w:line="360" w:lineRule="auto"/>
              <w:jc w:val="center"/>
              <w:rPr>
                <w:rFonts w:hint="eastAsia"/>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rFonts w:hint="eastAsia"/>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rFonts w:hint="eastAsia"/>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rFonts w:hint="eastAsia"/>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rFonts w:hint="eastAsia"/>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rFonts w:hint="eastAsia"/>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rFonts w:hint="eastAsia"/>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rFonts w:hint="eastAsia"/>
                <w:sz w:val="24"/>
              </w:rPr>
            </w:pPr>
            <w:proofErr w:type="spellStart"/>
            <w:r>
              <w:rPr>
                <w:sz w:val="24"/>
              </w:rPr>
              <w:t>blockp</w:t>
            </w:r>
            <w:proofErr w:type="spellEnd"/>
          </w:p>
        </w:tc>
        <w:tc>
          <w:tcPr>
            <w:tcW w:w="2831" w:type="dxa"/>
          </w:tcPr>
          <w:p w:rsidR="00D55CA6" w:rsidRDefault="00D55CA6" w:rsidP="00D55CA6">
            <w:pPr>
              <w:spacing w:line="360" w:lineRule="auto"/>
              <w:jc w:val="center"/>
              <w:rPr>
                <w:rFonts w:hint="eastAsia"/>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rFonts w:hint="eastAsia"/>
                <w:sz w:val="24"/>
              </w:rPr>
            </w:pPr>
            <w:r>
              <w:rPr>
                <w:rFonts w:hint="eastAsia"/>
                <w:sz w:val="24"/>
              </w:rPr>
              <w:t>二级索引结点指针</w:t>
            </w:r>
          </w:p>
        </w:tc>
      </w:tr>
    </w:tbl>
    <w:p w:rsidR="002B0C8C" w:rsidRPr="00021635" w:rsidRDefault="00D55CA6" w:rsidP="002B0C8C">
      <w:pPr>
        <w:spacing w:line="360" w:lineRule="auto"/>
        <w:rPr>
          <w:rFonts w:hint="eastAsia"/>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lastRenderedPageBreak/>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hint="eastAsia"/>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rFonts w:hint="eastAsia"/>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hint="eastAsia"/>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rFonts w:hint="eastAsia"/>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rFonts w:hint="eastAsia"/>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w:t>
      </w:r>
      <w:r w:rsidR="00F52406">
        <w:rPr>
          <w:rFonts w:hint="eastAsia"/>
          <w:sz w:val="24"/>
        </w:rPr>
        <w:lastRenderedPageBreak/>
        <w:t>索引结点找到对应的二级索引结点，方便维护索引结构。</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4</w:t>
      </w:r>
      <w:r>
        <w:rPr>
          <w:b/>
          <w:sz w:val="28"/>
          <w:szCs w:val="28"/>
        </w:rPr>
        <w:t>.2</w:t>
      </w:r>
      <w:r>
        <w:rPr>
          <w:rFonts w:ascii="黑体" w:eastAsia="黑体" w:hint="eastAsia"/>
          <w:b/>
          <w:sz w:val="28"/>
          <w:szCs w:val="28"/>
        </w:rPr>
        <w:t xml:space="preserve"> </w:t>
      </w:r>
      <w:r w:rsidR="00CB7BEB">
        <w:rPr>
          <w:rFonts w:ascii="黑体" w:eastAsia="黑体" w:hint="eastAsia"/>
          <w:b/>
          <w:sz w:val="28"/>
          <w:szCs w:val="28"/>
        </w:rPr>
        <w:t>分配/回收策略优化实现</w:t>
      </w:r>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hint="eastAsia"/>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Default="00730C7E" w:rsidP="008158A9">
      <w:pPr>
        <w:spacing w:line="360" w:lineRule="auto"/>
        <w:ind w:firstLine="420"/>
        <w:rPr>
          <w:rFonts w:ascii="宋体" w:hAnsi="宋体" w:hint="eastAsia"/>
          <w:sz w:val="24"/>
        </w:rPr>
      </w:pPr>
      <w:r>
        <w:rPr>
          <w:rFonts w:ascii="宋体" w:hAnsi="宋体" w:hint="eastAsia"/>
          <w:sz w:val="24"/>
        </w:rPr>
        <w:lastRenderedPageBreak/>
        <w:t>以完成一个2M类型块的分配过程为例，上层对象发起请求并传入所需块的类型（2M），据此取得2M类型的二级索引表表头freeblocks_2M_head，取出二级索引表的第一个结点，再通过指针取得一级索引结点，并从中获取起始块编号，返回给调用者，完成分配。分配策略的流程图如图4-</w:t>
      </w:r>
      <w:r>
        <w:rPr>
          <w:rFonts w:ascii="宋体" w:hAnsi="宋体"/>
          <w:sz w:val="24"/>
        </w:rPr>
        <w:t>1</w:t>
      </w:r>
      <w:r>
        <w:rPr>
          <w:rFonts w:ascii="宋体" w:hAnsi="宋体" w:hint="eastAsia"/>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C94881" w:rsidRDefault="00C94881" w:rsidP="00C94881">
      <w:pPr>
        <w:rPr>
          <w:rFonts w:ascii="宋体" w:hAnsi="宋体"/>
        </w:rPr>
      </w:pPr>
      <w:r>
        <w:rPr>
          <w:rFonts w:ascii="宋体" w:hAnsi="宋体"/>
        </w:rPr>
        <w:tab/>
      </w:r>
      <w:bookmarkStart w:id="10" w:name="_GoBack"/>
      <w:bookmarkEnd w:id="10"/>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E861D5" w:rsidRDefault="00283B83" w:rsidP="00C94881">
      <w:pPr>
        <w:rPr>
          <w:rFonts w:ascii="宋体" w:hAnsi="宋体"/>
        </w:rPr>
      </w:pP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sidR="00CB7BEB">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CB7BEB" w:rsidRDefault="00CB7BEB" w:rsidP="009863E9">
      <w:pPr>
        <w:jc w:val="center"/>
        <w:rPr>
          <w:rFonts w:ascii="宋体" w:hAnsi="宋体"/>
        </w:rPr>
      </w:pPr>
    </w:p>
    <w:p w:rsidR="00CB7BEB" w:rsidRDefault="00CB7BEB" w:rsidP="009863E9">
      <w:pPr>
        <w:jc w:val="center"/>
        <w:rPr>
          <w:rFonts w:ascii="宋体" w:hAnsi="宋体"/>
        </w:rPr>
      </w:pPr>
    </w:p>
    <w:p w:rsidR="009863E9" w:rsidRDefault="009863E9" w:rsidP="009863E9">
      <w:pPr>
        <w:jc w:val="center"/>
        <w:rPr>
          <w:b/>
          <w:sz w:val="28"/>
          <w:szCs w:val="28"/>
        </w:rPr>
      </w:pPr>
    </w:p>
    <w:p w:rsidR="00CB7BEB" w:rsidRDefault="00CB7BEB" w:rsidP="009863E9">
      <w:pPr>
        <w:jc w:val="center"/>
        <w:rPr>
          <w:rFonts w:ascii="宋体" w:hAnsi="宋体"/>
        </w:rPr>
        <w:sectPr w:rsidR="00CB7BEB" w:rsidSect="00E861D5">
          <w:pgSz w:w="11906" w:h="16838"/>
          <w:pgMar w:top="1418" w:right="1701" w:bottom="1134" w:left="1701" w:header="851" w:footer="992" w:gutter="0"/>
          <w:pgNumType w:start="1"/>
          <w:cols w:space="720"/>
          <w:docGrid w:type="lines" w:linePitch="312"/>
        </w:sectPr>
      </w:pPr>
    </w:p>
    <w:p w:rsidR="00CB7BEB" w:rsidRDefault="00CB7BEB" w:rsidP="009863E9">
      <w:pPr>
        <w:jc w:val="center"/>
        <w:rPr>
          <w:rFonts w:ascii="宋体" w:hAnsi="宋体"/>
        </w:rPr>
      </w:pPr>
    </w:p>
    <w:p w:rsidR="00277238" w:rsidRDefault="00277238" w:rsidP="009863E9">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77238" w:rsidP="00277238">
      <w:pPr>
        <w:spacing w:line="360" w:lineRule="auto"/>
        <w:ind w:firstLineChars="200" w:firstLine="480"/>
        <w:rPr>
          <w:rFonts w:ascii="宋体" w:hAnsi="宋体"/>
          <w:sz w:val="24"/>
        </w:rPr>
      </w:pPr>
      <w:r>
        <w:rPr>
          <w:rFonts w:ascii="宋体" w:hAnsi="宋体" w:hint="eastAsia"/>
          <w:sz w:val="24"/>
        </w:rPr>
        <w:t>××××××××××××××××××××××××××××××××××××××××××××××××，其×××××可表示如下：</w:t>
      </w:r>
    </w:p>
    <w:p w:rsidR="00277238" w:rsidRDefault="00277238" w:rsidP="00277238">
      <w:pPr>
        <w:spacing w:line="360" w:lineRule="auto"/>
        <w:jc w:val="center"/>
      </w:pPr>
      <w:r>
        <w:rPr>
          <w:position w:val="-14"/>
        </w:rPr>
        <w:object w:dxaOrig="3043" w:dyaOrig="380">
          <v:shape id="Picture 2" o:spid="_x0000_i1026" type="#_x0000_t75" style="width:149pt;height:19pt;mso-position-horizontal-relative:page;mso-position-vertical-relative:page" o:ole="">
            <v:imagedata r:id="rId24" o:title=""/>
          </v:shape>
          <o:OLEObject Type="Embed" ProgID="Equation.3" ShapeID="Picture 2" DrawAspect="Content" ObjectID="_1586267430" r:id="rId25"/>
        </w:object>
      </w:r>
      <w:r>
        <w:rPr>
          <w:rFonts w:hint="eastAsia"/>
        </w:rPr>
        <w:t xml:space="preserve">         </w:t>
      </w:r>
      <w:r>
        <w:rPr>
          <w:sz w:val="24"/>
        </w:rPr>
        <w:t>(3-1</w:t>
      </w:r>
      <w:r>
        <w:t>）</w:t>
      </w:r>
    </w:p>
    <w:p w:rsidR="00277238" w:rsidRDefault="00277238" w:rsidP="00277238">
      <w:pPr>
        <w:spacing w:line="360" w:lineRule="auto"/>
        <w:jc w:val="center"/>
      </w:pPr>
      <w:r>
        <w:rPr>
          <w:position w:val="-14"/>
        </w:rPr>
        <w:object w:dxaOrig="3162" w:dyaOrig="380">
          <v:shape id="Picture 3" o:spid="_x0000_i1027" type="#_x0000_t75" style="width:155.5pt;height:19pt;mso-position-horizontal-relative:page;mso-position-vertical-relative:page" o:ole="">
            <v:imagedata r:id="rId26" o:title=""/>
          </v:shape>
          <o:OLEObject Type="Embed" ProgID="Equation.3" ShapeID="Picture 3" DrawAspect="Content" ObjectID="_1586267431" r:id="rId27"/>
        </w:object>
      </w:r>
      <w:r>
        <w:rPr>
          <w:rFonts w:hint="eastAsia"/>
        </w:rPr>
        <w:t xml:space="preserve">        </w:t>
      </w:r>
      <w:r>
        <w:rPr>
          <w:rFonts w:hint="eastAsia"/>
          <w:sz w:val="24"/>
        </w:rPr>
        <w:t>(3-2</w:t>
      </w:r>
      <w:r>
        <w:rPr>
          <w:rFonts w:hint="eastAsia"/>
        </w:rPr>
        <w:t>）</w:t>
      </w:r>
    </w:p>
    <w:p w:rsidR="00277238" w:rsidRDefault="00277238" w:rsidP="00277238">
      <w:pPr>
        <w:spacing w:line="360" w:lineRule="auto"/>
        <w:ind w:left="120" w:hangingChars="50" w:hanging="120"/>
        <w:jc w:val="left"/>
        <w:rPr>
          <w:rFonts w:ascii="宋体" w:hAnsi="宋体"/>
          <w:sz w:val="24"/>
        </w:rPr>
      </w:pPr>
      <w:r>
        <w:rPr>
          <w:rFonts w:ascii="宋体" w:hAnsi="宋体" w:hint="eastAsia"/>
          <w:sz w:val="24"/>
        </w:rPr>
        <w:t>×××××××××××××××××××××××××××× (如表3-1所示)</w:t>
      </w:r>
    </w:p>
    <w:p w:rsidR="00277238" w:rsidRDefault="00277238" w:rsidP="00277238">
      <w:pPr>
        <w:spacing w:line="300" w:lineRule="exact"/>
        <w:ind w:firstLineChars="200" w:firstLine="480"/>
        <w:jc w:val="center"/>
        <w:rPr>
          <w:rFonts w:ascii="黑体" w:eastAsia="黑体" w:hAnsi="宋体"/>
          <w:sz w:val="24"/>
        </w:rPr>
      </w:pPr>
    </w:p>
    <w:p w:rsidR="00277238" w:rsidRDefault="00277238" w:rsidP="00277238">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277238" w:rsidRDefault="00277238" w:rsidP="00277238">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277238" w:rsidTr="007E700B">
        <w:tc>
          <w:tcPr>
            <w:tcW w:w="1440" w:type="dxa"/>
            <w:tcBorders>
              <w:top w:val="single" w:sz="12" w:space="0" w:color="auto"/>
              <w:bottom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r>
      <w:tr w:rsidR="00277238" w:rsidTr="007E700B">
        <w:tc>
          <w:tcPr>
            <w:tcW w:w="1440" w:type="dxa"/>
            <w:tcBorders>
              <w:top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r>
      <w:tr w:rsidR="00277238" w:rsidTr="007E700B">
        <w:tc>
          <w:tcPr>
            <w:tcW w:w="144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r>
      <w:tr w:rsidR="00277238" w:rsidTr="007E700B">
        <w:tc>
          <w:tcPr>
            <w:tcW w:w="144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r>
      <w:tr w:rsidR="00277238" w:rsidTr="007E700B">
        <w:tc>
          <w:tcPr>
            <w:tcW w:w="1440" w:type="dxa"/>
            <w:tcBorders>
              <w:top w:val="nil"/>
              <w:bottom w:val="single" w:sz="12" w:space="0" w:color="000000"/>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7E700B">
            <w:pPr>
              <w:spacing w:line="300" w:lineRule="exact"/>
              <w:jc w:val="center"/>
              <w:rPr>
                <w:rFonts w:ascii="宋体" w:hAnsi="宋体"/>
                <w:bCs/>
                <w:color w:val="000000"/>
                <w:szCs w:val="21"/>
              </w:rPr>
            </w:pPr>
            <w:r>
              <w:rPr>
                <w:rFonts w:ascii="宋体" w:hAnsi="宋体" w:hint="eastAsia"/>
                <w:szCs w:val="21"/>
              </w:rPr>
              <w:t>××</w:t>
            </w:r>
          </w:p>
        </w:tc>
      </w:tr>
    </w:tbl>
    <w:p w:rsidR="00277238" w:rsidRDefault="00277238" w:rsidP="00277238">
      <w:pPr>
        <w:spacing w:line="300" w:lineRule="exact"/>
        <w:ind w:firstLineChars="200" w:firstLine="420"/>
        <w:rPr>
          <w:rFonts w:ascii="仿宋_GB2312" w:eastAsia="仿宋_GB2312" w:hAnsi="宋体"/>
          <w:color w:val="FF0000"/>
          <w:szCs w:val="21"/>
        </w:rPr>
      </w:pPr>
    </w:p>
    <w:p w:rsidR="00277238"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277238" w:rsidRDefault="00277238" w:rsidP="00277238">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277238" w:rsidRDefault="00277238" w:rsidP="00277238">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14:anchorId="26118DA5" wp14:editId="0A73BC4D">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277238" w:rsidRDefault="00277238" w:rsidP="00277238">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277238" w:rsidRPr="009863E9"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277238" w:rsidRDefault="00277238" w:rsidP="00277238">
      <w:pPr>
        <w:jc w:val="center"/>
        <w:rPr>
          <w:rFonts w:ascii="宋体" w:hAnsi="宋体"/>
        </w:rPr>
      </w:pPr>
      <w:r>
        <w:rPr>
          <w:sz w:val="24"/>
        </w:rPr>
        <w:t>--------</w:t>
      </w:r>
      <w:r>
        <w:rPr>
          <w:sz w:val="24"/>
        </w:rPr>
        <w:t>章与章</w:t>
      </w:r>
      <w:r>
        <w:rPr>
          <w:rFonts w:hint="eastAsia"/>
          <w:sz w:val="24"/>
        </w:rPr>
        <w:t>之间</w:t>
      </w:r>
      <w:r>
        <w:rPr>
          <w:sz w:val="24"/>
        </w:rPr>
        <w:t>插入分页符</w:t>
      </w:r>
      <w:r>
        <w:rPr>
          <w:sz w:val="24"/>
        </w:rPr>
        <w:t>----------</w:t>
      </w: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sidR="00A11E3F">
        <w:rPr>
          <w:rFonts w:ascii="黑体" w:eastAsia="黑体" w:hint="eastAsia"/>
          <w:b/>
          <w:sz w:val="28"/>
          <w:szCs w:val="28"/>
        </w:rPr>
        <w:t>测试环境</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sidR="00A11E3F">
        <w:rPr>
          <w:rFonts w:ascii="黑体" w:eastAsia="黑体" w:hint="eastAsia"/>
          <w:b/>
          <w:sz w:val="28"/>
          <w:szCs w:val="28"/>
        </w:rPr>
        <w:t>测试方法</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sidR="00A11E3F">
        <w:rPr>
          <w:rFonts w:ascii="黑体" w:eastAsia="黑体" w:hint="eastAsia"/>
          <w:b/>
          <w:sz w:val="28"/>
          <w:szCs w:val="28"/>
        </w:rPr>
        <w:t>测试结果及分析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sidR="00A11E3F">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9"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30"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lastRenderedPageBreak/>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lastRenderedPageBreak/>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17B" w:rsidRDefault="0095217B">
      <w:r>
        <w:separator/>
      </w:r>
    </w:p>
  </w:endnote>
  <w:endnote w:type="continuationSeparator" w:id="0">
    <w:p w:rsidR="0095217B" w:rsidRDefault="0095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7E700B">
      <w:trPr>
        <w:trHeight w:val="151"/>
      </w:trPr>
      <w:tc>
        <w:tcPr>
          <w:tcW w:w="3924" w:type="dxa"/>
          <w:tcBorders>
            <w:bottom w:val="single" w:sz="4" w:space="0" w:color="4F81BD"/>
          </w:tcBorders>
        </w:tcPr>
        <w:p w:rsidR="007E700B" w:rsidRDefault="007E700B">
          <w:pPr>
            <w:pStyle w:val="a5"/>
            <w:rPr>
              <w:rFonts w:ascii="Cambria" w:hAnsi="Cambria"/>
              <w:b/>
              <w:bCs/>
            </w:rPr>
          </w:pPr>
        </w:p>
      </w:tc>
      <w:tc>
        <w:tcPr>
          <w:tcW w:w="872" w:type="dxa"/>
          <w:vMerge w:val="restart"/>
          <w:vAlign w:val="center"/>
        </w:tcPr>
        <w:p w:rsidR="007E700B" w:rsidRDefault="007E700B">
          <w:pPr>
            <w:pStyle w:val="a9"/>
            <w:jc w:val="center"/>
            <w:rPr>
              <w:rFonts w:ascii="Cambria" w:hAnsi="Cambria"/>
            </w:rPr>
          </w:pPr>
          <w:r>
            <w:rPr>
              <w:rFonts w:hint="eastAsia"/>
            </w:rPr>
            <w:t>页码</w:t>
          </w:r>
        </w:p>
      </w:tc>
      <w:tc>
        <w:tcPr>
          <w:tcW w:w="3924" w:type="dxa"/>
          <w:tcBorders>
            <w:bottom w:val="single" w:sz="4" w:space="0" w:color="4F81BD"/>
          </w:tcBorders>
        </w:tcPr>
        <w:p w:rsidR="007E700B" w:rsidRDefault="007E700B">
          <w:pPr>
            <w:pStyle w:val="a5"/>
            <w:rPr>
              <w:rFonts w:ascii="Cambria" w:hAnsi="Cambria"/>
              <w:b/>
              <w:bCs/>
            </w:rPr>
          </w:pPr>
        </w:p>
      </w:tc>
    </w:tr>
    <w:tr w:rsidR="007E700B">
      <w:trPr>
        <w:trHeight w:val="150"/>
      </w:trPr>
      <w:tc>
        <w:tcPr>
          <w:tcW w:w="3924" w:type="dxa"/>
          <w:tcBorders>
            <w:top w:val="single" w:sz="4" w:space="0" w:color="4F81BD"/>
          </w:tcBorders>
        </w:tcPr>
        <w:p w:rsidR="007E700B" w:rsidRDefault="007E700B">
          <w:pPr>
            <w:pStyle w:val="a5"/>
            <w:rPr>
              <w:rFonts w:ascii="Cambria" w:hAnsi="Cambria"/>
              <w:b/>
              <w:bCs/>
            </w:rPr>
          </w:pPr>
        </w:p>
      </w:tc>
      <w:tc>
        <w:tcPr>
          <w:tcW w:w="872" w:type="dxa"/>
          <w:vMerge/>
        </w:tcPr>
        <w:p w:rsidR="007E700B" w:rsidRDefault="007E700B">
          <w:pPr>
            <w:pStyle w:val="a5"/>
            <w:jc w:val="center"/>
            <w:rPr>
              <w:rFonts w:ascii="Cambria" w:hAnsi="Cambria"/>
              <w:b/>
              <w:bCs/>
            </w:rPr>
          </w:pPr>
        </w:p>
      </w:tc>
      <w:tc>
        <w:tcPr>
          <w:tcW w:w="3924" w:type="dxa"/>
          <w:tcBorders>
            <w:top w:val="single" w:sz="4" w:space="0" w:color="4F81BD"/>
          </w:tcBorders>
        </w:tcPr>
        <w:p w:rsidR="007E700B" w:rsidRDefault="007E700B">
          <w:pPr>
            <w:pStyle w:val="a5"/>
            <w:rPr>
              <w:rFonts w:ascii="Cambria" w:hAnsi="Cambria"/>
              <w:b/>
              <w:bCs/>
            </w:rPr>
          </w:pPr>
        </w:p>
      </w:tc>
    </w:tr>
  </w:tbl>
  <w:p w:rsidR="007E700B" w:rsidRDefault="007E700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17B" w:rsidRDefault="0095217B">
      <w:r>
        <w:separator/>
      </w:r>
    </w:p>
  </w:footnote>
  <w:footnote w:type="continuationSeparator" w:id="0">
    <w:p w:rsidR="0095217B" w:rsidRDefault="00952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7E700B" w:rsidRDefault="007E700B">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 xml:space="preserve">华 </w:t>
    </w:r>
    <w:r>
      <w:rPr>
        <w:rFonts w:ascii="华文中宋" w:eastAsia="华文中宋" w:hAnsi="华文中宋" w:hint="eastAsia"/>
        <w:sz w:val="21"/>
        <w:szCs w:val="21"/>
      </w:rPr>
      <w:t>中 科 技 大 学 毕 业 设 计（论 文）</w:t>
    </w:r>
  </w:p>
  <w:p w:rsidR="007E700B" w:rsidRDefault="007E700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1635"/>
    <w:rsid w:val="00027653"/>
    <w:rsid w:val="0004262D"/>
    <w:rsid w:val="00043518"/>
    <w:rsid w:val="000504B9"/>
    <w:rsid w:val="00054D52"/>
    <w:rsid w:val="0006684E"/>
    <w:rsid w:val="000744B9"/>
    <w:rsid w:val="000818EE"/>
    <w:rsid w:val="00084C89"/>
    <w:rsid w:val="0008568E"/>
    <w:rsid w:val="000B3D5A"/>
    <w:rsid w:val="000B4510"/>
    <w:rsid w:val="000B6BF6"/>
    <w:rsid w:val="000C4BC5"/>
    <w:rsid w:val="000E0690"/>
    <w:rsid w:val="001133F1"/>
    <w:rsid w:val="00116745"/>
    <w:rsid w:val="00123964"/>
    <w:rsid w:val="001325FF"/>
    <w:rsid w:val="00153E8D"/>
    <w:rsid w:val="00156BD1"/>
    <w:rsid w:val="00166B4B"/>
    <w:rsid w:val="00172A27"/>
    <w:rsid w:val="001829E2"/>
    <w:rsid w:val="0019440B"/>
    <w:rsid w:val="001A10B7"/>
    <w:rsid w:val="001A1349"/>
    <w:rsid w:val="001A14D7"/>
    <w:rsid w:val="001C6F44"/>
    <w:rsid w:val="001D2783"/>
    <w:rsid w:val="001E1BF7"/>
    <w:rsid w:val="001E5D7D"/>
    <w:rsid w:val="001F6F32"/>
    <w:rsid w:val="00215980"/>
    <w:rsid w:val="00226780"/>
    <w:rsid w:val="00227045"/>
    <w:rsid w:val="00233C61"/>
    <w:rsid w:val="00237504"/>
    <w:rsid w:val="002575E8"/>
    <w:rsid w:val="00265DB2"/>
    <w:rsid w:val="00277238"/>
    <w:rsid w:val="00283B83"/>
    <w:rsid w:val="0028408D"/>
    <w:rsid w:val="002B0C8C"/>
    <w:rsid w:val="002C0C2E"/>
    <w:rsid w:val="002C18E8"/>
    <w:rsid w:val="002C242D"/>
    <w:rsid w:val="002C6500"/>
    <w:rsid w:val="002C79C1"/>
    <w:rsid w:val="002C7D14"/>
    <w:rsid w:val="002D0281"/>
    <w:rsid w:val="002D2D35"/>
    <w:rsid w:val="002E37E2"/>
    <w:rsid w:val="002E5297"/>
    <w:rsid w:val="002E680C"/>
    <w:rsid w:val="002F61EC"/>
    <w:rsid w:val="00300600"/>
    <w:rsid w:val="00306B1B"/>
    <w:rsid w:val="0031559A"/>
    <w:rsid w:val="003174CB"/>
    <w:rsid w:val="003279D3"/>
    <w:rsid w:val="00331D19"/>
    <w:rsid w:val="003416CD"/>
    <w:rsid w:val="00342094"/>
    <w:rsid w:val="00344375"/>
    <w:rsid w:val="00354AA8"/>
    <w:rsid w:val="003701A7"/>
    <w:rsid w:val="00374878"/>
    <w:rsid w:val="00374A61"/>
    <w:rsid w:val="00391AF5"/>
    <w:rsid w:val="00392F1F"/>
    <w:rsid w:val="003A2904"/>
    <w:rsid w:val="003A488F"/>
    <w:rsid w:val="003A56E4"/>
    <w:rsid w:val="003B47CD"/>
    <w:rsid w:val="003B4C59"/>
    <w:rsid w:val="003C14C9"/>
    <w:rsid w:val="003C5508"/>
    <w:rsid w:val="003D33BB"/>
    <w:rsid w:val="003D6C09"/>
    <w:rsid w:val="003E3D7E"/>
    <w:rsid w:val="003F0C07"/>
    <w:rsid w:val="003F439B"/>
    <w:rsid w:val="003F5E37"/>
    <w:rsid w:val="00400132"/>
    <w:rsid w:val="00401B69"/>
    <w:rsid w:val="0040366F"/>
    <w:rsid w:val="00403880"/>
    <w:rsid w:val="00413231"/>
    <w:rsid w:val="004228BC"/>
    <w:rsid w:val="004423CC"/>
    <w:rsid w:val="00464310"/>
    <w:rsid w:val="00473785"/>
    <w:rsid w:val="00483034"/>
    <w:rsid w:val="004831DB"/>
    <w:rsid w:val="00485F06"/>
    <w:rsid w:val="004916A0"/>
    <w:rsid w:val="004B47CB"/>
    <w:rsid w:val="004B4DEB"/>
    <w:rsid w:val="004B4E9B"/>
    <w:rsid w:val="004C4D99"/>
    <w:rsid w:val="004C6861"/>
    <w:rsid w:val="004C792A"/>
    <w:rsid w:val="004D2CD9"/>
    <w:rsid w:val="004D7C12"/>
    <w:rsid w:val="00503C2F"/>
    <w:rsid w:val="005042BD"/>
    <w:rsid w:val="00504350"/>
    <w:rsid w:val="00512882"/>
    <w:rsid w:val="005172C7"/>
    <w:rsid w:val="00536F88"/>
    <w:rsid w:val="00550217"/>
    <w:rsid w:val="00551A18"/>
    <w:rsid w:val="00561B69"/>
    <w:rsid w:val="00565FA0"/>
    <w:rsid w:val="00572523"/>
    <w:rsid w:val="00590C65"/>
    <w:rsid w:val="005B05D9"/>
    <w:rsid w:val="005B6BD9"/>
    <w:rsid w:val="005D0E22"/>
    <w:rsid w:val="005F3519"/>
    <w:rsid w:val="005F5988"/>
    <w:rsid w:val="005F7169"/>
    <w:rsid w:val="006009EC"/>
    <w:rsid w:val="0060387B"/>
    <w:rsid w:val="00612E6A"/>
    <w:rsid w:val="00616983"/>
    <w:rsid w:val="006216B2"/>
    <w:rsid w:val="00623DC3"/>
    <w:rsid w:val="0062635F"/>
    <w:rsid w:val="0063133C"/>
    <w:rsid w:val="00634322"/>
    <w:rsid w:val="00637546"/>
    <w:rsid w:val="00640156"/>
    <w:rsid w:val="0064250D"/>
    <w:rsid w:val="00643C21"/>
    <w:rsid w:val="00653025"/>
    <w:rsid w:val="006609A4"/>
    <w:rsid w:val="00663AA6"/>
    <w:rsid w:val="00663CA6"/>
    <w:rsid w:val="0067059E"/>
    <w:rsid w:val="00672712"/>
    <w:rsid w:val="00672BBB"/>
    <w:rsid w:val="00677E32"/>
    <w:rsid w:val="00681751"/>
    <w:rsid w:val="006A737C"/>
    <w:rsid w:val="006B0EE6"/>
    <w:rsid w:val="006C03FE"/>
    <w:rsid w:val="006C0BD1"/>
    <w:rsid w:val="006C45C2"/>
    <w:rsid w:val="006F0B9F"/>
    <w:rsid w:val="006F44CD"/>
    <w:rsid w:val="006F706C"/>
    <w:rsid w:val="00707E99"/>
    <w:rsid w:val="00715DC6"/>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700B"/>
    <w:rsid w:val="00805D03"/>
    <w:rsid w:val="0081509B"/>
    <w:rsid w:val="008158A9"/>
    <w:rsid w:val="00815BDC"/>
    <w:rsid w:val="00817495"/>
    <w:rsid w:val="00834507"/>
    <w:rsid w:val="00837261"/>
    <w:rsid w:val="008442CB"/>
    <w:rsid w:val="00860A1E"/>
    <w:rsid w:val="00872F81"/>
    <w:rsid w:val="00877BD9"/>
    <w:rsid w:val="0088042C"/>
    <w:rsid w:val="008A11AD"/>
    <w:rsid w:val="008B6B39"/>
    <w:rsid w:val="008C63A0"/>
    <w:rsid w:val="008D12BC"/>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49AF"/>
    <w:rsid w:val="0094569A"/>
    <w:rsid w:val="0095217B"/>
    <w:rsid w:val="0097142D"/>
    <w:rsid w:val="009728CC"/>
    <w:rsid w:val="00981581"/>
    <w:rsid w:val="009863E9"/>
    <w:rsid w:val="009908E0"/>
    <w:rsid w:val="00990968"/>
    <w:rsid w:val="009B67C0"/>
    <w:rsid w:val="009D72D3"/>
    <w:rsid w:val="009F751E"/>
    <w:rsid w:val="00A10504"/>
    <w:rsid w:val="00A11CFC"/>
    <w:rsid w:val="00A11E3F"/>
    <w:rsid w:val="00A27AF8"/>
    <w:rsid w:val="00A3133A"/>
    <w:rsid w:val="00A40B13"/>
    <w:rsid w:val="00A41A52"/>
    <w:rsid w:val="00A42019"/>
    <w:rsid w:val="00A46F3E"/>
    <w:rsid w:val="00A50778"/>
    <w:rsid w:val="00A55316"/>
    <w:rsid w:val="00A57170"/>
    <w:rsid w:val="00A91190"/>
    <w:rsid w:val="00A92FFA"/>
    <w:rsid w:val="00AB3C28"/>
    <w:rsid w:val="00AD37B0"/>
    <w:rsid w:val="00AD7457"/>
    <w:rsid w:val="00AE1987"/>
    <w:rsid w:val="00AE748C"/>
    <w:rsid w:val="00AF4AF0"/>
    <w:rsid w:val="00B27353"/>
    <w:rsid w:val="00B34FD8"/>
    <w:rsid w:val="00B41596"/>
    <w:rsid w:val="00B423AC"/>
    <w:rsid w:val="00B5450A"/>
    <w:rsid w:val="00B5553B"/>
    <w:rsid w:val="00B728B0"/>
    <w:rsid w:val="00B73269"/>
    <w:rsid w:val="00B738C4"/>
    <w:rsid w:val="00BB257E"/>
    <w:rsid w:val="00BB4546"/>
    <w:rsid w:val="00BB455C"/>
    <w:rsid w:val="00BB4A53"/>
    <w:rsid w:val="00BC5EB0"/>
    <w:rsid w:val="00BD43BA"/>
    <w:rsid w:val="00BD7EB1"/>
    <w:rsid w:val="00BE5D8C"/>
    <w:rsid w:val="00BF6F8E"/>
    <w:rsid w:val="00C15828"/>
    <w:rsid w:val="00C2549F"/>
    <w:rsid w:val="00C2720B"/>
    <w:rsid w:val="00C275CD"/>
    <w:rsid w:val="00C50F9F"/>
    <w:rsid w:val="00C629D1"/>
    <w:rsid w:val="00C65119"/>
    <w:rsid w:val="00C71D90"/>
    <w:rsid w:val="00C73388"/>
    <w:rsid w:val="00C73F2B"/>
    <w:rsid w:val="00C92658"/>
    <w:rsid w:val="00C94881"/>
    <w:rsid w:val="00CB0C42"/>
    <w:rsid w:val="00CB12FC"/>
    <w:rsid w:val="00CB7BEB"/>
    <w:rsid w:val="00CC401D"/>
    <w:rsid w:val="00CC4A81"/>
    <w:rsid w:val="00CC7A88"/>
    <w:rsid w:val="00CE3854"/>
    <w:rsid w:val="00CF5F9C"/>
    <w:rsid w:val="00D12BE2"/>
    <w:rsid w:val="00D34202"/>
    <w:rsid w:val="00D3730F"/>
    <w:rsid w:val="00D54492"/>
    <w:rsid w:val="00D55CA6"/>
    <w:rsid w:val="00D622CB"/>
    <w:rsid w:val="00D726DC"/>
    <w:rsid w:val="00D77B09"/>
    <w:rsid w:val="00D91CE1"/>
    <w:rsid w:val="00D9531D"/>
    <w:rsid w:val="00DA31CC"/>
    <w:rsid w:val="00DB41B2"/>
    <w:rsid w:val="00DB43CD"/>
    <w:rsid w:val="00DC246D"/>
    <w:rsid w:val="00DC6EAF"/>
    <w:rsid w:val="00DE55B9"/>
    <w:rsid w:val="00DF39AB"/>
    <w:rsid w:val="00E014FC"/>
    <w:rsid w:val="00E04538"/>
    <w:rsid w:val="00E0467B"/>
    <w:rsid w:val="00E1426A"/>
    <w:rsid w:val="00E2428B"/>
    <w:rsid w:val="00E27294"/>
    <w:rsid w:val="00E37E63"/>
    <w:rsid w:val="00E44C57"/>
    <w:rsid w:val="00E54C6C"/>
    <w:rsid w:val="00E561E2"/>
    <w:rsid w:val="00E57A69"/>
    <w:rsid w:val="00E65BC3"/>
    <w:rsid w:val="00E81C57"/>
    <w:rsid w:val="00E85D94"/>
    <w:rsid w:val="00E861D5"/>
    <w:rsid w:val="00EC0167"/>
    <w:rsid w:val="00EC2BA5"/>
    <w:rsid w:val="00EC6BC2"/>
    <w:rsid w:val="00EE5E2F"/>
    <w:rsid w:val="00EF0AD1"/>
    <w:rsid w:val="00F01151"/>
    <w:rsid w:val="00F17D88"/>
    <w:rsid w:val="00F23CC4"/>
    <w:rsid w:val="00F44B3C"/>
    <w:rsid w:val="00F46E0A"/>
    <w:rsid w:val="00F52406"/>
    <w:rsid w:val="00F61B57"/>
    <w:rsid w:val="00F66473"/>
    <w:rsid w:val="00F72E0A"/>
    <w:rsid w:val="00F87A36"/>
    <w:rsid w:val="00FB232D"/>
    <w:rsid w:val="00FB2EEA"/>
    <w:rsid w:val="00FB58E0"/>
    <w:rsid w:val="00FD46AA"/>
    <w:rsid w:val="00FE6C22"/>
    <w:rsid w:val="00FF0B74"/>
    <w:rsid w:val="00FF4759"/>
    <w:rsid w:val="00FF533A"/>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49638E0"/>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Persistent_mem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oleObject" Target="embeddings/oleObject3.bin"/><Relationship Id="rId30" Type="http://schemas.openxmlformats.org/officeDocument/2006/relationships/hyperlink" Target="https://github.com/linux-pmfs/pmf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35</Pages>
  <Words>3368</Words>
  <Characters>19201</Characters>
  <Application>Microsoft Office Word</Application>
  <DocSecurity>0</DocSecurity>
  <PresentationFormat/>
  <Lines>160</Lines>
  <Paragraphs>45</Paragraphs>
  <Slides>0</Slides>
  <Notes>0</Notes>
  <HiddenSlides>0</HiddenSlides>
  <MMClips>0</MMClips>
  <ScaleCrop>false</ScaleCrop>
  <Manager/>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136</cp:revision>
  <dcterms:created xsi:type="dcterms:W3CDTF">2018-04-08T07:49:00Z</dcterms:created>
  <dcterms:modified xsi:type="dcterms:W3CDTF">2018-04-26T09:03:00Z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