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 w:val="0"/>
          <w:i w:val="0"/>
        </w:rPr>
        <w:t>XX单位办公室文件</w:t>
      </w:r>
    </w:p>
    <w:p>
      <w:pPr/>
      <w:r>
        <w:rPr>
          <w:b w:val="0"/>
          <w:i w:val="0"/>
        </w:rPr>
        <w:t>XX办〔2026〕5号</w:t>
      </w:r>
    </w:p>
    <w:p>
      <w:pPr>
        <w:pBdr>
          <w:bottom w:val="single" w:sz="6" w:space="1" w:color="auto"/>
        </w:pBdr>
      </w:pPr>
    </w:p>
    <w:p>
      <w:pPr/>
      <w:r>
        <w:rPr>
          <w:b w:val="0"/>
          <w:i w:val="0"/>
        </w:rPr>
        <w:t>签发人:张三</w:t>
      </w:r>
    </w:p>
    <w:p>
      <w:pPr>
        <w:pStyle w:val="Heading1"/>
      </w:pPr>
      <w:r>
        <w:rPr>
          <w:b w:val="0"/>
          <w:i w:val="0"/>
        </w:rPr>
        <w:t>关于进一步加强办公自动化建设的通知</w:t>
      </w:r>
    </w:p>
    <w:p>
      <w:pPr/>
      <w:r>
        <w:rPr>
          <w:b w:val="0"/>
          <w:i w:val="0"/>
        </w:rPr>
        <w:t>各部门、各处室:</w:t>
      </w:r>
    </w:p>
    <w:p>
      <w:pPr/>
      <w:r>
        <w:rPr>
          <w:b w:val="0"/>
          <w:i w:val="0"/>
        </w:rPr>
        <w:t>为深入贯彻关于数字化转型的总体部署,进一步提升办公效率,经研究决定,自二〇二六年六月起,在全单位范围内推行新一轮办公自动化升级工作。现将有关事项通知如下。</w:t>
      </w:r>
    </w:p>
    <w:p>
      <w:pPr>
        <w:pStyle w:val="Heading2"/>
      </w:pPr>
      <w:r>
        <w:rPr>
          <w:b w:val="0"/>
          <w:i w:val="0"/>
        </w:rPr>
        <w:t>一、总体要求</w:t>
      </w:r>
    </w:p>
    <w:p>
      <w:pPr/>
      <w:r>
        <w:rPr>
          <w:b w:val="0"/>
          <w:i w:val="0"/>
        </w:rPr>
        <w:t>各部门要充分认识办公自动化建设的重要意义,把握"统一规划、分步实施、注重实效"的原则,确保各项工作落到实处。</w:t>
      </w:r>
    </w:p>
    <w:p>
      <w:pPr>
        <w:pStyle w:val="Heading2"/>
      </w:pPr>
      <w:r>
        <w:rPr>
          <w:b w:val="0"/>
          <w:i w:val="0"/>
        </w:rPr>
        <w:t>二、主要任务</w:t>
      </w:r>
    </w:p>
    <w:p>
      <w:pPr>
        <w:pStyle w:val="Heading3"/>
      </w:pPr>
      <w:r>
        <w:rPr>
          <w:b w:val="0"/>
          <w:i w:val="0"/>
        </w:rPr>
        <w:t>1. 文档协作系统升级</w:t>
      </w:r>
    </w:p>
    <w:p>
      <w:pPr/>
      <w:r>
        <w:rPr>
          <w:b w:val="0"/>
          <w:i w:val="0"/>
        </w:rPr>
        <w:t>按照统一标准接入文档协作平台,实现公文流转、审批、归档全流程线上化。各部门应于六月底前完成账户开通和基础培训。</w:t>
      </w:r>
    </w:p>
    <w:p>
      <w:pPr>
        <w:pStyle w:val="Heading3"/>
      </w:pPr>
      <w:r>
        <w:rPr>
          <w:b w:val="0"/>
          <w:i w:val="0"/>
        </w:rPr>
        <w:t>2. 数据安全规范</w:t>
      </w:r>
    </w:p>
    <w:p>
      <w:pPr/>
      <w:r>
        <w:rPr>
          <w:b w:val="0"/>
          <w:i w:val="0"/>
        </w:rPr>
        <w:t>严格执行数据分级分类要求,涉密文件不得在协作平台流转。各部门信息安全员负责本部门人员培训和日常监督。</w:t>
      </w:r>
    </w:p>
    <w:p>
      <w:pPr>
        <w:pStyle w:val="Heading3"/>
      </w:pPr>
      <w:r>
        <w:rPr>
          <w:b w:val="0"/>
          <w:i w:val="0"/>
        </w:rPr>
        <w:t>3. 移动办公保障</w:t>
      </w:r>
    </w:p>
    <w:p>
      <w:pPr/>
      <w:r>
        <w:rPr>
          <w:b w:val="0"/>
          <w:i w:val="0"/>
        </w:rPr>
        <w:t>完成移动端应用部署,支持公文阅办、流程审批等核心场景。同时配套完善身份认证和访问控制机制。</w:t>
      </w:r>
    </w:p>
    <w:p>
      <w:pPr>
        <w:pStyle w:val="Heading2"/>
      </w:pPr>
      <w:r>
        <w:rPr>
          <w:b w:val="0"/>
          <w:i w:val="0"/>
        </w:rPr>
        <w:t>三、组织保障</w:t>
      </w:r>
    </w:p>
    <w:p>
      <w:pPr>
        <w:pStyle w:val="Heading3"/>
      </w:pPr>
      <w:r>
        <w:rPr>
          <w:b w:val="0"/>
          <w:i w:val="0"/>
        </w:rPr>
        <w:t>(一) 加强领导</w:t>
      </w:r>
    </w:p>
    <w:p>
      <w:pPr/>
      <w:r>
        <w:rPr>
          <w:b w:val="0"/>
          <w:i w:val="0"/>
        </w:rPr>
        <w:t>成立办公自动化建设领导小组,由办公室主任任组长,各业务部门负责人为成员,负责统筹推进工作。</w:t>
      </w:r>
    </w:p>
    <w:p>
      <w:pPr>
        <w:pStyle w:val="Heading3"/>
      </w:pPr>
      <w:r>
        <w:rPr>
          <w:b w:val="0"/>
          <w:i w:val="0"/>
        </w:rPr>
        <w:t>(二) 强化协作</w:t>
      </w:r>
    </w:p>
    <w:p>
      <w:pPr/>
      <w:r>
        <w:rPr>
          <w:b w:val="0"/>
          <w:i w:val="0"/>
        </w:rPr>
        <w:t>各部门要密切配合,主动对接,按时完成本部门任务。办公室定期通报进展,及时协调解决问题。</w:t>
      </w:r>
    </w:p>
    <w:p>
      <w:pPr>
        <w:pStyle w:val="Heading3"/>
      </w:pPr>
      <w:r>
        <w:rPr>
          <w:b w:val="0"/>
          <w:i w:val="0"/>
        </w:rPr>
        <w:t>(三) 严格督查</w:t>
      </w:r>
    </w:p>
    <w:p>
      <w:pPr/>
      <w:r>
        <w:rPr>
          <w:b w:val="0"/>
          <w:i w:val="0"/>
        </w:rPr>
        <w:t>将此项工作纳入年度目标考核,对推进不力的部门和个人予以通报。</w:t>
      </w:r>
    </w:p>
    <w:p>
      <w:pPr>
        <w:pStyle w:val="Heading2"/>
      </w:pPr>
      <w:r>
        <w:rPr>
          <w:b w:val="0"/>
          <w:i w:val="0"/>
        </w:rPr>
        <w:t>四、其他事项</w:t>
      </w:r>
    </w:p>
    <w:p>
      <w:pPr/>
      <w:r>
        <w:rPr>
          <w:b w:val="0"/>
          <w:i w:val="0"/>
        </w:rPr>
        <w:t>本通知自印发之日起执行。执行中遇到问题,请及时与办公室联系。</w:t>
      </w:r>
    </w:p>
    <w:p>
      <w:pPr/>
      <w:r>
        <w:rPr>
          <w:b w:val="0"/>
          <w:i w:val="0"/>
        </w:rPr>
        <w:t>附件:1. 办公自动化建设工作分工表</w:t>
      </w:r>
      <w:r>
        <w:br/>
      </w:r>
      <w:r>
        <w:rPr>
          <w:b w:val="0"/>
          <w:i w:val="0"/>
        </w:rPr>
        <w:t>2. 各部门联系人名单</w:t>
      </w:r>
    </w:p>
    <w:p>
      <w:pPr/>
      <w:r>
        <w:rPr>
          <w:b w:val="0"/>
          <w:i w:val="0"/>
        </w:rPr>
        <w:t>特此通知。</w:t>
      </w:r>
    </w:p>
    <w:p>
      <w:pPr/>
      <w:r>
        <w:rPr>
          <w:b w:val="0"/>
          <w:i w:val="0"/>
        </w:rPr>
        <w:t>XX单位办公室</w:t>
      </w:r>
    </w:p>
    <w:p>
      <w:pPr/>
      <w:r>
        <w:rPr>
          <w:b w:val="0"/>
          <w:i w:val="0"/>
        </w:rPr>
        <w:t>二〇二六年五月十六日</w:t>
      </w:r>
    </w:p>
    <w:sectPr w:rsidR="00FC693F" w:rsidRPr="0006063C" w:rsidSect="00034616">
      <w:pgSz w:w="11906" w:h="16838"/>
      <w:pgMar w:top="1871" w:right="1531" w:bottom="153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SpaceDE w:val="1"/>
  <w:autoSpaceD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 w:before="0" w:after="0"/>
      <w:ind w:firstLineChars="200" w:firstLine="0"/>
      <w:jc w:val="both"/>
    </w:pPr>
    <w:rPr>
      <w:rFonts w:ascii="Times New Roman" w:hAnsi="Times New Roman" w:eastAsia="仿宋_GB2312" w:cs="Times New Roman"/>
      <w:b w:val="0"/>
      <w:i w:val="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80" w:line="720" w:lineRule="exact"/>
      <w:outlineLvl w:val="0"/>
      <w:jc w:val="center"/>
      <w:ind w:firstLineChars="0" w:firstLine="0"/>
    </w:pPr>
    <w:rPr>
      <w:rFonts w:ascii="Times New Roman" w:hAnsi="Times New Roman" w:eastAsia="方正小标宋简体" w:cs="Times New Roman"/>
      <w:b w:val="0"/>
      <w:bCs/>
      <w:i w:val="0"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560" w:lineRule="exact"/>
      <w:outlineLvl w:val="1"/>
      <w:jc w:val="left"/>
      <w:ind w:firstLineChars="200" w:firstLine="0"/>
    </w:pPr>
    <w:rPr>
      <w:rFonts w:ascii="Times New Roman" w:hAnsi="Times New Roman" w:eastAsia="黑体" w:cs="Times New Roman"/>
      <w:b w:val="0"/>
      <w:bCs/>
      <w:i w:val="0"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560" w:lineRule="exact"/>
      <w:outlineLvl w:val="2"/>
      <w:jc w:val="left"/>
      <w:ind w:firstLineChars="200" w:firstLine="0"/>
    </w:pPr>
    <w:rPr>
      <w:rFonts w:ascii="Times New Roman" w:hAnsi="Times New Roman" w:eastAsia="楷体_GB2312" w:cs="Times New Roman"/>
      <w:b w:val="0"/>
      <w:bCs/>
      <w:i w:val="0"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560" w:lineRule="exact"/>
      <w:outlineLvl w:val="3"/>
      <w:jc w:val="left"/>
      <w:ind w:firstLineChars="200" w:firstLine="0"/>
    </w:pPr>
    <w:rPr>
      <w:rFonts w:ascii="Times New Roman" w:hAnsi="Times New Roman" w:eastAsia="仿宋_GB2312" w:cs="Times New Roman"/>
      <w:b w:val="0"/>
      <w:bCs/>
      <w:i w:val="0"/>
      <w:iCs/>
      <w:color w:val="4F81BD" w:themeColor="accen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560" w:lineRule="exact"/>
      <w:outlineLvl w:val="4"/>
      <w:jc w:val="left"/>
      <w:ind w:firstLineChars="200" w:firstLine="0"/>
    </w:pPr>
    <w:rPr>
      <w:rFonts w:ascii="Times New Roman" w:hAnsi="Times New Roman" w:eastAsia="仿宋_GB2312" w:cs="Times New Roman"/>
      <w:b w:val="0"/>
      <w:i w:val="0"/>
      <w:color w:val="243F60" w:themeColor="accent1" w:themeShade="7F"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560" w:lineRule="exact"/>
      <w:outlineLvl w:val="5"/>
      <w:jc w:val="left"/>
      <w:ind w:firstLineChars="200" w:firstLine="0"/>
    </w:pPr>
    <w:rPr>
      <w:rFonts w:ascii="Times New Roman" w:hAnsi="Times New Roman" w:eastAsia="仿宋_GB2312" w:cs="Times New Roman"/>
      <w:b w:val="0"/>
      <w:i w:val="0"/>
      <w:iCs/>
      <w:color w:val="243F60" w:themeColor="accent1" w:themeShade="7F"/>
      <w:sz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720" w:lineRule="exact" w:before="0"/>
      <w:contextualSpacing/>
      <w:jc w:val="center"/>
      <w:ind w:firstLineChars="0" w:firstLine="0"/>
    </w:pPr>
    <w:rPr>
      <w:rFonts w:ascii="Times New Roman" w:hAnsi="Times New Roman" w:eastAsia="方正小标宋简体" w:cs="Times New Roman"/>
      <w:b w:val="0"/>
      <w:i w:val="0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560" w:lineRule="exact" w:before="0" w:after="120"/>
      <w:jc w:val="center"/>
      <w:ind w:firstLineChars="0" w:firstLine="0"/>
    </w:pPr>
    <w:rPr>
      <w:rFonts w:ascii="Times New Roman" w:hAnsi="Times New Roman" w:eastAsia="仿宋_GB2312" w:cs="Times New Roman"/>
      <w:b w:val="0"/>
      <w:i w:val="0"/>
      <w:iCs/>
      <w:color w:val="4F81BD" w:themeColor="accent1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560" w:lineRule="exact"/>
      <w:ind w:firstLineChars="0" w:firstLine="0"/>
    </w:pPr>
    <w:rPr>
      <w:rFonts w:ascii="Times New Roman" w:hAnsi="Times New Roman" w:eastAsia="仿宋_GB2312" w:cs="Times New Roman"/>
      <w:b w:val="0"/>
      <w:i w:val="0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560" w:lineRule="exact"/>
      <w:ind w:firstLineChars="0" w:firstLine="0"/>
    </w:pPr>
    <w:rPr>
      <w:rFonts w:ascii="Times New Roman" w:hAnsi="Times New Roman" w:eastAsia="仿宋_GB2312" w:cs="Times New Roman"/>
      <w:b w:val="0"/>
      <w:i w:val="0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560" w:lineRule="exact" w:before="120" w:after="120"/>
      <w:ind w:firstLineChars="0" w:firstLine="0" w:leftChars="200"/>
    </w:pPr>
    <w:rPr>
      <w:rFonts w:ascii="Times New Roman" w:hAnsi="Times New Roman" w:eastAsia="仿宋_GB2312" w:cs="Times New Roman"/>
      <w:b w:val="0"/>
      <w:i w:val="0"/>
      <w:iCs/>
      <w:color w:val="000000" w:themeColor="text1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40" w:after="240"/>
      <w:jc w:val="center"/>
      <w:ind w:firstLineChars="0" w:firstLine="0"/>
    </w:pPr>
    <w:rPr>
      <w:rFonts w:ascii="Times New Roman" w:hAnsi="Times New Roman" w:eastAsia="楷体_GB2312" w:cs="Times New Roman"/>
      <w:b w:val="0"/>
      <w:bCs/>
      <w:i w:val="0"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line="276" w:lineRule="auto" w:before="120" w:after="120"/>
      <w:shd w:val="clear" w:color="auto" w:fill="F5F5F5"/>
      <w:ind w:firstLineChars="0" w:firstLine="0"/>
    </w:pPr>
    <w:rPr>
      <w:rFonts w:ascii="Consolas" w:hAnsi="Consolas" w:eastAsia="仿宋_GB2312" w:cs="Consolas"/>
      <w:b w:val="0"/>
      <w:i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方正小标宋简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仿宋_GB2312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关于进一步加强办公自动化建设的通知</dc:title>
  <dc:subject/>
  <dc:creator>办公室</dc:creator>
  <cp:keywords/>
  <dc:description>示范 @gov_notice 模板的典型公文写法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